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CAF9BE"/>
  <w:body>
    <w:p>
      <w:pPr>
        <w:rPr>
          <w:rFonts w:hint="default" w:ascii="Times New Roman" w:hAnsi="Times New Roman" w:eastAsia="宋体" w:cs="Times New Roman"/>
          <w:color w:val="auto"/>
          <w:lang w:eastAsia="zh-CN"/>
        </w:rPr>
      </w:pPr>
      <w:bookmarkStart w:id="0" w:name="_Toc174806187"/>
      <w:bookmarkStart w:id="1" w:name="_Toc145307758"/>
      <w:bookmarkStart w:id="2" w:name="_Toc151806624"/>
    </w:p>
    <w:p>
      <w:pPr>
        <w:pStyle w:val="74"/>
        <w:ind w:firstLine="0" w:firstLineChars="0"/>
        <w:rPr>
          <w:rFonts w:hint="default" w:ascii="Times New Roman" w:hAnsi="Times New Roman" w:eastAsia="宋体" w:cs="Times New Roman"/>
          <w:color w:val="auto"/>
        </w:rPr>
      </w:pPr>
    </w:p>
    <w:p>
      <w:pPr>
        <w:pStyle w:val="74"/>
        <w:ind w:firstLine="0" w:firstLineChars="0"/>
        <w:rPr>
          <w:rFonts w:hint="default" w:ascii="Times New Roman" w:hAnsi="Times New Roman" w:eastAsia="宋体" w:cs="Times New Roman"/>
          <w:color w:val="auto"/>
        </w:rPr>
      </w:pPr>
    </w:p>
    <w:p>
      <w:pPr>
        <w:snapToGrid w:val="0"/>
        <w:spacing w:line="360" w:lineRule="auto"/>
        <w:rPr>
          <w:rFonts w:hint="default" w:ascii="Times New Roman" w:hAnsi="Times New Roman" w:eastAsia="宋体" w:cs="Times New Roman"/>
          <w:color w:val="auto"/>
          <w:sz w:val="24"/>
        </w:rPr>
      </w:pPr>
      <w:bookmarkStart w:id="3" w:name="_Toc278374027"/>
      <w:bookmarkStart w:id="4" w:name="_Toc276982237"/>
      <w:bookmarkStart w:id="5" w:name="_Toc277531039"/>
    </w:p>
    <w:p>
      <w:pPr>
        <w:snapToGrid w:val="0"/>
        <w:spacing w:line="360" w:lineRule="auto"/>
        <w:jc w:val="center"/>
        <w:rPr>
          <w:rFonts w:hint="default" w:ascii="Times New Roman" w:hAnsi="Times New Roman" w:eastAsia="宋体" w:cs="Times New Roman"/>
          <w:b/>
          <w:bCs/>
          <w:color w:val="auto"/>
          <w:spacing w:val="36"/>
          <w:sz w:val="52"/>
          <w:szCs w:val="52"/>
        </w:rPr>
      </w:pPr>
      <w:r>
        <w:rPr>
          <w:rFonts w:hint="default" w:ascii="Times New Roman" w:hAnsi="Times New Roman" w:eastAsia="宋体" w:cs="Times New Roman"/>
          <w:b/>
          <w:bCs/>
          <w:color w:val="auto"/>
          <w:spacing w:val="36"/>
          <w:sz w:val="52"/>
          <w:szCs w:val="52"/>
          <w:lang w:eastAsia="zh-CN"/>
        </w:rPr>
        <w:t>北票市冶通矿业有限公司年产</w:t>
      </w:r>
      <w:r>
        <w:rPr>
          <w:rFonts w:hint="default" w:ascii="Times New Roman" w:hAnsi="Times New Roman" w:eastAsia="宋体" w:cs="Times New Roman"/>
          <w:b/>
          <w:bCs/>
          <w:color w:val="auto"/>
          <w:spacing w:val="36"/>
          <w:sz w:val="52"/>
          <w:szCs w:val="52"/>
          <w:lang w:val="en-US" w:eastAsia="zh-CN"/>
        </w:rPr>
        <w:t>50万吨铁精粉</w:t>
      </w:r>
      <w:r>
        <w:rPr>
          <w:rFonts w:hint="default" w:ascii="Times New Roman" w:hAnsi="Times New Roman" w:eastAsia="宋体" w:cs="Times New Roman"/>
          <w:b/>
          <w:bCs/>
          <w:color w:val="auto"/>
          <w:spacing w:val="36"/>
          <w:sz w:val="52"/>
          <w:szCs w:val="52"/>
        </w:rPr>
        <w:t>建设项目</w:t>
      </w:r>
    </w:p>
    <w:p>
      <w:pPr>
        <w:snapToGrid w:val="0"/>
        <w:spacing w:line="360" w:lineRule="auto"/>
        <w:jc w:val="center"/>
        <w:rPr>
          <w:rFonts w:hint="default" w:ascii="Times New Roman" w:hAnsi="Times New Roman" w:eastAsia="宋体" w:cs="Times New Roman"/>
          <w:b/>
          <w:bCs/>
          <w:color w:val="auto"/>
          <w:spacing w:val="20"/>
          <w:sz w:val="44"/>
          <w:szCs w:val="44"/>
          <w:lang w:eastAsia="zh-CN"/>
        </w:rPr>
      </w:pPr>
      <w:r>
        <w:rPr>
          <w:rFonts w:hint="default" w:ascii="Times New Roman" w:hAnsi="Times New Roman" w:eastAsia="宋体" w:cs="Times New Roman"/>
          <w:b/>
          <w:bCs/>
          <w:color w:val="auto"/>
          <w:spacing w:val="36"/>
          <w:sz w:val="52"/>
          <w:szCs w:val="52"/>
        </w:rPr>
        <w:t>环境影响报告书</w:t>
      </w:r>
      <w:bookmarkEnd w:id="3"/>
      <w:bookmarkEnd w:id="4"/>
      <w:bookmarkEnd w:id="5"/>
    </w:p>
    <w:p>
      <w:pPr>
        <w:snapToGrid w:val="0"/>
        <w:spacing w:line="360" w:lineRule="auto"/>
        <w:jc w:val="center"/>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rPr>
        <w:t>（</w:t>
      </w:r>
      <w:r>
        <w:rPr>
          <w:rFonts w:hint="default" w:ascii="Times New Roman" w:hAnsi="Times New Roman" w:eastAsia="宋体" w:cs="Times New Roman"/>
          <w:b/>
          <w:bCs/>
          <w:color w:val="auto"/>
          <w:sz w:val="28"/>
          <w:szCs w:val="28"/>
          <w:lang w:eastAsia="zh-CN"/>
        </w:rPr>
        <w:t>送审</w:t>
      </w:r>
      <w:r>
        <w:rPr>
          <w:rFonts w:hint="default" w:ascii="Times New Roman" w:hAnsi="Times New Roman" w:eastAsia="宋体" w:cs="Times New Roman"/>
          <w:b/>
          <w:bCs/>
          <w:color w:val="auto"/>
          <w:sz w:val="28"/>
          <w:szCs w:val="28"/>
        </w:rPr>
        <w:t>版）</w:t>
      </w:r>
    </w:p>
    <w:p>
      <w:pPr>
        <w:ind w:firstLine="480"/>
        <w:rPr>
          <w:rFonts w:hint="default" w:ascii="Times New Roman" w:hAnsi="Times New Roman" w:eastAsia="宋体" w:cs="Times New Roman"/>
          <w:color w:val="auto"/>
        </w:rPr>
      </w:pPr>
    </w:p>
    <w:p>
      <w:pPr>
        <w:ind w:firstLine="480"/>
        <w:rPr>
          <w:rFonts w:hint="default" w:ascii="Times New Roman" w:hAnsi="Times New Roman" w:eastAsia="宋体" w:cs="Times New Roman"/>
          <w:color w:val="auto"/>
        </w:rPr>
      </w:pPr>
    </w:p>
    <w:p>
      <w:pPr>
        <w:ind w:firstLine="480"/>
        <w:rPr>
          <w:rFonts w:hint="default" w:ascii="Times New Roman" w:hAnsi="Times New Roman" w:eastAsia="宋体" w:cs="Times New Roman"/>
          <w:color w:val="auto"/>
        </w:rPr>
      </w:pPr>
    </w:p>
    <w:p>
      <w:pPr>
        <w:ind w:firstLine="480"/>
        <w:rPr>
          <w:rFonts w:hint="default" w:ascii="Times New Roman" w:hAnsi="Times New Roman" w:eastAsia="宋体" w:cs="Times New Roman"/>
          <w:color w:val="auto"/>
        </w:rPr>
      </w:pPr>
    </w:p>
    <w:p>
      <w:pPr>
        <w:ind w:firstLine="480"/>
        <w:rPr>
          <w:rFonts w:hint="default" w:ascii="Times New Roman" w:hAnsi="Times New Roman" w:eastAsia="宋体" w:cs="Times New Roman"/>
          <w:color w:val="auto"/>
        </w:rPr>
      </w:pPr>
    </w:p>
    <w:p>
      <w:pPr>
        <w:ind w:firstLine="480"/>
        <w:rPr>
          <w:rFonts w:hint="default" w:ascii="Times New Roman" w:hAnsi="Times New Roman" w:eastAsia="宋体" w:cs="Times New Roman"/>
          <w:color w:val="auto"/>
        </w:rPr>
      </w:pPr>
    </w:p>
    <w:p>
      <w:pPr>
        <w:ind w:firstLine="480"/>
        <w:rPr>
          <w:rFonts w:hint="default" w:ascii="Times New Roman" w:hAnsi="Times New Roman" w:eastAsia="宋体" w:cs="Times New Roman"/>
          <w:color w:val="auto"/>
        </w:rPr>
      </w:pPr>
    </w:p>
    <w:p>
      <w:pPr>
        <w:ind w:firstLine="480"/>
        <w:rPr>
          <w:rFonts w:hint="default" w:ascii="Times New Roman" w:hAnsi="Times New Roman" w:eastAsia="宋体" w:cs="Times New Roman"/>
          <w:color w:val="auto"/>
        </w:rPr>
      </w:pPr>
    </w:p>
    <w:p>
      <w:pPr>
        <w:ind w:firstLine="480"/>
        <w:rPr>
          <w:rFonts w:hint="default" w:ascii="Times New Roman" w:hAnsi="Times New Roman" w:eastAsia="宋体" w:cs="Times New Roman"/>
          <w:color w:val="auto"/>
        </w:rPr>
      </w:pPr>
    </w:p>
    <w:p>
      <w:pPr>
        <w:ind w:firstLine="480"/>
        <w:rPr>
          <w:rFonts w:hint="default" w:ascii="Times New Roman" w:hAnsi="Times New Roman" w:eastAsia="宋体" w:cs="Times New Roman"/>
          <w:color w:val="auto"/>
        </w:rPr>
      </w:pPr>
    </w:p>
    <w:p>
      <w:pPr>
        <w:rPr>
          <w:rFonts w:hint="default" w:ascii="Times New Roman" w:hAnsi="Times New Roman" w:eastAsia="宋体" w:cs="Times New Roman"/>
          <w:color w:val="auto"/>
        </w:rPr>
      </w:pPr>
    </w:p>
    <w:p>
      <w:pPr>
        <w:spacing w:beforeLines="50" w:line="360" w:lineRule="auto"/>
        <w:ind w:firstLine="1958" w:firstLineChars="650"/>
        <w:rPr>
          <w:rFonts w:hint="default" w:ascii="Times New Roman" w:hAnsi="Times New Roman" w:eastAsia="宋体" w:cs="Times New Roman"/>
          <w:b/>
          <w:color w:val="auto"/>
          <w:sz w:val="30"/>
          <w:szCs w:val="30"/>
        </w:rPr>
      </w:pPr>
    </w:p>
    <w:p>
      <w:pPr>
        <w:pStyle w:val="16"/>
        <w:rPr>
          <w:rFonts w:hint="default" w:ascii="Times New Roman" w:hAnsi="Times New Roman" w:eastAsia="宋体" w:cs="Times New Roman"/>
          <w:b/>
          <w:color w:val="auto"/>
          <w:sz w:val="30"/>
          <w:szCs w:val="30"/>
        </w:rPr>
      </w:pPr>
    </w:p>
    <w:p>
      <w:pPr>
        <w:pStyle w:val="16"/>
        <w:rPr>
          <w:rFonts w:hint="default" w:ascii="Times New Roman" w:hAnsi="Times New Roman" w:eastAsia="宋体" w:cs="Times New Roman"/>
          <w:b/>
          <w:color w:val="auto"/>
          <w:sz w:val="30"/>
          <w:szCs w:val="30"/>
        </w:rPr>
      </w:pPr>
    </w:p>
    <w:p>
      <w:pPr>
        <w:pStyle w:val="16"/>
        <w:rPr>
          <w:rFonts w:hint="default" w:ascii="Times New Roman" w:hAnsi="Times New Roman" w:eastAsia="宋体" w:cs="Times New Roman"/>
          <w:b/>
          <w:color w:val="auto"/>
          <w:sz w:val="30"/>
          <w:szCs w:val="30"/>
        </w:rPr>
      </w:pPr>
    </w:p>
    <w:p>
      <w:pPr>
        <w:pStyle w:val="16"/>
        <w:rPr>
          <w:rFonts w:hint="default" w:ascii="Times New Roman" w:hAnsi="Times New Roman" w:eastAsia="宋体" w:cs="Times New Roman"/>
          <w:b/>
          <w:color w:val="auto"/>
          <w:sz w:val="30"/>
          <w:szCs w:val="30"/>
        </w:rPr>
      </w:pPr>
    </w:p>
    <w:p>
      <w:pPr>
        <w:spacing w:beforeLines="50" w:line="360" w:lineRule="auto"/>
        <w:ind w:firstLine="1827" w:firstLineChars="650"/>
        <w:rPr>
          <w:rFonts w:hint="default" w:ascii="Times New Roman" w:hAnsi="Times New Roman" w:eastAsia="宋体" w:cs="Times New Roman"/>
          <w:b/>
          <w:color w:val="auto"/>
          <w:sz w:val="28"/>
          <w:szCs w:val="28"/>
        </w:rPr>
      </w:pPr>
    </w:p>
    <w:p>
      <w:pPr>
        <w:snapToGrid w:val="0"/>
        <w:spacing w:line="360" w:lineRule="auto"/>
        <w:jc w:val="center"/>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rPr>
        <w:t>建设单位：</w:t>
      </w:r>
      <w:r>
        <w:rPr>
          <w:rFonts w:hint="default" w:ascii="Times New Roman" w:hAnsi="Times New Roman" w:eastAsia="宋体" w:cs="Times New Roman"/>
          <w:b/>
          <w:bCs/>
          <w:color w:val="auto"/>
          <w:sz w:val="28"/>
          <w:szCs w:val="28"/>
          <w:lang w:eastAsia="zh-CN"/>
        </w:rPr>
        <w:t>北票市冶通矿业有限公司</w:t>
      </w:r>
    </w:p>
    <w:p>
      <w:pPr>
        <w:spacing w:beforeLines="50" w:line="360" w:lineRule="auto"/>
        <w:jc w:val="center"/>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评价单位：</w:t>
      </w:r>
      <w:r>
        <w:rPr>
          <w:rFonts w:hint="default" w:ascii="Times New Roman" w:hAnsi="Times New Roman" w:eastAsia="宋体" w:cs="Times New Roman"/>
          <w:b/>
          <w:color w:val="auto"/>
          <w:sz w:val="28"/>
          <w:szCs w:val="28"/>
          <w:lang w:val="en-US" w:eastAsia="zh-CN"/>
        </w:rPr>
        <w:t>朝阳德泰项目管理有限公司</w:t>
      </w:r>
    </w:p>
    <w:p>
      <w:pPr>
        <w:spacing w:beforeLines="50" w:line="360" w:lineRule="auto"/>
        <w:jc w:val="center"/>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rPr>
        <w:t>编制时间：2021年</w:t>
      </w:r>
      <w:r>
        <w:rPr>
          <w:rFonts w:hint="default" w:ascii="Times New Roman" w:hAnsi="Times New Roman" w:eastAsia="宋体" w:cs="Times New Roman"/>
          <w:b/>
          <w:bCs/>
          <w:color w:val="auto"/>
          <w:sz w:val="28"/>
          <w:szCs w:val="28"/>
          <w:lang w:val="en-US" w:eastAsia="zh-CN"/>
        </w:rPr>
        <w:t>12</w:t>
      </w:r>
      <w:r>
        <w:rPr>
          <w:rFonts w:hint="default" w:ascii="Times New Roman" w:hAnsi="Times New Roman" w:eastAsia="宋体" w:cs="Times New Roman"/>
          <w:b/>
          <w:bCs/>
          <w:color w:val="auto"/>
          <w:sz w:val="28"/>
          <w:szCs w:val="28"/>
        </w:rPr>
        <w:t>月</w:t>
      </w:r>
    </w:p>
    <w:p>
      <w:pPr>
        <w:rPr>
          <w:rFonts w:hint="default" w:ascii="Times New Roman" w:hAnsi="Times New Roman" w:eastAsia="宋体" w:cs="Times New Roman"/>
          <w:color w:val="auto"/>
        </w:rPr>
      </w:pPr>
    </w:p>
    <w:p>
      <w:pPr>
        <w:rPr>
          <w:rFonts w:hint="default" w:ascii="Times New Roman" w:hAnsi="Times New Roman" w:eastAsia="宋体" w:cs="Times New Roman"/>
          <w:color w:val="auto"/>
        </w:rPr>
        <w:sectPr>
          <w:footerReference r:id="rId3" w:type="default"/>
          <w:footerReference r:id="rId4" w:type="even"/>
          <w:pgSz w:w="11907" w:h="16840"/>
          <w:pgMar w:top="1418" w:right="1418" w:bottom="1418" w:left="1418" w:header="964" w:footer="964" w:gutter="0"/>
          <w:pgBorders>
            <w:top w:val="none" w:sz="0" w:space="0"/>
            <w:left w:val="none" w:sz="0" w:space="0"/>
            <w:bottom w:val="none" w:sz="0" w:space="0"/>
            <w:right w:val="none" w:sz="0" w:space="0"/>
          </w:pgBorders>
          <w:pgNumType w:fmt="upperRoman" w:start="1"/>
          <w:cols w:space="720" w:num="1"/>
          <w:docGrid w:linePitch="312" w:charSpace="0"/>
        </w:sectPr>
      </w:pPr>
    </w:p>
    <w:p>
      <w:pPr>
        <w:pStyle w:val="239"/>
        <w:rPr>
          <w:rFonts w:hint="default" w:ascii="Times New Roman" w:hAnsi="Times New Roman" w:eastAsia="宋体" w:cs="Times New Roman"/>
          <w:color w:val="auto"/>
        </w:rPr>
      </w:pPr>
      <w:bookmarkStart w:id="6" w:name="_Toc476639387"/>
      <w:bookmarkStart w:id="7" w:name="_Toc476553903"/>
      <w:bookmarkStart w:id="8" w:name="_Toc478394732"/>
      <w:bookmarkStart w:id="9" w:name="_Toc478038774"/>
      <w:bookmarkStart w:id="10" w:name="_Toc355284828"/>
      <w:r>
        <w:rPr>
          <w:rFonts w:hint="default" w:ascii="Times New Roman" w:hAnsi="Times New Roman" w:eastAsia="宋体" w:cs="Times New Roman"/>
          <w:color w:val="auto"/>
        </w:rPr>
        <w:t>目录</w:t>
      </w:r>
      <w:bookmarkEnd w:id="6"/>
      <w:bookmarkEnd w:id="7"/>
      <w:bookmarkEnd w:id="8"/>
      <w:bookmarkEnd w:id="9"/>
    </w:p>
    <w:p>
      <w:pPr>
        <w:pStyle w:val="37"/>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val="0"/>
          <w:caps w:val="0"/>
          <w:color w:val="auto"/>
          <w:sz w:val="21"/>
          <w:szCs w:val="21"/>
        </w:rPr>
        <w:fldChar w:fldCharType="begin"/>
      </w:r>
      <w:r>
        <w:rPr>
          <w:rFonts w:hint="default" w:ascii="Times New Roman" w:hAnsi="Times New Roman" w:eastAsia="宋体" w:cs="Times New Roman"/>
          <w:bCs w:val="0"/>
          <w:caps w:val="0"/>
          <w:color w:val="auto"/>
          <w:sz w:val="21"/>
          <w:szCs w:val="21"/>
        </w:rPr>
        <w:instrText xml:space="preserve"> TOC \o "1-2" \h \z \u </w:instrText>
      </w:r>
      <w:r>
        <w:rPr>
          <w:rFonts w:hint="default" w:ascii="Times New Roman" w:hAnsi="Times New Roman" w:eastAsia="宋体" w:cs="Times New Roman"/>
          <w:bCs w:val="0"/>
          <w:caps w:val="0"/>
          <w:color w:val="auto"/>
          <w:sz w:val="21"/>
          <w:szCs w:val="21"/>
        </w:rPr>
        <w:fldChar w:fldCharType="separate"/>
      </w:r>
      <w:r>
        <w:rPr>
          <w:rFonts w:hint="default" w:ascii="Times New Roman" w:hAnsi="Times New Roman" w:eastAsia="宋体" w:cs="Times New Roman"/>
          <w:bCs w:val="0"/>
          <w:caps w:val="0"/>
          <w:color w:val="auto"/>
          <w:sz w:val="21"/>
          <w:szCs w:val="21"/>
        </w:rPr>
        <w:fldChar w:fldCharType="begin"/>
      </w:r>
      <w:r>
        <w:rPr>
          <w:rFonts w:hint="default" w:ascii="Times New Roman" w:hAnsi="Times New Roman" w:eastAsia="宋体" w:cs="Times New Roman"/>
          <w:bCs w:val="0"/>
          <w:caps w:val="0"/>
          <w:sz w:val="21"/>
          <w:szCs w:val="21"/>
        </w:rPr>
        <w:instrText xml:space="preserve"> HYPERLINK \l _Toc22052 </w:instrText>
      </w:r>
      <w:r>
        <w:rPr>
          <w:rFonts w:hint="default" w:ascii="Times New Roman" w:hAnsi="Times New Roman" w:eastAsia="宋体" w:cs="Times New Roman"/>
          <w:bCs w:val="0"/>
          <w:caps w:val="0"/>
          <w:sz w:val="21"/>
          <w:szCs w:val="21"/>
        </w:rPr>
        <w:fldChar w:fldCharType="separate"/>
      </w:r>
      <w:r>
        <w:rPr>
          <w:rFonts w:hint="default" w:ascii="Times New Roman" w:hAnsi="Times New Roman" w:eastAsia="宋体" w:cs="Times New Roman"/>
          <w:sz w:val="21"/>
          <w:szCs w:val="21"/>
        </w:rPr>
        <w:t>前言</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_Toc22052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val="0"/>
          <w:caps w:val="0"/>
          <w:color w:val="auto"/>
          <w:sz w:val="21"/>
          <w:szCs w:val="21"/>
        </w:rPr>
        <w:fldChar w:fldCharType="end"/>
      </w:r>
    </w:p>
    <w:p>
      <w:pPr>
        <w:pStyle w:val="37"/>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_Toc30341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1总则</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_Toc30341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5</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_Toc14215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1.1编制依据</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_Toc14215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5</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_Toc23748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1.2评价目的、指导思想与评价原则</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_Toc23748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8</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_Toc2096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1.3环境影响因素识别与评价因子筛选</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_Toc2096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10</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_Toc30897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1.4评价标准</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_Toc30897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11</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_Toc16972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1.5评价等级、评价时段与评价重点</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_Toc16972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17</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_Toc31187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1.6评价范围及环境保护目标</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_Toc31187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22</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_Toc9514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1.7产业政策及区域规划符合性分析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_Toc9514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29</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37"/>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_Toc16531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2</w:t>
      </w:r>
      <w:r>
        <w:rPr>
          <w:rFonts w:hint="default" w:ascii="Times New Roman" w:hAnsi="Times New Roman" w:eastAsia="宋体" w:cs="Times New Roman"/>
          <w:sz w:val="21"/>
          <w:szCs w:val="21"/>
          <w:lang w:eastAsia="zh-CN"/>
        </w:rPr>
        <w:t>现有</w:t>
      </w:r>
      <w:r>
        <w:rPr>
          <w:rFonts w:hint="default" w:ascii="Times New Roman" w:hAnsi="Times New Roman" w:eastAsia="宋体" w:cs="Times New Roman"/>
          <w:sz w:val="21"/>
          <w:szCs w:val="21"/>
        </w:rPr>
        <w:t>项目</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_Toc16531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36</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_Toc7293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2.1</w:t>
      </w:r>
      <w:r>
        <w:rPr>
          <w:rFonts w:hint="default" w:ascii="Times New Roman" w:hAnsi="Times New Roman" w:eastAsia="宋体" w:cs="Times New Roman"/>
          <w:sz w:val="21"/>
          <w:szCs w:val="21"/>
          <w:lang w:eastAsia="zh-CN"/>
        </w:rPr>
        <w:t>现有</w:t>
      </w:r>
      <w:r>
        <w:rPr>
          <w:rFonts w:hint="default" w:ascii="Times New Roman" w:hAnsi="Times New Roman" w:eastAsia="宋体" w:cs="Times New Roman"/>
          <w:sz w:val="21"/>
          <w:szCs w:val="21"/>
        </w:rPr>
        <w:t>项目概况</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_Toc7293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36</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_Toc11012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2.2</w:t>
      </w:r>
      <w:r>
        <w:rPr>
          <w:rFonts w:hint="default" w:ascii="Times New Roman" w:hAnsi="Times New Roman" w:eastAsia="宋体" w:cs="Times New Roman"/>
          <w:sz w:val="21"/>
          <w:szCs w:val="21"/>
          <w:lang w:eastAsia="zh-CN"/>
        </w:rPr>
        <w:t>现有</w:t>
      </w:r>
      <w:r>
        <w:rPr>
          <w:rFonts w:hint="default" w:ascii="Times New Roman" w:hAnsi="Times New Roman" w:eastAsia="宋体" w:cs="Times New Roman"/>
          <w:sz w:val="21"/>
          <w:szCs w:val="21"/>
        </w:rPr>
        <w:t>项目工程分析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_Toc11012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38</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_Toc21132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highlight w:val="none"/>
        </w:rPr>
        <w:t>2.3</w:t>
      </w:r>
      <w:r>
        <w:rPr>
          <w:rFonts w:hint="default" w:ascii="Times New Roman" w:hAnsi="Times New Roman" w:eastAsia="宋体" w:cs="Times New Roman"/>
          <w:sz w:val="21"/>
          <w:szCs w:val="21"/>
          <w:highlight w:val="none"/>
          <w:lang w:eastAsia="zh-CN"/>
        </w:rPr>
        <w:t>现有</w:t>
      </w:r>
      <w:r>
        <w:rPr>
          <w:rFonts w:hint="default" w:ascii="Times New Roman" w:hAnsi="Times New Roman" w:eastAsia="宋体" w:cs="Times New Roman"/>
          <w:sz w:val="21"/>
          <w:szCs w:val="21"/>
          <w:highlight w:val="none"/>
        </w:rPr>
        <w:t>工程污染物排放及达标情况</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_Toc21132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42</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_Toc29897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highlight w:val="none"/>
        </w:rPr>
        <w:t>2.</w:t>
      </w:r>
      <w:r>
        <w:rPr>
          <w:rFonts w:hint="default" w:ascii="Times New Roman" w:hAnsi="Times New Roman" w:eastAsia="宋体" w:cs="Times New Roman"/>
          <w:sz w:val="21"/>
          <w:szCs w:val="21"/>
          <w:highlight w:val="none"/>
          <w:lang w:val="en-US" w:eastAsia="zh-CN"/>
        </w:rPr>
        <w:t>4</w:t>
      </w:r>
      <w:r>
        <w:rPr>
          <w:rFonts w:hint="default" w:ascii="Times New Roman" w:hAnsi="Times New Roman" w:eastAsia="宋体" w:cs="Times New Roman"/>
          <w:sz w:val="21"/>
          <w:szCs w:val="21"/>
          <w:highlight w:val="none"/>
          <w:lang w:eastAsia="zh-CN"/>
        </w:rPr>
        <w:t>现有工程污染物排放情况汇总</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_Toc29897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42</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37"/>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_Toc19719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highlight w:val="none"/>
        </w:rPr>
        <w:t>3建设项目工程分析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_Toc19719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44</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_Toc11037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3.1项目概况</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_Toc11037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44</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_Toc12633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3.</w:t>
      </w: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“三本帐”分析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_Toc12633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64</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37"/>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_Toc32345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4区域环境概况</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_Toc32345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65</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_Toc29869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4.1自然环境现状调查与评价</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_Toc29869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65</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_Toc17511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highlight w:val="none"/>
        </w:rPr>
        <w:t>4.2环境质量现状调查与评价</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_Toc17511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73</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37"/>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_Toc7428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5环境影响预测与评价</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_Toc7428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82</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_Toc23552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5.1 施工期环境影响分析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_Toc23552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82</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highlight w:val="none"/>
        </w:rPr>
      </w:pPr>
      <w:r>
        <w:rPr>
          <w:rFonts w:hint="default" w:ascii="Times New Roman" w:hAnsi="Times New Roman" w:eastAsia="宋体" w:cs="Times New Roman"/>
          <w:bCs/>
          <w:caps/>
          <w:color w:val="auto"/>
          <w:sz w:val="21"/>
          <w:szCs w:val="21"/>
          <w:highlight w:val="none"/>
        </w:rPr>
        <w:fldChar w:fldCharType="begin"/>
      </w:r>
      <w:r>
        <w:rPr>
          <w:rFonts w:hint="default" w:ascii="Times New Roman" w:hAnsi="Times New Roman" w:eastAsia="宋体" w:cs="Times New Roman"/>
          <w:bCs/>
          <w:caps/>
          <w:sz w:val="21"/>
          <w:szCs w:val="21"/>
          <w:highlight w:val="none"/>
        </w:rPr>
        <w:instrText xml:space="preserve"> HYPERLINK \l _Toc9225 </w:instrText>
      </w:r>
      <w:r>
        <w:rPr>
          <w:rFonts w:hint="default" w:ascii="Times New Roman" w:hAnsi="Times New Roman" w:eastAsia="宋体" w:cs="Times New Roman"/>
          <w:bCs/>
          <w:caps/>
          <w:sz w:val="21"/>
          <w:szCs w:val="21"/>
          <w:highlight w:val="none"/>
        </w:rPr>
        <w:fldChar w:fldCharType="separate"/>
      </w:r>
      <w:r>
        <w:rPr>
          <w:rFonts w:hint="default" w:ascii="Times New Roman" w:hAnsi="Times New Roman" w:eastAsia="宋体" w:cs="Times New Roman"/>
          <w:sz w:val="21"/>
          <w:szCs w:val="21"/>
          <w:highlight w:val="none"/>
        </w:rPr>
        <w:t>5.2运营期环境影响分析</w:t>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fldChar w:fldCharType="begin"/>
      </w:r>
      <w:r>
        <w:rPr>
          <w:rFonts w:hint="default" w:ascii="Times New Roman" w:hAnsi="Times New Roman" w:eastAsia="宋体" w:cs="Times New Roman"/>
          <w:sz w:val="21"/>
          <w:szCs w:val="21"/>
          <w:highlight w:val="none"/>
        </w:rPr>
        <w:instrText xml:space="preserve"> PAGEREF _Toc9225 \h </w:instrText>
      </w:r>
      <w:r>
        <w:rPr>
          <w:rFonts w:hint="default" w:ascii="Times New Roman" w:hAnsi="Times New Roman" w:eastAsia="宋体" w:cs="Times New Roman"/>
          <w:sz w:val="21"/>
          <w:szCs w:val="21"/>
          <w:highlight w:val="none"/>
        </w:rPr>
        <w:fldChar w:fldCharType="separate"/>
      </w:r>
      <w:r>
        <w:rPr>
          <w:rFonts w:hint="default" w:ascii="Times New Roman" w:hAnsi="Times New Roman" w:eastAsia="宋体" w:cs="Times New Roman"/>
          <w:sz w:val="21"/>
          <w:szCs w:val="21"/>
          <w:highlight w:val="none"/>
        </w:rPr>
        <w:t>87</w:t>
      </w:r>
      <w:r>
        <w:rPr>
          <w:rFonts w:hint="default" w:ascii="Times New Roman" w:hAnsi="Times New Roman" w:eastAsia="宋体" w:cs="Times New Roman"/>
          <w:sz w:val="21"/>
          <w:szCs w:val="21"/>
          <w:highlight w:val="none"/>
        </w:rPr>
        <w:fldChar w:fldCharType="end"/>
      </w:r>
      <w:r>
        <w:rPr>
          <w:rFonts w:hint="default" w:ascii="Times New Roman" w:hAnsi="Times New Roman" w:eastAsia="宋体" w:cs="Times New Roman"/>
          <w:bCs/>
          <w:caps/>
          <w:color w:val="auto"/>
          <w:sz w:val="21"/>
          <w:szCs w:val="21"/>
          <w:highlight w:val="none"/>
        </w:rPr>
        <w:fldChar w:fldCharType="end"/>
      </w:r>
    </w:p>
    <w:p>
      <w:pPr>
        <w:pStyle w:val="37"/>
        <w:tabs>
          <w:tab w:val="right" w:leader="dot" w:pos="9071"/>
        </w:tabs>
        <w:spacing w:line="360" w:lineRule="auto"/>
        <w:rPr>
          <w:rFonts w:hint="default" w:ascii="Times New Roman" w:hAnsi="Times New Roman" w:eastAsia="宋体" w:cs="Times New Roman"/>
          <w:sz w:val="21"/>
          <w:szCs w:val="21"/>
          <w:highlight w:val="none"/>
        </w:rPr>
      </w:pPr>
      <w:r>
        <w:rPr>
          <w:rFonts w:hint="default" w:ascii="Times New Roman" w:hAnsi="Times New Roman" w:eastAsia="宋体" w:cs="Times New Roman"/>
          <w:bCs/>
          <w:caps/>
          <w:color w:val="auto"/>
          <w:sz w:val="21"/>
          <w:szCs w:val="21"/>
          <w:highlight w:val="none"/>
        </w:rPr>
        <w:fldChar w:fldCharType="begin"/>
      </w:r>
      <w:r>
        <w:rPr>
          <w:rFonts w:hint="default" w:ascii="Times New Roman" w:hAnsi="Times New Roman" w:eastAsia="宋体" w:cs="Times New Roman"/>
          <w:bCs/>
          <w:caps/>
          <w:sz w:val="21"/>
          <w:szCs w:val="21"/>
          <w:highlight w:val="none"/>
        </w:rPr>
        <w:instrText xml:space="preserve"> HYPERLINK \l _Toc24231 </w:instrText>
      </w:r>
      <w:r>
        <w:rPr>
          <w:rFonts w:hint="default" w:ascii="Times New Roman" w:hAnsi="Times New Roman" w:eastAsia="宋体" w:cs="Times New Roman"/>
          <w:bCs/>
          <w:caps/>
          <w:sz w:val="21"/>
          <w:szCs w:val="21"/>
          <w:highlight w:val="none"/>
        </w:rPr>
        <w:fldChar w:fldCharType="separate"/>
      </w:r>
      <w:r>
        <w:rPr>
          <w:rFonts w:hint="default" w:ascii="Times New Roman" w:hAnsi="Times New Roman" w:eastAsia="宋体" w:cs="Times New Roman"/>
          <w:sz w:val="21"/>
          <w:szCs w:val="21"/>
          <w:highlight w:val="none"/>
        </w:rPr>
        <w:t>6污染防治措施可行性分析</w:t>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fldChar w:fldCharType="begin"/>
      </w:r>
      <w:r>
        <w:rPr>
          <w:rFonts w:hint="default" w:ascii="Times New Roman" w:hAnsi="Times New Roman" w:eastAsia="宋体" w:cs="Times New Roman"/>
          <w:sz w:val="21"/>
          <w:szCs w:val="21"/>
          <w:highlight w:val="none"/>
        </w:rPr>
        <w:instrText xml:space="preserve"> PAGEREF _Toc24231 \h </w:instrText>
      </w:r>
      <w:r>
        <w:rPr>
          <w:rFonts w:hint="default" w:ascii="Times New Roman" w:hAnsi="Times New Roman" w:eastAsia="宋体" w:cs="Times New Roman"/>
          <w:sz w:val="21"/>
          <w:szCs w:val="21"/>
          <w:highlight w:val="none"/>
        </w:rPr>
        <w:fldChar w:fldCharType="separate"/>
      </w:r>
      <w:r>
        <w:rPr>
          <w:rFonts w:hint="default" w:ascii="Times New Roman" w:hAnsi="Times New Roman" w:eastAsia="宋体" w:cs="Times New Roman"/>
          <w:sz w:val="21"/>
          <w:szCs w:val="21"/>
          <w:highlight w:val="none"/>
        </w:rPr>
        <w:t>139</w:t>
      </w:r>
      <w:r>
        <w:rPr>
          <w:rFonts w:hint="default" w:ascii="Times New Roman" w:hAnsi="Times New Roman" w:eastAsia="宋体" w:cs="Times New Roman"/>
          <w:sz w:val="21"/>
          <w:szCs w:val="21"/>
          <w:highlight w:val="none"/>
        </w:rPr>
        <w:fldChar w:fldCharType="end"/>
      </w:r>
      <w:r>
        <w:rPr>
          <w:rFonts w:hint="default" w:ascii="Times New Roman" w:hAnsi="Times New Roman" w:eastAsia="宋体" w:cs="Times New Roman"/>
          <w:bCs/>
          <w:caps/>
          <w:color w:val="auto"/>
          <w:sz w:val="21"/>
          <w:szCs w:val="21"/>
          <w:highlight w:val="none"/>
        </w:rPr>
        <w:fldChar w:fldCharType="end"/>
      </w:r>
    </w:p>
    <w:p>
      <w:pPr>
        <w:pStyle w:val="42"/>
        <w:tabs>
          <w:tab w:val="right" w:leader="dot" w:pos="9071"/>
        </w:tabs>
        <w:spacing w:line="360" w:lineRule="auto"/>
        <w:rPr>
          <w:rFonts w:hint="default" w:ascii="Times New Roman" w:hAnsi="Times New Roman" w:eastAsia="宋体" w:cs="Times New Roman"/>
          <w:sz w:val="21"/>
          <w:szCs w:val="21"/>
          <w:highlight w:val="none"/>
        </w:rPr>
      </w:pPr>
      <w:r>
        <w:rPr>
          <w:rFonts w:hint="default" w:ascii="Times New Roman" w:hAnsi="Times New Roman" w:eastAsia="宋体" w:cs="Times New Roman"/>
          <w:bCs/>
          <w:caps/>
          <w:color w:val="auto"/>
          <w:sz w:val="21"/>
          <w:szCs w:val="21"/>
          <w:highlight w:val="none"/>
        </w:rPr>
        <w:fldChar w:fldCharType="begin"/>
      </w:r>
      <w:r>
        <w:rPr>
          <w:rFonts w:hint="default" w:ascii="Times New Roman" w:hAnsi="Times New Roman" w:eastAsia="宋体" w:cs="Times New Roman"/>
          <w:bCs/>
          <w:caps/>
          <w:sz w:val="21"/>
          <w:szCs w:val="21"/>
          <w:highlight w:val="none"/>
        </w:rPr>
        <w:instrText xml:space="preserve"> HYPERLINK \l _Toc20877 </w:instrText>
      </w:r>
      <w:r>
        <w:rPr>
          <w:rFonts w:hint="default" w:ascii="Times New Roman" w:hAnsi="Times New Roman" w:eastAsia="宋体" w:cs="Times New Roman"/>
          <w:bCs/>
          <w:caps/>
          <w:sz w:val="21"/>
          <w:szCs w:val="21"/>
          <w:highlight w:val="none"/>
        </w:rPr>
        <w:fldChar w:fldCharType="separate"/>
      </w:r>
      <w:r>
        <w:rPr>
          <w:rFonts w:hint="default" w:ascii="Times New Roman" w:hAnsi="Times New Roman" w:eastAsia="宋体" w:cs="Times New Roman"/>
          <w:sz w:val="21"/>
          <w:szCs w:val="21"/>
          <w:highlight w:val="none"/>
        </w:rPr>
        <w:t>6.1施工期环保措施可行性分析</w:t>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fldChar w:fldCharType="begin"/>
      </w:r>
      <w:r>
        <w:rPr>
          <w:rFonts w:hint="default" w:ascii="Times New Roman" w:hAnsi="Times New Roman" w:eastAsia="宋体" w:cs="Times New Roman"/>
          <w:sz w:val="21"/>
          <w:szCs w:val="21"/>
          <w:highlight w:val="none"/>
        </w:rPr>
        <w:instrText xml:space="preserve"> PAGEREF _Toc20877 \h </w:instrText>
      </w:r>
      <w:r>
        <w:rPr>
          <w:rFonts w:hint="default" w:ascii="Times New Roman" w:hAnsi="Times New Roman" w:eastAsia="宋体" w:cs="Times New Roman"/>
          <w:sz w:val="21"/>
          <w:szCs w:val="21"/>
          <w:highlight w:val="none"/>
        </w:rPr>
        <w:fldChar w:fldCharType="separate"/>
      </w:r>
      <w:r>
        <w:rPr>
          <w:rFonts w:hint="default" w:ascii="Times New Roman" w:hAnsi="Times New Roman" w:eastAsia="宋体" w:cs="Times New Roman"/>
          <w:sz w:val="21"/>
          <w:szCs w:val="21"/>
          <w:highlight w:val="none"/>
        </w:rPr>
        <w:t>139</w:t>
      </w:r>
      <w:r>
        <w:rPr>
          <w:rFonts w:hint="default" w:ascii="Times New Roman" w:hAnsi="Times New Roman" w:eastAsia="宋体" w:cs="Times New Roman"/>
          <w:sz w:val="21"/>
          <w:szCs w:val="21"/>
          <w:highlight w:val="none"/>
        </w:rPr>
        <w:fldChar w:fldCharType="end"/>
      </w:r>
      <w:r>
        <w:rPr>
          <w:rFonts w:hint="default" w:ascii="Times New Roman" w:hAnsi="Times New Roman" w:eastAsia="宋体" w:cs="Times New Roman"/>
          <w:bCs/>
          <w:caps/>
          <w:color w:val="auto"/>
          <w:sz w:val="21"/>
          <w:szCs w:val="21"/>
          <w:highlight w:val="none"/>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highlight w:val="none"/>
        </w:rPr>
        <w:fldChar w:fldCharType="begin"/>
      </w:r>
      <w:r>
        <w:rPr>
          <w:rFonts w:hint="default" w:ascii="Times New Roman" w:hAnsi="Times New Roman" w:eastAsia="宋体" w:cs="Times New Roman"/>
          <w:bCs/>
          <w:caps/>
          <w:sz w:val="21"/>
          <w:szCs w:val="21"/>
          <w:highlight w:val="none"/>
        </w:rPr>
        <w:instrText xml:space="preserve"> HYPERLINK \l _Toc16326 </w:instrText>
      </w:r>
      <w:r>
        <w:rPr>
          <w:rFonts w:hint="default" w:ascii="Times New Roman" w:hAnsi="Times New Roman" w:eastAsia="宋体" w:cs="Times New Roman"/>
          <w:bCs/>
          <w:caps/>
          <w:sz w:val="21"/>
          <w:szCs w:val="21"/>
          <w:highlight w:val="none"/>
        </w:rPr>
        <w:fldChar w:fldCharType="separate"/>
      </w:r>
      <w:r>
        <w:rPr>
          <w:rFonts w:hint="default" w:ascii="Times New Roman" w:hAnsi="Times New Roman" w:eastAsia="宋体" w:cs="Times New Roman"/>
          <w:sz w:val="21"/>
          <w:szCs w:val="21"/>
          <w:highlight w:val="none"/>
        </w:rPr>
        <w:t>6.2运营期环保措施可行性分析</w:t>
      </w:r>
      <w:r>
        <w:rPr>
          <w:rFonts w:hint="default" w:ascii="Times New Roman" w:hAnsi="Times New Roman" w:eastAsia="宋体" w:cs="Times New Roman"/>
          <w:sz w:val="21"/>
          <w:szCs w:val="21"/>
          <w:highlight w:val="none"/>
        </w:rPr>
        <w:tab/>
      </w:r>
      <w:r>
        <w:rPr>
          <w:rFonts w:hint="default" w:ascii="Times New Roman" w:hAnsi="Times New Roman" w:eastAsia="宋体" w:cs="Times New Roman"/>
          <w:sz w:val="21"/>
          <w:szCs w:val="21"/>
          <w:highlight w:val="none"/>
        </w:rPr>
        <w:fldChar w:fldCharType="begin"/>
      </w:r>
      <w:r>
        <w:rPr>
          <w:rFonts w:hint="default" w:ascii="Times New Roman" w:hAnsi="Times New Roman" w:eastAsia="宋体" w:cs="Times New Roman"/>
          <w:sz w:val="21"/>
          <w:szCs w:val="21"/>
          <w:highlight w:val="none"/>
        </w:rPr>
        <w:instrText xml:space="preserve"> PAGEREF _Toc16326 \h </w:instrText>
      </w:r>
      <w:r>
        <w:rPr>
          <w:rFonts w:hint="default" w:ascii="Times New Roman" w:hAnsi="Times New Roman" w:eastAsia="宋体" w:cs="Times New Roman"/>
          <w:sz w:val="21"/>
          <w:szCs w:val="21"/>
          <w:highlight w:val="none"/>
        </w:rPr>
        <w:fldChar w:fldCharType="separate"/>
      </w:r>
      <w:r>
        <w:rPr>
          <w:rFonts w:hint="default" w:ascii="Times New Roman" w:hAnsi="Times New Roman" w:eastAsia="宋体" w:cs="Times New Roman"/>
          <w:sz w:val="21"/>
          <w:szCs w:val="21"/>
          <w:highlight w:val="none"/>
        </w:rPr>
        <w:t>141</w:t>
      </w:r>
      <w:r>
        <w:rPr>
          <w:rFonts w:hint="default" w:ascii="Times New Roman" w:hAnsi="Times New Roman" w:eastAsia="宋体" w:cs="Times New Roman"/>
          <w:sz w:val="21"/>
          <w:szCs w:val="21"/>
          <w:highlight w:val="none"/>
        </w:rPr>
        <w:fldChar w:fldCharType="end"/>
      </w:r>
      <w:r>
        <w:rPr>
          <w:rFonts w:hint="default" w:ascii="Times New Roman" w:hAnsi="Times New Roman" w:eastAsia="宋体" w:cs="Times New Roman"/>
          <w:bCs/>
          <w:caps/>
          <w:color w:val="auto"/>
          <w:sz w:val="21"/>
          <w:szCs w:val="21"/>
          <w:highlight w:val="none"/>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_Toc1330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lang w:val="en-US" w:eastAsia="zh-CN"/>
        </w:rPr>
        <w:t>6.3</w:t>
      </w:r>
      <w:r>
        <w:rPr>
          <w:rFonts w:hint="default" w:ascii="Times New Roman" w:hAnsi="Times New Roman" w:eastAsia="宋体" w:cs="Times New Roman"/>
          <w:sz w:val="21"/>
          <w:szCs w:val="21"/>
        </w:rPr>
        <w:t>项目的污染物排放控制总量</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_Toc1330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153</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37"/>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_Toc12285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7环境风险评价</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_Toc12285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154</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_Toc1477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7.</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风险调査</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_Toc1477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155</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_Toc22110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lang w:val="en-US" w:eastAsia="zh-CN"/>
        </w:rPr>
        <w:t>7.2</w:t>
      </w:r>
      <w:r>
        <w:rPr>
          <w:rFonts w:hint="default" w:ascii="Times New Roman" w:hAnsi="Times New Roman" w:eastAsia="宋体" w:cs="Times New Roman"/>
          <w:sz w:val="21"/>
          <w:szCs w:val="21"/>
        </w:rPr>
        <w:t>环境风险识别</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_Toc22110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156</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_Toc12657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lang w:val="en-US" w:eastAsia="zh-CN"/>
        </w:rPr>
        <w:t>7.3环境风险分析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_Toc12657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158</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_Toc12688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lang w:val="en-US" w:eastAsia="zh-CN"/>
        </w:rPr>
        <w:t>7.4</w:t>
      </w:r>
      <w:r>
        <w:rPr>
          <w:rFonts w:hint="default" w:ascii="Times New Roman" w:hAnsi="Times New Roman" w:eastAsia="宋体" w:cs="Times New Roman"/>
          <w:sz w:val="21"/>
          <w:szCs w:val="21"/>
        </w:rPr>
        <w:t>环境风险防控措施</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_Toc12688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159</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_Toc21850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lang w:val="en-US" w:eastAsia="zh-CN"/>
        </w:rPr>
        <w:t>7.5</w:t>
      </w:r>
      <w:r>
        <w:rPr>
          <w:rFonts w:hint="default" w:ascii="Times New Roman" w:hAnsi="Times New Roman" w:eastAsia="宋体" w:cs="Times New Roman"/>
          <w:sz w:val="21"/>
          <w:szCs w:val="21"/>
        </w:rPr>
        <w:t>环境风险评价结论</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_Toc21850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160</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37"/>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_Toc13561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8环境经济损益分析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_Toc13561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162</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_Toc20188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8.1经济效益分析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_Toc20188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162</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_Toc18914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8.2社会效益分析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_Toc18914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162</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_Toc26097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8.3环境效益分析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_Toc26097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162</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37"/>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_Toc29909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9环境管理与环境监测</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_Toc29909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164</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_Toc16295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9.1环境管理</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_Toc16295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164</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_Toc22179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9.2排污口规范化设置</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_Toc22179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165</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_Toc20869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9.3环境监测机构及职责</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_Toc20869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166</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_Toc28368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9.4环境监测计划</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_Toc28368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166</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_Toc17610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lang w:val="en-US" w:eastAsia="zh-CN"/>
        </w:rPr>
        <w:t>9.5污染物排放清单</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_Toc17610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168</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_Toc29246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lang w:val="en-US" w:eastAsia="zh-CN"/>
        </w:rPr>
        <w:t>9.6项目竣工环境保护“三同时”验收内容</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_Toc29246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171</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_Toc28904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lang w:val="en-US" w:eastAsia="zh-CN"/>
        </w:rPr>
        <w:t>9.7排污许可</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_Toc28904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172</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37"/>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_Toc24651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10结论</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_Toc24651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173</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_Toc3762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10.1工程概况</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_Toc3762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173</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_Toc4540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10.2产业政策符合性</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_Toc4540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173</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_Toc4624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10.3项目</w:t>
      </w:r>
      <w:r>
        <w:rPr>
          <w:rFonts w:hint="default" w:ascii="Times New Roman" w:hAnsi="Times New Roman" w:eastAsia="宋体" w:cs="Times New Roman"/>
          <w:sz w:val="21"/>
          <w:szCs w:val="21"/>
          <w:lang w:val="en-US" w:eastAsia="zh-CN"/>
        </w:rPr>
        <w:t>规划、</w:t>
      </w:r>
      <w:r>
        <w:rPr>
          <w:rFonts w:hint="default" w:ascii="Times New Roman" w:hAnsi="Times New Roman" w:eastAsia="宋体" w:cs="Times New Roman"/>
          <w:sz w:val="21"/>
          <w:szCs w:val="21"/>
        </w:rPr>
        <w:t>选址</w:t>
      </w:r>
      <w:r>
        <w:rPr>
          <w:rFonts w:hint="default" w:ascii="Times New Roman" w:hAnsi="Times New Roman" w:eastAsia="宋体" w:cs="Times New Roman"/>
          <w:sz w:val="21"/>
          <w:szCs w:val="21"/>
          <w:lang w:val="en-US" w:eastAsia="zh-CN"/>
        </w:rPr>
        <w:t>符合性</w:t>
      </w:r>
      <w:r>
        <w:rPr>
          <w:rFonts w:hint="default" w:ascii="Times New Roman" w:hAnsi="Times New Roman" w:eastAsia="宋体" w:cs="Times New Roman"/>
          <w:sz w:val="21"/>
          <w:szCs w:val="21"/>
        </w:rPr>
        <w:t>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_Toc4624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173</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_Toc6190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10.4环境质量现状</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_Toc6190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173</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_Toc17974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10.5环境影响评价结论</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_Toc17974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174</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_Toc14821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10.6总量控制</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_Toc14821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176</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_Toc26801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10.7公众参与结论</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_Toc26801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176</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_Toc29997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10.8环保投资及环境影响经济损益分析结论</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_Toc29997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178</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42"/>
        <w:tabs>
          <w:tab w:val="right" w:leader="dot" w:pos="9071"/>
        </w:tabs>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bCs/>
          <w:caps/>
          <w:color w:val="auto"/>
          <w:sz w:val="21"/>
          <w:szCs w:val="21"/>
        </w:rPr>
        <w:fldChar w:fldCharType="begin"/>
      </w:r>
      <w:r>
        <w:rPr>
          <w:rFonts w:hint="default" w:ascii="Times New Roman" w:hAnsi="Times New Roman" w:eastAsia="宋体" w:cs="Times New Roman"/>
          <w:bCs/>
          <w:caps/>
          <w:sz w:val="21"/>
          <w:szCs w:val="21"/>
        </w:rPr>
        <w:instrText xml:space="preserve"> HYPERLINK \l _Toc8652 </w:instrText>
      </w:r>
      <w:r>
        <w:rPr>
          <w:rFonts w:hint="default" w:ascii="Times New Roman" w:hAnsi="Times New Roman" w:eastAsia="宋体" w:cs="Times New Roman"/>
          <w:bCs/>
          <w:caps/>
          <w:sz w:val="21"/>
          <w:szCs w:val="21"/>
        </w:rPr>
        <w:fldChar w:fldCharType="separate"/>
      </w:r>
      <w:r>
        <w:rPr>
          <w:rFonts w:hint="default" w:ascii="Times New Roman" w:hAnsi="Times New Roman" w:eastAsia="宋体" w:cs="Times New Roman"/>
          <w:sz w:val="21"/>
          <w:szCs w:val="21"/>
        </w:rPr>
        <w:t>10.9评价总结论</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_Toc8652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178</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aps/>
          <w:color w:val="auto"/>
          <w:sz w:val="21"/>
          <w:szCs w:val="21"/>
        </w:rPr>
        <w:fldChar w:fldCharType="end"/>
      </w:r>
    </w:p>
    <w:p>
      <w:pPr>
        <w:pStyle w:val="37"/>
        <w:tabs>
          <w:tab w:val="right" w:leader="dot" w:pos="9071"/>
        </w:tabs>
        <w:rPr>
          <w:rFonts w:hint="default" w:ascii="Times New Roman" w:hAnsi="Times New Roman" w:eastAsia="宋体" w:cs="Times New Roman"/>
        </w:rPr>
      </w:pPr>
    </w:p>
    <w:p>
      <w:pPr>
        <w:pStyle w:val="42"/>
        <w:tabs>
          <w:tab w:val="right" w:leader="dot" w:pos="9071"/>
        </w:tabs>
        <w:rPr>
          <w:rFonts w:hint="default" w:ascii="Times New Roman" w:hAnsi="Times New Roman" w:eastAsia="宋体" w:cs="Times New Roman"/>
          <w:bCs/>
          <w:color w:val="auto"/>
          <w:sz w:val="21"/>
          <w:szCs w:val="21"/>
          <w:lang w:val="zh-CN"/>
        </w:rPr>
      </w:pPr>
      <w:r>
        <w:rPr>
          <w:rFonts w:hint="default" w:ascii="Times New Roman" w:hAnsi="Times New Roman" w:eastAsia="宋体" w:cs="Times New Roman"/>
          <w:bCs/>
          <w:caps/>
          <w:color w:val="auto"/>
          <w:szCs w:val="21"/>
        </w:rPr>
        <w:fldChar w:fldCharType="end"/>
      </w:r>
    </w:p>
    <w:p>
      <w:pPr>
        <w:rPr>
          <w:rFonts w:hint="default" w:ascii="Times New Roman" w:hAnsi="Times New Roman" w:eastAsia="宋体" w:cs="Times New Roman"/>
          <w:color w:val="auto"/>
        </w:rPr>
        <w:sectPr>
          <w:headerReference r:id="rId5" w:type="default"/>
          <w:footerReference r:id="rId6" w:type="default"/>
          <w:pgSz w:w="11907" w:h="16840"/>
          <w:pgMar w:top="1418" w:right="1418" w:bottom="1418" w:left="1418" w:header="964" w:footer="964" w:gutter="0"/>
          <w:pgBorders>
            <w:top w:val="none" w:sz="0" w:space="0"/>
            <w:left w:val="none" w:sz="0" w:space="0"/>
            <w:bottom w:val="none" w:sz="0" w:space="0"/>
            <w:right w:val="none" w:sz="0" w:space="0"/>
          </w:pgBorders>
          <w:pgNumType w:fmt="upperRoman" w:start="1"/>
          <w:cols w:space="720" w:num="1"/>
          <w:docGrid w:linePitch="312" w:charSpace="0"/>
        </w:sectPr>
      </w:pPr>
    </w:p>
    <w:bookmarkEnd w:id="0"/>
    <w:bookmarkEnd w:id="10"/>
    <w:p>
      <w:pPr>
        <w:pStyle w:val="346"/>
        <w:spacing w:beforeLines="20" w:afterLines="20" w:line="520" w:lineRule="exact"/>
        <w:jc w:val="center"/>
        <w:rPr>
          <w:rFonts w:hint="default" w:ascii="Times New Roman" w:hAnsi="Times New Roman" w:eastAsia="宋体" w:cs="Times New Roman"/>
          <w:color w:val="auto"/>
        </w:rPr>
      </w:pPr>
      <w:bookmarkStart w:id="11" w:name="_Toc476224957"/>
      <w:bookmarkStart w:id="12" w:name="_Toc476225113"/>
      <w:bookmarkStart w:id="13" w:name="_Toc400617533"/>
      <w:bookmarkStart w:id="14" w:name="_Toc22052"/>
      <w:bookmarkStart w:id="15" w:name="_Toc315788488"/>
      <w:bookmarkStart w:id="16" w:name="_Toc174806189"/>
      <w:bookmarkStart w:id="17" w:name="_Toc355284830"/>
      <w:r>
        <w:rPr>
          <w:rFonts w:hint="default" w:ascii="Times New Roman" w:hAnsi="Times New Roman" w:eastAsia="宋体" w:cs="Times New Roman"/>
          <w:color w:val="auto"/>
        </w:rPr>
        <w:t>前言</w:t>
      </w:r>
      <w:bookmarkEnd w:id="11"/>
      <w:bookmarkEnd w:id="12"/>
      <w:bookmarkEnd w:id="13"/>
      <w:bookmarkEnd w:id="14"/>
    </w:p>
    <w:p>
      <w:pPr>
        <w:widowControl/>
        <w:spacing w:beforeLines="50" w:line="360" w:lineRule="auto"/>
        <w:ind w:firstLine="562"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b/>
          <w:color w:val="auto"/>
          <w:sz w:val="28"/>
          <w:szCs w:val="28"/>
        </w:rPr>
        <w:t>一、项目由来</w:t>
      </w:r>
    </w:p>
    <w:p>
      <w:pPr>
        <w:autoSpaceDE w:val="0"/>
        <w:autoSpaceDN w:val="0"/>
        <w:spacing w:line="360" w:lineRule="auto"/>
        <w:ind w:firstLine="480" w:firstLineChars="200"/>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rPr>
        <w:t>北票市冶通矿业有限公司</w:t>
      </w:r>
      <w:r>
        <w:rPr>
          <w:rFonts w:hint="default" w:ascii="Times New Roman" w:hAnsi="Times New Roman" w:eastAsia="宋体" w:cs="Times New Roman"/>
          <w:color w:val="auto"/>
          <w:kern w:val="2"/>
          <w:sz w:val="24"/>
          <w:szCs w:val="24"/>
          <w:lang w:eastAsia="zh-CN"/>
        </w:rPr>
        <w:t>原名北票市</w:t>
      </w:r>
      <w:r>
        <w:rPr>
          <w:rFonts w:hint="default" w:ascii="Times New Roman" w:hAnsi="Times New Roman" w:eastAsia="宋体" w:cs="Times New Roman"/>
          <w:color w:val="auto"/>
          <w:kern w:val="2"/>
          <w:sz w:val="24"/>
          <w:szCs w:val="24"/>
        </w:rPr>
        <w:t>东官营</w:t>
      </w:r>
      <w:r>
        <w:rPr>
          <w:rFonts w:hint="default" w:ascii="Times New Roman" w:hAnsi="Times New Roman" w:eastAsia="宋体" w:cs="Times New Roman"/>
          <w:color w:val="auto"/>
          <w:kern w:val="2"/>
          <w:sz w:val="24"/>
          <w:szCs w:val="24"/>
          <w:lang w:eastAsia="zh-CN"/>
        </w:rPr>
        <w:t>鑫升铁选厂，位于</w:t>
      </w:r>
      <w:r>
        <w:rPr>
          <w:rFonts w:hint="default" w:ascii="Times New Roman" w:hAnsi="Times New Roman" w:eastAsia="宋体" w:cs="Times New Roman"/>
          <w:color w:val="auto"/>
          <w:kern w:val="2"/>
          <w:sz w:val="24"/>
          <w:szCs w:val="24"/>
        </w:rPr>
        <w:t>辽宁省朝阳市北票市东官营乡小巴沟村</w:t>
      </w:r>
      <w:r>
        <w:rPr>
          <w:rFonts w:hint="default" w:ascii="Times New Roman" w:hAnsi="Times New Roman" w:eastAsia="宋体" w:cs="Times New Roman"/>
          <w:color w:val="auto"/>
          <w:kern w:val="2"/>
          <w:sz w:val="24"/>
          <w:szCs w:val="24"/>
          <w:lang w:eastAsia="zh-CN"/>
        </w:rPr>
        <w:t>，公司于</w:t>
      </w:r>
      <w:r>
        <w:rPr>
          <w:rFonts w:hint="default" w:ascii="Times New Roman" w:hAnsi="Times New Roman" w:eastAsia="宋体" w:cs="Times New Roman"/>
          <w:color w:val="auto"/>
          <w:kern w:val="2"/>
          <w:sz w:val="24"/>
          <w:szCs w:val="24"/>
          <w:lang w:val="en-US" w:eastAsia="zh-CN"/>
        </w:rPr>
        <w:t>2008年委托山东省煤田地质局编制《</w:t>
      </w:r>
      <w:r>
        <w:rPr>
          <w:rFonts w:hint="default" w:ascii="Times New Roman" w:hAnsi="Times New Roman" w:eastAsia="宋体" w:cs="Times New Roman"/>
          <w:color w:val="auto"/>
          <w:kern w:val="2"/>
          <w:sz w:val="24"/>
          <w:szCs w:val="24"/>
          <w:lang w:eastAsia="zh-CN"/>
        </w:rPr>
        <w:t>北票市</w:t>
      </w:r>
      <w:r>
        <w:rPr>
          <w:rFonts w:hint="default" w:ascii="Times New Roman" w:hAnsi="Times New Roman" w:eastAsia="宋体" w:cs="Times New Roman"/>
          <w:color w:val="auto"/>
          <w:kern w:val="2"/>
          <w:sz w:val="24"/>
          <w:szCs w:val="24"/>
        </w:rPr>
        <w:t>东官营</w:t>
      </w:r>
      <w:r>
        <w:rPr>
          <w:rFonts w:hint="default" w:ascii="Times New Roman" w:hAnsi="Times New Roman" w:eastAsia="宋体" w:cs="Times New Roman"/>
          <w:color w:val="auto"/>
          <w:kern w:val="2"/>
          <w:sz w:val="24"/>
          <w:szCs w:val="24"/>
          <w:lang w:eastAsia="zh-CN"/>
        </w:rPr>
        <w:t>鑫升铁选厂年产</w:t>
      </w:r>
      <w:r>
        <w:rPr>
          <w:rFonts w:hint="default" w:ascii="Times New Roman" w:hAnsi="Times New Roman" w:eastAsia="宋体" w:cs="Times New Roman"/>
          <w:color w:val="auto"/>
          <w:kern w:val="2"/>
          <w:sz w:val="24"/>
          <w:szCs w:val="24"/>
          <w:lang w:val="en-US" w:eastAsia="zh-CN"/>
        </w:rPr>
        <w:t>5万吨铁精粉建设项目环境影响报告书》，北票市环境保护局于2009年4月8日对该项目出具《关于</w:t>
      </w:r>
      <w:r>
        <w:rPr>
          <w:rFonts w:hint="default" w:ascii="Times New Roman" w:hAnsi="Times New Roman" w:eastAsia="宋体" w:cs="Times New Roman"/>
          <w:color w:val="auto"/>
          <w:kern w:val="2"/>
          <w:sz w:val="24"/>
          <w:szCs w:val="24"/>
          <w:lang w:eastAsia="zh-CN"/>
        </w:rPr>
        <w:t>北票市</w:t>
      </w:r>
      <w:r>
        <w:rPr>
          <w:rFonts w:hint="default" w:ascii="Times New Roman" w:hAnsi="Times New Roman" w:eastAsia="宋体" w:cs="Times New Roman"/>
          <w:color w:val="auto"/>
          <w:kern w:val="2"/>
          <w:sz w:val="24"/>
          <w:szCs w:val="24"/>
        </w:rPr>
        <w:t>东官营</w:t>
      </w:r>
      <w:r>
        <w:rPr>
          <w:rFonts w:hint="default" w:ascii="Times New Roman" w:hAnsi="Times New Roman" w:eastAsia="宋体" w:cs="Times New Roman"/>
          <w:color w:val="auto"/>
          <w:kern w:val="2"/>
          <w:sz w:val="24"/>
          <w:szCs w:val="24"/>
          <w:lang w:eastAsia="zh-CN"/>
        </w:rPr>
        <w:t>鑫升铁选厂年产</w:t>
      </w:r>
      <w:r>
        <w:rPr>
          <w:rFonts w:hint="default" w:ascii="Times New Roman" w:hAnsi="Times New Roman" w:eastAsia="宋体" w:cs="Times New Roman"/>
          <w:color w:val="auto"/>
          <w:kern w:val="2"/>
          <w:sz w:val="24"/>
          <w:szCs w:val="24"/>
          <w:lang w:val="en-US" w:eastAsia="zh-CN"/>
        </w:rPr>
        <w:t>5万吨铁精粉建设项目环境影响报告书的批复》，文号为北环审【2009】31号，该项</w:t>
      </w:r>
      <w:r>
        <w:rPr>
          <w:rFonts w:hint="default" w:ascii="Times New Roman" w:hAnsi="Times New Roman" w:eastAsia="宋体" w:cs="Times New Roman"/>
          <w:color w:val="auto"/>
          <w:kern w:val="2"/>
          <w:sz w:val="24"/>
          <w:szCs w:val="24"/>
          <w:highlight w:val="none"/>
          <w:lang w:val="en-US" w:eastAsia="zh-CN"/>
        </w:rPr>
        <w:t>目于2011年6月25日完成验收。</w:t>
      </w:r>
    </w:p>
    <w:p>
      <w:pPr>
        <w:autoSpaceDE w:val="0"/>
        <w:autoSpaceDN w:val="0"/>
        <w:spacing w:line="360" w:lineRule="auto"/>
        <w:ind w:firstLine="480" w:firstLineChars="200"/>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eastAsia="zh-CN"/>
        </w:rPr>
        <w:t>由于铁精粉市场良好，</w:t>
      </w:r>
      <w:r>
        <w:rPr>
          <w:rFonts w:hint="default" w:ascii="Times New Roman" w:hAnsi="Times New Roman" w:eastAsia="宋体" w:cs="Times New Roman"/>
          <w:color w:val="auto"/>
          <w:kern w:val="2"/>
          <w:sz w:val="24"/>
          <w:szCs w:val="24"/>
        </w:rPr>
        <w:t>北票市冶通矿业有限公司</w:t>
      </w:r>
      <w:r>
        <w:rPr>
          <w:rFonts w:hint="default" w:ascii="Times New Roman" w:hAnsi="Times New Roman" w:eastAsia="宋体" w:cs="Times New Roman"/>
          <w:color w:val="auto"/>
          <w:kern w:val="2"/>
          <w:sz w:val="24"/>
          <w:szCs w:val="24"/>
          <w:lang w:eastAsia="zh-CN"/>
        </w:rPr>
        <w:t>决定对原有项目进行扩建，建设北票市冶通矿业有限公司年产50万吨铁精粉建设项目，矿石来源为本公司自有矿山（与北票市腾远矿业有限公司及北票市金禄矿业有限公司共用</w:t>
      </w:r>
      <w:r>
        <w:rPr>
          <w:rFonts w:hint="default" w:ascii="Times New Roman" w:hAnsi="Times New Roman" w:eastAsia="宋体" w:cs="Times New Roman"/>
          <w:color w:val="auto"/>
          <w:kern w:val="2"/>
          <w:sz w:val="24"/>
          <w:szCs w:val="24"/>
          <w:lang w:val="en-US" w:eastAsia="zh-CN"/>
        </w:rPr>
        <w:t>1个采矿证）</w:t>
      </w: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highlight w:val="none"/>
          <w:lang w:eastAsia="zh-CN"/>
        </w:rPr>
        <w:t>采矿证号为</w:t>
      </w:r>
      <w:r>
        <w:rPr>
          <w:rFonts w:hint="default" w:ascii="Times New Roman" w:hAnsi="Times New Roman" w:eastAsia="宋体" w:cs="Times New Roman"/>
          <w:color w:val="auto"/>
          <w:kern w:val="2"/>
          <w:sz w:val="24"/>
          <w:szCs w:val="24"/>
          <w:highlight w:val="none"/>
          <w:lang w:val="en-US" w:eastAsia="zh-CN"/>
        </w:rPr>
        <w:t>2113810609005。</w:t>
      </w:r>
      <w:r>
        <w:rPr>
          <w:rFonts w:hint="default" w:ascii="Times New Roman" w:hAnsi="Times New Roman" w:eastAsia="宋体" w:cs="Times New Roman"/>
          <w:color w:val="auto"/>
          <w:kern w:val="2"/>
          <w:sz w:val="24"/>
          <w:szCs w:val="24"/>
          <w:highlight w:val="none"/>
          <w:lang w:eastAsia="zh-CN"/>
        </w:rPr>
        <w:t>该项目目前破碎车间及干排系统已基本建成，</w:t>
      </w:r>
      <w:r>
        <w:rPr>
          <w:rFonts w:hint="default" w:ascii="Times New Roman" w:hAnsi="Times New Roman" w:eastAsia="宋体" w:cs="Times New Roman"/>
          <w:color w:val="auto"/>
          <w:kern w:val="2"/>
          <w:sz w:val="24"/>
          <w:szCs w:val="24"/>
          <w:lang w:eastAsia="zh-CN"/>
        </w:rPr>
        <w:t>设计新增的</w:t>
      </w:r>
      <w:r>
        <w:rPr>
          <w:rFonts w:hint="default" w:ascii="Times New Roman" w:hAnsi="Times New Roman" w:eastAsia="宋体" w:cs="Times New Roman"/>
          <w:color w:val="auto"/>
          <w:kern w:val="2"/>
          <w:sz w:val="24"/>
          <w:szCs w:val="24"/>
          <w:lang w:val="en-US" w:eastAsia="zh-CN"/>
        </w:rPr>
        <w:t>2套球磨机及磁选设备已建成1套。</w:t>
      </w:r>
    </w:p>
    <w:p>
      <w:pPr>
        <w:spacing w:beforeLines="50" w:line="360" w:lineRule="auto"/>
        <w:ind w:firstLine="562" w:firstLineChars="200"/>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二、环境影响评价工作过程</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根据国务院第682号令《建设项目环境保护管理条例》中的有关规定，受</w:t>
      </w:r>
      <w:r>
        <w:rPr>
          <w:rFonts w:hint="default" w:ascii="Times New Roman" w:hAnsi="Times New Roman" w:eastAsia="宋体" w:cs="Times New Roman"/>
          <w:color w:val="auto"/>
          <w:kern w:val="2"/>
          <w:sz w:val="24"/>
          <w:szCs w:val="24"/>
        </w:rPr>
        <w:t>北票市冶通矿业有限公司</w:t>
      </w:r>
      <w:r>
        <w:rPr>
          <w:rFonts w:hint="default" w:ascii="Times New Roman" w:hAnsi="Times New Roman" w:eastAsia="宋体" w:cs="Times New Roman"/>
          <w:color w:val="auto"/>
          <w:sz w:val="24"/>
        </w:rPr>
        <w:t>委托，</w:t>
      </w:r>
      <w:r>
        <w:rPr>
          <w:rFonts w:hint="default" w:ascii="Times New Roman" w:hAnsi="Times New Roman" w:eastAsia="宋体" w:cs="Times New Roman"/>
          <w:color w:val="auto"/>
          <w:sz w:val="24"/>
          <w:lang w:val="en-US" w:eastAsia="zh-CN"/>
        </w:rPr>
        <w:t>朝阳德泰项目管理有限公司</w:t>
      </w:r>
      <w:r>
        <w:rPr>
          <w:rFonts w:hint="default" w:ascii="Times New Roman" w:hAnsi="Times New Roman" w:eastAsia="宋体" w:cs="Times New Roman"/>
          <w:color w:val="auto"/>
          <w:sz w:val="24"/>
        </w:rPr>
        <w:t>于2021年</w:t>
      </w:r>
      <w:r>
        <w:rPr>
          <w:rFonts w:hint="default" w:ascii="Times New Roman" w:hAnsi="Times New Roman" w:eastAsia="宋体" w:cs="Times New Roman"/>
          <w:color w:val="auto"/>
          <w:sz w:val="24"/>
          <w:lang w:val="en-US" w:eastAsia="zh-CN"/>
        </w:rPr>
        <w:t>11</w:t>
      </w:r>
      <w:r>
        <w:rPr>
          <w:rFonts w:hint="default" w:ascii="Times New Roman" w:hAnsi="Times New Roman" w:eastAsia="宋体" w:cs="Times New Roman"/>
          <w:color w:val="auto"/>
          <w:sz w:val="24"/>
        </w:rPr>
        <w:t>月承担了该项目的环境影响评价工作。</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我公司在接受委托后，研究国家和地方有关环境保护的法律法规、政策、标准、导则规范及相关规划等，确定项目符合国家及地方现阶段产业政策。</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根据《建设项目环境影响评价分类管理名录》，结合工程内容，确定项目属编制环境影响报告书范畴。</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在报告书编制过程中，建设单位对项目的环境影响评价工作开展情况进行了两次公示及公众参与调查的工作；在上述工作基础上，我单位根据环境影响评价相关技术导则及相关环境保护技术规范，编制完成《</w:t>
      </w:r>
      <w:r>
        <w:rPr>
          <w:rFonts w:hint="default" w:ascii="Times New Roman" w:hAnsi="Times New Roman" w:eastAsia="宋体" w:cs="Times New Roman"/>
          <w:color w:val="auto"/>
          <w:kern w:val="2"/>
          <w:sz w:val="24"/>
          <w:szCs w:val="24"/>
          <w:lang w:eastAsia="zh-CN"/>
        </w:rPr>
        <w:t>北票市冶通矿业有限公司年产50万吨铁精粉建设项目</w:t>
      </w:r>
      <w:r>
        <w:rPr>
          <w:rFonts w:hint="default" w:ascii="Times New Roman" w:hAnsi="Times New Roman" w:eastAsia="宋体" w:cs="Times New Roman"/>
          <w:color w:val="auto"/>
          <w:sz w:val="24"/>
        </w:rPr>
        <w:t>环境影响报告书》。</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环境影响评价工作程序见图</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w:t>
      </w:r>
    </w:p>
    <w:p>
      <w:pPr>
        <w:spacing w:line="360" w:lineRule="auto"/>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rPr>
        <w:object>
          <v:shape id="_x0000_i1025" o:spt="75" type="#_x0000_t75" style="height:538.2pt;width:409.05pt;" o:ole="t" filled="f" o:preferrelative="t" stroked="f" coordsize="21600,21600">
            <v:path/>
            <v:fill on="f" focussize="0,0"/>
            <v:stroke on="f"/>
            <v:imagedata r:id="rId20" o:title=""/>
            <o:lock v:ext="edit" aspectratio="t"/>
            <w10:wrap type="none"/>
            <w10:anchorlock/>
          </v:shape>
          <o:OLEObject Type="Embed" ProgID="Visio.Drawing.11" ShapeID="_x0000_i1025" DrawAspect="Content" ObjectID="_1468075725" r:id="rId19">
            <o:LockedField>false</o:LockedField>
          </o:OLEObject>
        </w:object>
      </w:r>
    </w:p>
    <w:p>
      <w:pPr>
        <w:spacing w:line="360" w:lineRule="auto"/>
        <w:jc w:val="center"/>
        <w:rPr>
          <w:rFonts w:hint="default" w:ascii="Times New Roman" w:hAnsi="Times New Roman" w:eastAsia="宋体" w:cs="Times New Roman"/>
          <w:b/>
          <w:bCs/>
          <w:color w:val="auto"/>
          <w:kern w:val="2"/>
          <w:sz w:val="28"/>
          <w:szCs w:val="28"/>
          <w:lang w:val="en-US" w:eastAsia="zh-CN" w:bidi="ar-SA"/>
        </w:rPr>
      </w:pPr>
      <w:bookmarkStart w:id="18" w:name="_Toc31378_WPSOffice_Level2"/>
      <w:bookmarkStart w:id="19" w:name="_Toc8542_WPSOffice_Level2"/>
      <w:r>
        <w:rPr>
          <w:rFonts w:hint="default" w:ascii="Times New Roman" w:hAnsi="Times New Roman" w:eastAsia="宋体" w:cs="Times New Roman"/>
          <w:b/>
          <w:bCs/>
          <w:color w:val="auto"/>
          <w:kern w:val="2"/>
          <w:sz w:val="24"/>
          <w:szCs w:val="24"/>
          <w:lang w:val="en-US" w:eastAsia="zh-CN" w:bidi="ar-SA"/>
        </w:rPr>
        <w:t>图1 环境影响评价工作程序图</w:t>
      </w:r>
      <w:bookmarkEnd w:id="18"/>
      <w:bookmarkEnd w:id="19"/>
    </w:p>
    <w:p>
      <w:pPr>
        <w:spacing w:beforeLines="50" w:line="360" w:lineRule="auto"/>
        <w:ind w:firstLine="562" w:firstLineChars="200"/>
        <w:jc w:val="left"/>
        <w:rPr>
          <w:rFonts w:hint="default" w:ascii="Times New Roman" w:hAnsi="Times New Roman" w:eastAsia="宋体" w:cs="Times New Roman"/>
          <w:color w:val="auto"/>
          <w:sz w:val="28"/>
          <w:szCs w:val="28"/>
        </w:rPr>
      </w:pPr>
      <w:r>
        <w:rPr>
          <w:rFonts w:hint="default" w:ascii="Times New Roman" w:hAnsi="Times New Roman" w:eastAsia="宋体" w:cs="Times New Roman"/>
          <w:b/>
          <w:color w:val="auto"/>
          <w:sz w:val="28"/>
          <w:szCs w:val="28"/>
        </w:rPr>
        <w:t>三、分析判定情况</w:t>
      </w:r>
    </w:p>
    <w:p>
      <w:pPr>
        <w:widowControl/>
        <w:spacing w:beforeLines="5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t>本项目为</w:t>
      </w:r>
      <w:r>
        <w:rPr>
          <w:rFonts w:hint="default" w:ascii="Times New Roman" w:hAnsi="Times New Roman" w:eastAsia="宋体" w:cs="Times New Roman"/>
          <w:color w:val="auto"/>
          <w:sz w:val="24"/>
          <w:szCs w:val="24"/>
          <w:lang w:eastAsia="zh-CN"/>
        </w:rPr>
        <w:t>其它黑色金属矿采选</w:t>
      </w:r>
      <w:r>
        <w:rPr>
          <w:rFonts w:hint="default" w:ascii="Times New Roman" w:hAnsi="Times New Roman" w:eastAsia="宋体" w:cs="Times New Roman"/>
          <w:color w:val="auto"/>
          <w:sz w:val="24"/>
          <w:szCs w:val="24"/>
          <w:lang w:val="en-US" w:eastAsia="zh-CN"/>
        </w:rPr>
        <w:t>089</w:t>
      </w:r>
      <w:r>
        <w:rPr>
          <w:rFonts w:hint="default" w:ascii="Times New Roman" w:hAnsi="Times New Roman" w:eastAsia="宋体" w:cs="Times New Roman"/>
          <w:color w:val="auto"/>
          <w:sz w:val="24"/>
          <w:szCs w:val="24"/>
        </w:rPr>
        <w:t>。根据《产业结构调整指导目录（2019年本）》国家发展改革委2019年第29号令</w:t>
      </w:r>
      <w:bookmarkStart w:id="20" w:name="_Toc476225102"/>
      <w:bookmarkStart w:id="21" w:name="_Toc476639505"/>
      <w:bookmarkStart w:id="22" w:name="_Toc476225258"/>
      <w:bookmarkStart w:id="23" w:name="_Toc476554011"/>
      <w:bookmarkStart w:id="24" w:name="_Toc478038903"/>
      <w:bookmarkStart w:id="25" w:name="_Toc478394861"/>
      <w:r>
        <w:rPr>
          <w:rFonts w:hint="default" w:ascii="Times New Roman" w:hAnsi="Times New Roman" w:eastAsia="宋体" w:cs="Times New Roman"/>
          <w:color w:val="000000"/>
          <w:kern w:val="0"/>
          <w:sz w:val="24"/>
          <w:szCs w:val="24"/>
        </w:rPr>
        <w:t xml:space="preserve">中关于钢铁部分的内容为： </w:t>
      </w:r>
    </w:p>
    <w:p>
      <w:pPr>
        <w:widowControl/>
        <w:spacing w:beforeLines="5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rPr>
        <w:t>1、鼓励类：</w:t>
      </w:r>
    </w:p>
    <w:p>
      <w:pPr>
        <w:widowControl/>
        <w:spacing w:beforeLines="5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rPr>
        <w:t>黑色金属矿山接替资源勘探及关键勘探技术开发，低品位难选矿综合选别和利用技术，高品质铁精矿绿色高效智能化生产技术与装备。</w:t>
      </w:r>
    </w:p>
    <w:p>
      <w:pPr>
        <w:widowControl/>
        <w:spacing w:beforeLines="5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rPr>
        <w:t>2、限制类：未涉及选矿。</w:t>
      </w:r>
    </w:p>
    <w:p>
      <w:pPr>
        <w:widowControl/>
        <w:spacing w:beforeLines="50" w:line="360" w:lineRule="auto"/>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color w:val="000000"/>
          <w:kern w:val="0"/>
          <w:sz w:val="24"/>
          <w:szCs w:val="24"/>
        </w:rPr>
        <w:t>3、淘汰类：未涉及选矿</w:t>
      </w:r>
      <w:r>
        <w:rPr>
          <w:rFonts w:hint="default" w:ascii="Times New Roman" w:hAnsi="Times New Roman" w:eastAsia="宋体" w:cs="Times New Roman"/>
          <w:color w:val="000000"/>
          <w:kern w:val="0"/>
          <w:sz w:val="24"/>
          <w:szCs w:val="24"/>
          <w:lang w:eastAsia="zh-CN"/>
        </w:rPr>
        <w:t>。</w:t>
      </w:r>
    </w:p>
    <w:p>
      <w:pPr>
        <w:widowControl/>
        <w:spacing w:beforeLines="50"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000000"/>
          <w:kern w:val="0"/>
          <w:sz w:val="24"/>
          <w:szCs w:val="24"/>
        </w:rPr>
        <w:t>本项目不属于国家《产业结构调整指导目录（2019年本）》中所列的鼓励类和限制类项目，采用的生产艺、设备和生产的产品不在该目录中所列的落后工艺、装备和产品之列，本项目属于允许类，且符合国家相关法律、法规规定。</w:t>
      </w:r>
      <w:bookmarkEnd w:id="20"/>
      <w:bookmarkEnd w:id="21"/>
      <w:bookmarkEnd w:id="22"/>
      <w:bookmarkEnd w:id="23"/>
      <w:bookmarkEnd w:id="24"/>
      <w:bookmarkEnd w:id="25"/>
    </w:p>
    <w:p>
      <w:pPr>
        <w:spacing w:beforeLines="50" w:line="360" w:lineRule="auto"/>
        <w:ind w:firstLine="562" w:firstLineChars="200"/>
        <w:jc w:val="left"/>
        <w:rPr>
          <w:rFonts w:hint="default" w:ascii="Times New Roman" w:hAnsi="Times New Roman" w:eastAsia="宋体" w:cs="Times New Roman"/>
          <w:color w:val="auto"/>
          <w:sz w:val="28"/>
          <w:szCs w:val="28"/>
        </w:rPr>
      </w:pPr>
      <w:r>
        <w:rPr>
          <w:rFonts w:hint="default" w:ascii="Times New Roman" w:hAnsi="Times New Roman" w:eastAsia="宋体" w:cs="Times New Roman"/>
          <w:b/>
          <w:color w:val="auto"/>
          <w:sz w:val="28"/>
          <w:szCs w:val="28"/>
        </w:rPr>
        <w:t>四、关注的主要环境问题</w:t>
      </w:r>
    </w:p>
    <w:p>
      <w:pPr>
        <w:widowControl/>
        <w:spacing w:beforeLines="50" w:line="360" w:lineRule="auto"/>
        <w:ind w:firstLine="482" w:firstLineChars="200"/>
        <w:jc w:val="left"/>
        <w:rPr>
          <w:rFonts w:hint="default" w:ascii="Times New Roman" w:hAnsi="Times New Roman" w:eastAsia="宋体" w:cs="Times New Roman"/>
          <w:b/>
          <w:sz w:val="24"/>
        </w:rPr>
      </w:pPr>
      <w:r>
        <w:rPr>
          <w:rFonts w:hint="default" w:ascii="Times New Roman" w:hAnsi="Times New Roman" w:eastAsia="宋体" w:cs="Times New Roman"/>
          <w:b/>
          <w:sz w:val="24"/>
        </w:rPr>
        <w:t>1、关注的主要环境问题</w:t>
      </w:r>
    </w:p>
    <w:p>
      <w:pPr>
        <w:widowControl/>
        <w:spacing w:beforeLines="50" w:line="360" w:lineRule="auto"/>
        <w:ind w:firstLine="480" w:firstLineChars="200"/>
        <w:jc w:val="left"/>
        <w:rPr>
          <w:rFonts w:hint="default" w:ascii="Times New Roman" w:hAnsi="Times New Roman" w:eastAsia="宋体" w:cs="Times New Roman"/>
          <w:bCs/>
          <w:sz w:val="24"/>
        </w:rPr>
      </w:pPr>
      <w:r>
        <w:rPr>
          <w:rFonts w:hint="default" w:ascii="Times New Roman" w:hAnsi="Times New Roman" w:eastAsia="宋体" w:cs="Times New Roman"/>
          <w:bCs/>
          <w:sz w:val="24"/>
        </w:rPr>
        <w:t>（1）本项目是否符合环境管理政策的要求；</w:t>
      </w:r>
    </w:p>
    <w:p>
      <w:pPr>
        <w:widowControl/>
        <w:spacing w:beforeLines="50" w:line="360" w:lineRule="auto"/>
        <w:ind w:firstLine="480" w:firstLineChars="200"/>
        <w:jc w:val="left"/>
        <w:rPr>
          <w:rFonts w:hint="default" w:ascii="Times New Roman" w:hAnsi="Times New Roman" w:eastAsia="宋体" w:cs="Times New Roman"/>
          <w:bCs/>
          <w:sz w:val="24"/>
        </w:rPr>
      </w:pPr>
      <w:r>
        <w:rPr>
          <w:rFonts w:hint="default" w:ascii="Times New Roman" w:hAnsi="Times New Roman" w:eastAsia="宋体" w:cs="Times New Roman"/>
          <w:bCs/>
          <w:sz w:val="24"/>
        </w:rPr>
        <w:t>（2）本项目所在区域环境质量现状是否可达到相应标准要求；</w:t>
      </w:r>
    </w:p>
    <w:p>
      <w:pPr>
        <w:widowControl/>
        <w:spacing w:beforeLines="50" w:line="360" w:lineRule="auto"/>
        <w:ind w:firstLine="480" w:firstLineChars="200"/>
        <w:jc w:val="left"/>
        <w:rPr>
          <w:rFonts w:hint="default" w:ascii="Times New Roman" w:hAnsi="Times New Roman" w:eastAsia="宋体" w:cs="Times New Roman"/>
          <w:bCs/>
          <w:sz w:val="24"/>
        </w:rPr>
      </w:pPr>
      <w:r>
        <w:rPr>
          <w:rFonts w:hint="default" w:ascii="Times New Roman" w:hAnsi="Times New Roman" w:eastAsia="宋体" w:cs="Times New Roman"/>
          <w:bCs/>
          <w:sz w:val="24"/>
        </w:rPr>
        <w:t>（3）建设规模、能耗物耗、污染物排放等是否符合国家标准要求；</w:t>
      </w:r>
    </w:p>
    <w:p>
      <w:pPr>
        <w:widowControl/>
        <w:spacing w:beforeLines="50" w:line="360" w:lineRule="auto"/>
        <w:ind w:firstLine="480" w:firstLineChars="200"/>
        <w:jc w:val="left"/>
        <w:rPr>
          <w:rFonts w:hint="default" w:ascii="Times New Roman" w:hAnsi="Times New Roman" w:eastAsia="宋体" w:cs="Times New Roman"/>
          <w:bCs/>
          <w:sz w:val="24"/>
        </w:rPr>
      </w:pPr>
      <w:r>
        <w:rPr>
          <w:rFonts w:hint="default" w:ascii="Times New Roman" w:hAnsi="Times New Roman" w:eastAsia="宋体" w:cs="Times New Roman"/>
          <w:bCs/>
          <w:sz w:val="24"/>
        </w:rPr>
        <w:t>（4）选址是否符合地方规划及环境功能区划要求；</w:t>
      </w:r>
    </w:p>
    <w:p>
      <w:pPr>
        <w:widowControl/>
        <w:spacing w:beforeLines="50" w:line="360" w:lineRule="auto"/>
        <w:ind w:firstLine="480" w:firstLineChars="200"/>
        <w:jc w:val="left"/>
        <w:rPr>
          <w:rFonts w:hint="default" w:ascii="Times New Roman" w:hAnsi="Times New Roman" w:eastAsia="宋体" w:cs="Times New Roman"/>
          <w:bCs/>
          <w:sz w:val="24"/>
        </w:rPr>
      </w:pPr>
      <w:r>
        <w:rPr>
          <w:rFonts w:hint="default" w:ascii="Times New Roman" w:hAnsi="Times New Roman" w:eastAsia="宋体" w:cs="Times New Roman"/>
          <w:bCs/>
          <w:sz w:val="24"/>
        </w:rPr>
        <w:t>（5）废气、废水防治措施及排放去向、固废处置方式等污染防治措施是否可行，对周边环境的影响是否可接受；</w:t>
      </w:r>
    </w:p>
    <w:p>
      <w:pPr>
        <w:widowControl/>
        <w:spacing w:beforeLines="50" w:line="360" w:lineRule="auto"/>
        <w:ind w:firstLine="480" w:firstLineChars="200"/>
        <w:jc w:val="left"/>
        <w:rPr>
          <w:rFonts w:hint="default" w:ascii="Times New Roman" w:hAnsi="Times New Roman" w:eastAsia="宋体" w:cs="Times New Roman"/>
          <w:bCs/>
          <w:sz w:val="24"/>
        </w:rPr>
      </w:pPr>
      <w:r>
        <w:rPr>
          <w:rFonts w:hint="default" w:ascii="Times New Roman" w:hAnsi="Times New Roman" w:eastAsia="宋体" w:cs="Times New Roman"/>
          <w:bCs/>
          <w:sz w:val="24"/>
        </w:rPr>
        <w:t>（6）环境风险是否可以接受；</w:t>
      </w:r>
    </w:p>
    <w:p>
      <w:pPr>
        <w:widowControl/>
        <w:spacing w:beforeLines="50" w:line="360" w:lineRule="auto"/>
        <w:ind w:firstLine="480" w:firstLineChars="200"/>
        <w:jc w:val="left"/>
        <w:rPr>
          <w:rFonts w:hint="default" w:ascii="Times New Roman" w:hAnsi="Times New Roman" w:eastAsia="宋体" w:cs="Times New Roman"/>
          <w:bCs/>
          <w:sz w:val="24"/>
        </w:rPr>
      </w:pPr>
      <w:r>
        <w:rPr>
          <w:rFonts w:hint="default" w:ascii="Times New Roman" w:hAnsi="Times New Roman" w:eastAsia="宋体" w:cs="Times New Roman"/>
          <w:bCs/>
          <w:sz w:val="24"/>
        </w:rPr>
        <w:t>（7）对周围环境保护目标的影响程度是否可以接受。</w:t>
      </w:r>
    </w:p>
    <w:p>
      <w:pPr>
        <w:widowControl/>
        <w:spacing w:beforeLines="50" w:line="360" w:lineRule="auto"/>
        <w:ind w:firstLine="482" w:firstLineChars="200"/>
        <w:jc w:val="left"/>
        <w:rPr>
          <w:rFonts w:hint="default" w:ascii="Times New Roman" w:hAnsi="Times New Roman" w:eastAsia="宋体" w:cs="Times New Roman"/>
          <w:b/>
          <w:sz w:val="24"/>
        </w:rPr>
      </w:pPr>
      <w:r>
        <w:rPr>
          <w:rFonts w:hint="default" w:ascii="Times New Roman" w:hAnsi="Times New Roman" w:eastAsia="宋体" w:cs="Times New Roman"/>
          <w:b/>
          <w:sz w:val="24"/>
        </w:rPr>
        <w:t>2、环境影响</w:t>
      </w:r>
    </w:p>
    <w:p>
      <w:pPr>
        <w:widowControl/>
        <w:spacing w:beforeLines="50" w:line="360" w:lineRule="auto"/>
        <w:ind w:firstLine="480" w:firstLineChars="200"/>
        <w:jc w:val="left"/>
        <w:rPr>
          <w:rFonts w:hint="default" w:ascii="Times New Roman" w:hAnsi="Times New Roman" w:eastAsia="宋体" w:cs="Times New Roman"/>
          <w:bCs/>
          <w:sz w:val="24"/>
        </w:rPr>
      </w:pPr>
      <w:r>
        <w:rPr>
          <w:rFonts w:hint="default" w:ascii="Times New Roman" w:hAnsi="Times New Roman" w:eastAsia="宋体" w:cs="Times New Roman"/>
          <w:bCs/>
          <w:sz w:val="24"/>
        </w:rPr>
        <w:t>项目运营期产生的废气、废水、噪声、固体废物等环境影响因素。具体内容如下：</w:t>
      </w:r>
    </w:p>
    <w:p>
      <w:pPr>
        <w:widowControl/>
        <w:numPr>
          <w:ilvl w:val="0"/>
          <w:numId w:val="3"/>
        </w:numPr>
        <w:spacing w:beforeLines="50" w:line="360" w:lineRule="auto"/>
        <w:ind w:firstLine="480" w:firstLineChars="200"/>
        <w:jc w:val="left"/>
        <w:rPr>
          <w:rFonts w:hint="default" w:ascii="Times New Roman" w:hAnsi="Times New Roman" w:eastAsia="宋体" w:cs="Times New Roman"/>
          <w:bCs/>
          <w:sz w:val="24"/>
        </w:rPr>
      </w:pPr>
      <w:r>
        <w:rPr>
          <w:rFonts w:hint="default" w:ascii="Times New Roman" w:hAnsi="Times New Roman" w:eastAsia="宋体" w:cs="Times New Roman"/>
          <w:bCs/>
          <w:sz w:val="24"/>
        </w:rPr>
        <w:t>废气：主要为原矿卸料粉尘、尾矿堆存粉尘、粗破及二次破碎粉尘、筛分粉尘</w:t>
      </w:r>
      <w:r>
        <w:rPr>
          <w:rFonts w:hint="default" w:ascii="Times New Roman" w:hAnsi="Times New Roman" w:eastAsia="宋体" w:cs="Times New Roman"/>
          <w:bCs/>
          <w:sz w:val="24"/>
          <w:lang w:val="en-US" w:eastAsia="zh-CN"/>
        </w:rPr>
        <w:t>及</w:t>
      </w:r>
      <w:r>
        <w:rPr>
          <w:rFonts w:hint="default" w:ascii="Times New Roman" w:hAnsi="Times New Roman" w:eastAsia="宋体" w:cs="Times New Roman"/>
          <w:bCs/>
          <w:sz w:val="24"/>
        </w:rPr>
        <w:t>运输粉尘等；</w:t>
      </w:r>
    </w:p>
    <w:p>
      <w:pPr>
        <w:widowControl/>
        <w:spacing w:beforeLines="50" w:line="360" w:lineRule="auto"/>
        <w:ind w:firstLine="480" w:firstLineChars="200"/>
        <w:jc w:val="left"/>
        <w:rPr>
          <w:rFonts w:hint="default" w:ascii="Times New Roman" w:hAnsi="Times New Roman" w:eastAsia="宋体" w:cs="Times New Roman"/>
          <w:bCs/>
          <w:sz w:val="24"/>
        </w:rPr>
      </w:pPr>
      <w:r>
        <w:rPr>
          <w:rFonts w:hint="default" w:ascii="Times New Roman" w:hAnsi="Times New Roman" w:eastAsia="宋体" w:cs="Times New Roman"/>
          <w:bCs/>
          <w:sz w:val="24"/>
        </w:rPr>
        <w:t>（2）废水：生产车间产生的选矿废水，生活污水；</w:t>
      </w:r>
    </w:p>
    <w:p>
      <w:pPr>
        <w:widowControl/>
        <w:spacing w:beforeLines="50" w:line="360" w:lineRule="auto"/>
        <w:ind w:firstLine="480" w:firstLineChars="200"/>
        <w:jc w:val="left"/>
        <w:rPr>
          <w:rFonts w:hint="default" w:ascii="Times New Roman" w:hAnsi="Times New Roman" w:eastAsia="宋体" w:cs="Times New Roman"/>
          <w:bCs/>
          <w:sz w:val="24"/>
        </w:rPr>
      </w:pPr>
      <w:r>
        <w:rPr>
          <w:rFonts w:hint="default" w:ascii="Times New Roman" w:hAnsi="Times New Roman" w:eastAsia="宋体" w:cs="Times New Roman"/>
          <w:bCs/>
          <w:sz w:val="24"/>
        </w:rPr>
        <w:t>（3）噪声：生产设备及各类风机和水泵等运行噪声；</w:t>
      </w:r>
    </w:p>
    <w:p>
      <w:pPr>
        <w:widowControl/>
        <w:spacing w:beforeLines="50"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bCs/>
          <w:sz w:val="24"/>
        </w:rPr>
        <w:t>（4）固体废物：尾矿渣、除尘灰、生活垃圾及废机油。</w:t>
      </w:r>
    </w:p>
    <w:p>
      <w:pPr>
        <w:pStyle w:val="74"/>
        <w:spacing w:beforeLines="50" w:line="360" w:lineRule="auto"/>
        <w:ind w:firstLine="562"/>
        <w:jc w:val="left"/>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五、环境影响报告书的主要结论</w:t>
      </w:r>
    </w:p>
    <w:p>
      <w:pPr>
        <w:pStyle w:val="62"/>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kern w:val="2"/>
          <w:sz w:val="24"/>
          <w:szCs w:val="24"/>
          <w:lang w:eastAsia="zh-CN"/>
        </w:rPr>
        <w:t>北票市冶通矿业有限公司年产50万吨铁精粉建设项目</w:t>
      </w:r>
      <w:r>
        <w:rPr>
          <w:rFonts w:hint="default" w:ascii="Times New Roman" w:hAnsi="Times New Roman" w:eastAsia="宋体" w:cs="Times New Roman"/>
          <w:color w:val="auto"/>
          <w:sz w:val="24"/>
        </w:rPr>
        <w:t>将主要针对本项目目前存在的环保问题，通过本次环境影响评价使问题能够得到有效的解决，同时项目的生产将严格按照现有的环保要求进行。</w:t>
      </w:r>
    </w:p>
    <w:p>
      <w:pPr>
        <w:pStyle w:val="62"/>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符合相关产业政策要求，选址符合相关规划要求；生产过程中所采用的污染防治措施技术经济可行，能保证各种污染物稳定达标排放；项目实施后，在正常工况下排放的污染物对周围环境产生的影响较小；在切实采取相应风险防范措施和应急预案的前提下，环境风险可以接受。</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项目只要在施工期和运营期认真落实本报告书中提出的各项污染防治措施及建议，加强环境管理和环境规划。采取一定措施后，废气、噪声、废水、固废等对周围环境影响可以降低到最低程度，确保污染防治工程与主体工程同时设计、同时施工、同时投产使用，从环境保护角度分析，该建设项目在拟选址建设可行。</w:t>
      </w:r>
    </w:p>
    <w:p>
      <w:pPr>
        <w:pStyle w:val="74"/>
        <w:adjustRightInd w:val="0"/>
        <w:snapToGrid w:val="0"/>
        <w:spacing w:before="0" w:line="360" w:lineRule="auto"/>
        <w:ind w:firstLine="480"/>
        <w:jc w:val="left"/>
        <w:rPr>
          <w:rFonts w:hint="default" w:ascii="Times New Roman" w:hAnsi="Times New Roman" w:eastAsia="宋体" w:cs="Times New Roman"/>
          <w:color w:val="auto"/>
        </w:rPr>
        <w:sectPr>
          <w:headerReference r:id="rId7" w:type="default"/>
          <w:footerReference r:id="rId8" w:type="default"/>
          <w:pgSz w:w="11907" w:h="16840"/>
          <w:pgMar w:top="1418" w:right="1418" w:bottom="1418" w:left="1418" w:header="964" w:footer="964" w:gutter="0"/>
          <w:pgBorders>
            <w:top w:val="none" w:sz="0" w:space="0"/>
            <w:left w:val="none" w:sz="0" w:space="0"/>
            <w:bottom w:val="none" w:sz="0" w:space="0"/>
            <w:right w:val="none" w:sz="0" w:space="0"/>
          </w:pgBorders>
          <w:pgNumType w:fmt="decimal" w:start="1"/>
          <w:cols w:space="720" w:num="1"/>
          <w:docGrid w:linePitch="312" w:charSpace="0"/>
        </w:sectPr>
      </w:pPr>
    </w:p>
    <w:p>
      <w:pPr>
        <w:pStyle w:val="346"/>
        <w:spacing w:beforeLines="50" w:line="360" w:lineRule="auto"/>
        <w:rPr>
          <w:rFonts w:hint="default" w:ascii="Times New Roman" w:hAnsi="Times New Roman" w:eastAsia="宋体" w:cs="Times New Roman"/>
          <w:color w:val="auto"/>
        </w:rPr>
      </w:pPr>
      <w:bookmarkStart w:id="26" w:name="_Toc30341"/>
      <w:bookmarkStart w:id="27" w:name="_Toc476224958"/>
      <w:bookmarkStart w:id="28" w:name="_Toc400617534"/>
      <w:r>
        <w:rPr>
          <w:rFonts w:hint="default" w:ascii="Times New Roman" w:hAnsi="Times New Roman" w:eastAsia="宋体" w:cs="Times New Roman"/>
          <w:color w:val="auto"/>
        </w:rPr>
        <w:t>1总则</w:t>
      </w:r>
      <w:bookmarkEnd w:id="26"/>
      <w:bookmarkEnd w:id="27"/>
    </w:p>
    <w:bookmarkEnd w:id="15"/>
    <w:bookmarkEnd w:id="16"/>
    <w:bookmarkEnd w:id="17"/>
    <w:bookmarkEnd w:id="28"/>
    <w:p>
      <w:pPr>
        <w:pStyle w:val="266"/>
        <w:spacing w:beforeLines="50" w:line="360" w:lineRule="auto"/>
        <w:rPr>
          <w:rFonts w:hint="default" w:ascii="Times New Roman" w:hAnsi="Times New Roman" w:eastAsia="宋体" w:cs="Times New Roman"/>
          <w:color w:val="auto"/>
          <w:szCs w:val="28"/>
        </w:rPr>
      </w:pPr>
      <w:bookmarkStart w:id="29" w:name="_Toc476224959"/>
      <w:bookmarkStart w:id="30" w:name="_Toc14215"/>
      <w:r>
        <w:rPr>
          <w:rFonts w:hint="default" w:ascii="Times New Roman" w:hAnsi="Times New Roman" w:eastAsia="宋体" w:cs="Times New Roman"/>
          <w:color w:val="auto"/>
          <w:szCs w:val="28"/>
        </w:rPr>
        <w:t>1.1编制依据</w:t>
      </w:r>
      <w:bookmarkEnd w:id="29"/>
      <w:bookmarkEnd w:id="30"/>
    </w:p>
    <w:p>
      <w:pPr>
        <w:pStyle w:val="73"/>
        <w:spacing w:beforeLines="50" w:line="360" w:lineRule="auto"/>
        <w:rPr>
          <w:rFonts w:hint="default" w:ascii="Times New Roman" w:hAnsi="Times New Roman" w:eastAsia="宋体" w:cs="Times New Roman"/>
          <w:color w:val="auto"/>
          <w:sz w:val="28"/>
          <w:szCs w:val="28"/>
        </w:rPr>
      </w:pPr>
      <w:bookmarkStart w:id="31" w:name="_Toc170978738"/>
      <w:bookmarkStart w:id="32" w:name="_Toc476639391"/>
      <w:bookmarkStart w:id="33" w:name="_Toc355284831"/>
      <w:bookmarkStart w:id="34" w:name="_Toc174806190"/>
      <w:bookmarkStart w:id="35" w:name="_Toc478038778"/>
      <w:bookmarkStart w:id="36" w:name="_Toc476553907"/>
      <w:bookmarkStart w:id="37" w:name="_Toc478394736"/>
      <w:bookmarkStart w:id="38" w:name="_Toc476225116"/>
      <w:bookmarkStart w:id="39" w:name="_Toc315788489"/>
      <w:bookmarkStart w:id="40" w:name="_Toc476224960"/>
      <w:r>
        <w:rPr>
          <w:rFonts w:hint="default" w:ascii="Times New Roman" w:hAnsi="Times New Roman" w:eastAsia="宋体" w:cs="Times New Roman"/>
          <w:color w:val="auto"/>
          <w:sz w:val="28"/>
          <w:szCs w:val="28"/>
        </w:rPr>
        <w:t>1.1.1国家法律法规</w:t>
      </w:r>
      <w:bookmarkEnd w:id="31"/>
      <w:r>
        <w:rPr>
          <w:rFonts w:hint="default" w:ascii="Times New Roman" w:hAnsi="Times New Roman" w:eastAsia="宋体" w:cs="Times New Roman"/>
          <w:color w:val="auto"/>
          <w:sz w:val="28"/>
          <w:szCs w:val="28"/>
        </w:rPr>
        <w:t>、条例、政策</w:t>
      </w:r>
      <w:bookmarkEnd w:id="32"/>
      <w:bookmarkEnd w:id="33"/>
      <w:bookmarkEnd w:id="34"/>
      <w:bookmarkEnd w:id="35"/>
      <w:bookmarkEnd w:id="36"/>
      <w:bookmarkEnd w:id="37"/>
      <w:bookmarkEnd w:id="38"/>
      <w:bookmarkEnd w:id="39"/>
      <w:bookmarkEnd w:id="40"/>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（1）《中华人民共和国环境保护法》（2015年1月1日）；</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（2）《中华人民共和国环境影响评价法》（2018年12月29日）；</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（3）《中华人民共和国大气污染防治法》（2018年10月26日）；</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（4）《中华人民共和国水污染防治法》（2018年8月1日）；</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（5）《中华人民共和国环境噪声污染防治法》（2018年12月29日）；</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（6）《中华人民共和国固体废物污染环境防治法》（2020年9月1日）；</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（7）《中华人民共和国水法》（2016年9月1日）；</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（8）《中华人民共和国节约能源法》（2018年10月26日）；</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（9）《中华人民共和国清洁生产促进法》（2012年7月1日）；</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（10）《中华人民共和国水土保持法》（2010年12月25日）；</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（11）《国务院关于印发水污染防治行动计划的通知》（国发[2015]17号）；</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（12）《国务院关于印发土壤污染防治行动计划的通知》（国发[2016]31号）；</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（13）《国务院关于落实科学发展观加强环境保护的决定》（国发[2005]39号，）；</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（14）《建设项目环境保护管理条例》（2017年10月1日）；</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（15）《建设项目环境影响评价分类管理名录》（2021年版）；</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（16）《产业结构调整指导目录（2019年本）》（国家发展和改革委员会第29号令，2019年10月30日）；</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（17）《国务院关于加强环境保护重点工作的意见》（国发[2011]35号）；</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（18）《关于加强地方环保标准工作的指导意见》（环发[2014]49号）；</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（19）《环境影响评价公众参与办法》（生态环境部部令第4号，2019年1月1日）；</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（20）《关于进一步加强环境影响评价管理防范环境风险的通知》（环发[2012]77号）；</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（21）《关于切实加强风险防范严格环境影响评价管理的通知》（环发[2012]98号）；</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（22）关于发布《生态环境部审批环境影响评价文件的建设项目目录（2019年本）》的公告（生态环境部公告2019年8号）；</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（23）《突发环境事件应急管理办法》（环境保护部令部令第34号，2015年6月实施）；</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（24）《企业事业单位突发环境事件应急预案备案管理办法（试行）》（[2015]4号文）；</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（25）《建设项目竣工环境保护验收暂行办法》（国环规环评[2017]4号）；</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（26）关于印发《建设项目主要污染物排放总量指标审核及管理暂行办法》的通知（环发[2014]197号，2014年12月30日）；</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（27）《关于发布《建设项目环境影响报告书（表）编制监督管理办法》配套文件的公告》（生态环境部公告2019年第38号）；</w:t>
      </w:r>
    </w:p>
    <w:p>
      <w:pPr>
        <w:widowControl/>
        <w:spacing w:beforeLines="50" w:line="480" w:lineRule="exact"/>
        <w:ind w:firstLine="480" w:firstLineChars="200"/>
        <w:jc w:val="left"/>
        <w:rPr>
          <w:rFonts w:hint="default" w:ascii="Times New Roman" w:hAnsi="Times New Roman" w:eastAsia="宋体" w:cs="Times New Roman"/>
          <w:color w:val="auto"/>
          <w:lang w:eastAsia="zh-CN"/>
        </w:rPr>
      </w:pPr>
      <w:r>
        <w:rPr>
          <w:rFonts w:hint="default" w:ascii="Times New Roman" w:hAnsi="Times New Roman" w:eastAsia="宋体" w:cs="Times New Roman"/>
          <w:color w:val="000000"/>
          <w:kern w:val="0"/>
          <w:sz w:val="24"/>
        </w:rPr>
        <w:t>（28）《中华人民共和国矿产资源法》，2009.8.27；</w:t>
      </w:r>
    </w:p>
    <w:p>
      <w:pPr>
        <w:pStyle w:val="74"/>
        <w:spacing w:beforeLines="50" w:line="360" w:lineRule="auto"/>
        <w:ind w:firstLine="48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29）</w:t>
      </w:r>
      <w:r>
        <w:rPr>
          <w:rFonts w:hint="default" w:ascii="Times New Roman" w:hAnsi="Times New Roman" w:eastAsia="宋体" w:cs="Times New Roman"/>
          <w:color w:val="auto"/>
        </w:rPr>
        <w:t>《关于做好环境影响评价制度与排污许可制</w:t>
      </w:r>
      <w:r>
        <w:rPr>
          <w:rFonts w:hint="default" w:ascii="Times New Roman" w:hAnsi="Times New Roman" w:eastAsia="宋体" w:cs="Times New Roman"/>
          <w:color w:val="auto"/>
          <w:lang w:val="en-US" w:eastAsia="zh-CN"/>
        </w:rPr>
        <w:t>度</w:t>
      </w:r>
      <w:r>
        <w:rPr>
          <w:rFonts w:hint="default" w:ascii="Times New Roman" w:hAnsi="Times New Roman" w:eastAsia="宋体" w:cs="Times New Roman"/>
          <w:color w:val="auto"/>
        </w:rPr>
        <w:t>衔接相关工作的通知》（环办环评[2017]84号）</w:t>
      </w:r>
      <w:r>
        <w:rPr>
          <w:rFonts w:hint="default" w:ascii="Times New Roman" w:hAnsi="Times New Roman" w:eastAsia="宋体" w:cs="Times New Roman"/>
          <w:color w:val="auto"/>
          <w:lang w:eastAsia="zh-CN"/>
        </w:rPr>
        <w:t>；</w:t>
      </w:r>
    </w:p>
    <w:p>
      <w:pPr>
        <w:pStyle w:val="74"/>
        <w:spacing w:beforeLines="50" w:line="360" w:lineRule="auto"/>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30）</w:t>
      </w:r>
      <w:r>
        <w:rPr>
          <w:rFonts w:hint="default" w:ascii="Times New Roman" w:hAnsi="Times New Roman" w:eastAsia="宋体" w:cs="Times New Roman"/>
          <w:color w:val="000000"/>
          <w:kern w:val="0"/>
          <w:sz w:val="24"/>
        </w:rPr>
        <w:t>《关于加强资源开发生态环境保护监管工作的意见》，2004.2</w:t>
      </w:r>
      <w:r>
        <w:rPr>
          <w:rFonts w:hint="default" w:ascii="Times New Roman" w:hAnsi="Times New Roman" w:eastAsia="宋体" w:cs="Times New Roman"/>
          <w:color w:val="auto"/>
          <w:lang w:val="en-US" w:eastAsia="zh-CN"/>
        </w:rPr>
        <w:t>；</w:t>
      </w:r>
    </w:p>
    <w:p>
      <w:pPr>
        <w:pStyle w:val="74"/>
        <w:spacing w:beforeLines="50" w:line="360" w:lineRule="auto"/>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（31）《关于加强高耗能、高排放建设项目生态环境源头防控的指导意见》（环环评【2021】45号）；</w:t>
      </w:r>
    </w:p>
    <w:p>
      <w:pPr>
        <w:pStyle w:val="74"/>
        <w:spacing w:beforeLines="50" w:line="360" w:lineRule="auto"/>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（32）</w:t>
      </w:r>
      <w:r>
        <w:rPr>
          <w:rFonts w:hint="default" w:ascii="Times New Roman" w:hAnsi="Times New Roman" w:eastAsia="宋体" w:cs="Times New Roman"/>
          <w:color w:val="000000"/>
          <w:kern w:val="0"/>
          <w:sz w:val="24"/>
        </w:rPr>
        <w:t>《关于加强涉重金属行业污染防控的意见》，生态环境部，环土壤[2018]22号，2018年4月</w:t>
      </w:r>
      <w:r>
        <w:rPr>
          <w:rFonts w:hint="default" w:ascii="Times New Roman" w:hAnsi="Times New Roman" w:eastAsia="宋体" w:cs="Times New Roman"/>
          <w:color w:val="000000"/>
          <w:kern w:val="0"/>
          <w:sz w:val="24"/>
          <w:lang w:eastAsia="zh-CN"/>
        </w:rPr>
        <w:t>。</w:t>
      </w:r>
    </w:p>
    <w:p>
      <w:pPr>
        <w:pStyle w:val="73"/>
        <w:spacing w:beforeLines="50" w:line="480" w:lineRule="exact"/>
        <w:rPr>
          <w:rFonts w:hint="default" w:ascii="Times New Roman" w:hAnsi="Times New Roman" w:eastAsia="宋体" w:cs="Times New Roman"/>
          <w:color w:val="auto"/>
          <w:sz w:val="28"/>
          <w:szCs w:val="28"/>
        </w:rPr>
      </w:pPr>
      <w:bookmarkStart w:id="41" w:name="_Toc476553908"/>
      <w:bookmarkStart w:id="42" w:name="_Toc478394737"/>
      <w:bookmarkStart w:id="43" w:name="_Toc476639392"/>
      <w:bookmarkStart w:id="44" w:name="_Toc478038779"/>
      <w:bookmarkStart w:id="45" w:name="_Toc476225117"/>
      <w:bookmarkStart w:id="46" w:name="_Toc476224961"/>
      <w:r>
        <w:rPr>
          <w:rFonts w:hint="default" w:ascii="Times New Roman" w:hAnsi="Times New Roman" w:eastAsia="宋体" w:cs="Times New Roman"/>
          <w:color w:val="auto"/>
          <w:sz w:val="28"/>
          <w:szCs w:val="28"/>
        </w:rPr>
        <w:t>1.1.2地方法律法规</w:t>
      </w:r>
      <w:bookmarkEnd w:id="41"/>
      <w:bookmarkEnd w:id="42"/>
      <w:bookmarkEnd w:id="43"/>
      <w:bookmarkEnd w:id="44"/>
      <w:bookmarkEnd w:id="45"/>
      <w:bookmarkEnd w:id="46"/>
    </w:p>
    <w:p>
      <w:pPr>
        <w:pStyle w:val="74"/>
        <w:spacing w:beforeLines="50" w:line="480" w:lineRule="exact"/>
        <w:ind w:firstLine="480"/>
        <w:rPr>
          <w:rFonts w:hint="default" w:ascii="Times New Roman" w:hAnsi="Times New Roman" w:eastAsia="宋体" w:cs="Times New Roman"/>
          <w:color w:val="auto"/>
        </w:rPr>
      </w:pPr>
      <w:bookmarkStart w:id="47" w:name="_Toc174806191"/>
      <w:bookmarkStart w:id="48" w:name="_Toc170978739"/>
      <w:bookmarkStart w:id="49" w:name="_Toc315788490"/>
      <w:bookmarkStart w:id="50" w:name="_Toc355284832"/>
      <w:r>
        <w:rPr>
          <w:rFonts w:hint="default" w:ascii="Times New Roman" w:hAnsi="Times New Roman" w:eastAsia="宋体" w:cs="Times New Roman"/>
          <w:color w:val="auto"/>
        </w:rPr>
        <w:t>（1）《辽宁省环境保护条例》，</w:t>
      </w:r>
      <w:r>
        <w:rPr>
          <w:rFonts w:hint="default" w:ascii="Times New Roman" w:hAnsi="Times New Roman" w:eastAsia="宋体" w:cs="Times New Roman"/>
          <w:color w:val="auto"/>
          <w:kern w:val="2"/>
          <w:sz w:val="24"/>
          <w:szCs w:val="22"/>
          <w:highlight w:val="none"/>
          <w:lang w:val="en-US" w:eastAsia="zh-CN" w:bidi="ar-SA"/>
        </w:rPr>
        <w:t>辽宁省第十三届人民代表大会常委会第十七次会议通过，2020年3月30日</w:t>
      </w:r>
      <w:r>
        <w:rPr>
          <w:rFonts w:hint="default" w:ascii="Times New Roman" w:hAnsi="Times New Roman" w:eastAsia="宋体" w:cs="Times New Roman"/>
          <w:color w:val="auto"/>
        </w:rPr>
        <w:t>；</w:t>
      </w:r>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（2）《辽宁省企事业单位突发环境事件应急预案管理暂行办法》（辽环发[2013]53号），辽宁省环境保护厅，2013.7；</w:t>
      </w:r>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（3）《辽宁省人民政府关于印发辽宁省土壤污染防治工作方案的通知》（辽政发[2016] 58号）；</w:t>
      </w:r>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（4）《辽宁省地下水资源保护条例》，辽宁省人大常委会，2003.10.1；</w:t>
      </w:r>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（5）《辽宁省生态环境厅关于进一步加强建设项目主要污染物排放总量审核和管理的通知》（辽环综函[2020]380号）；</w:t>
      </w:r>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rPr>
        <w:t>辽宁省人民政府令第283号《辽宁省扬尘污染防治管理办法》，2013.7.1；</w:t>
      </w:r>
    </w:p>
    <w:p>
      <w:pPr>
        <w:pStyle w:val="74"/>
        <w:spacing w:beforeLines="50" w:line="480" w:lineRule="exact"/>
        <w:ind w:firstLine="48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7）</w:t>
      </w:r>
      <w:r>
        <w:rPr>
          <w:rFonts w:hint="default" w:ascii="Times New Roman" w:hAnsi="Times New Roman" w:eastAsia="宋体" w:cs="Times New Roman"/>
          <w:color w:val="auto"/>
        </w:rPr>
        <w:t>辽宁省人民政府令第134号《辽宁省固体废物污染环境防治办法》，2001.12.30</w:t>
      </w:r>
      <w:r>
        <w:rPr>
          <w:rFonts w:hint="default" w:ascii="Times New Roman" w:hAnsi="Times New Roman" w:eastAsia="宋体" w:cs="Times New Roman"/>
          <w:color w:val="auto"/>
          <w:lang w:eastAsia="zh-CN"/>
        </w:rPr>
        <w:t>；</w:t>
      </w:r>
    </w:p>
    <w:p>
      <w:pPr>
        <w:pStyle w:val="74"/>
        <w:spacing w:beforeLines="50" w:line="480" w:lineRule="exact"/>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8）《关于进一步规范重点行业工业投资项目管理加强事中事后监管工作的通知》（辽发改工业（2020）636号）；</w:t>
      </w:r>
    </w:p>
    <w:p>
      <w:pPr>
        <w:pStyle w:val="74"/>
        <w:spacing w:beforeLines="50" w:line="480" w:lineRule="exact"/>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（9）《辽宁省人民政府办公厅关于加强全省高耗能、高排放项目准入管理的意见》辽政办发【2021】6号文件；</w:t>
      </w:r>
    </w:p>
    <w:p>
      <w:pPr>
        <w:pStyle w:val="74"/>
        <w:spacing w:beforeLines="50" w:line="480" w:lineRule="exact"/>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（10）《辽宁省生态环境厅关于发布审批环境影响评价文件的建设项目目录（2021年本）的通知》辽环发【2021】1号，2021年5月30日；</w:t>
      </w:r>
    </w:p>
    <w:p>
      <w:pPr>
        <w:pStyle w:val="74"/>
        <w:spacing w:beforeLines="50" w:line="480" w:lineRule="exact"/>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（11）</w:t>
      </w:r>
      <w:r>
        <w:rPr>
          <w:rFonts w:hint="default" w:ascii="Times New Roman" w:hAnsi="Times New Roman" w:eastAsia="宋体" w:cs="Times New Roman"/>
          <w:bCs/>
          <w:color w:val="auto"/>
          <w:sz w:val="24"/>
          <w:szCs w:val="22"/>
          <w:lang w:val="zh-CN"/>
        </w:rPr>
        <w:t>《朝阳市人民政府关于实施“三线一单”生态环境分区管控的意见》（朝政发〔2021〕13号）。</w:t>
      </w:r>
    </w:p>
    <w:p>
      <w:pPr>
        <w:pStyle w:val="73"/>
        <w:spacing w:beforeLines="50" w:line="480" w:lineRule="exact"/>
        <w:rPr>
          <w:rFonts w:hint="default" w:ascii="Times New Roman" w:hAnsi="Times New Roman" w:eastAsia="宋体" w:cs="Times New Roman"/>
          <w:color w:val="auto"/>
          <w:sz w:val="28"/>
          <w:szCs w:val="28"/>
        </w:rPr>
      </w:pPr>
      <w:bookmarkStart w:id="51" w:name="_Toc478394738"/>
      <w:bookmarkStart w:id="52" w:name="_Toc476225118"/>
      <w:bookmarkStart w:id="53" w:name="_Toc476639393"/>
      <w:bookmarkStart w:id="54" w:name="_Toc478038780"/>
      <w:bookmarkStart w:id="55" w:name="_Toc476553909"/>
      <w:bookmarkStart w:id="56" w:name="_Toc476224962"/>
      <w:r>
        <w:rPr>
          <w:rFonts w:hint="default" w:ascii="Times New Roman" w:hAnsi="Times New Roman" w:eastAsia="宋体" w:cs="Times New Roman"/>
          <w:color w:val="auto"/>
          <w:sz w:val="28"/>
          <w:szCs w:val="28"/>
        </w:rPr>
        <w:t>1.1.3技术导则</w:t>
      </w:r>
      <w:bookmarkEnd w:id="47"/>
      <w:bookmarkEnd w:id="48"/>
      <w:r>
        <w:rPr>
          <w:rFonts w:hint="default" w:ascii="Times New Roman" w:hAnsi="Times New Roman" w:eastAsia="宋体" w:cs="Times New Roman"/>
          <w:color w:val="auto"/>
          <w:sz w:val="28"/>
          <w:szCs w:val="28"/>
        </w:rPr>
        <w:t>与规范</w:t>
      </w:r>
      <w:bookmarkEnd w:id="49"/>
      <w:bookmarkEnd w:id="50"/>
      <w:bookmarkEnd w:id="51"/>
      <w:bookmarkEnd w:id="52"/>
      <w:bookmarkEnd w:id="53"/>
      <w:bookmarkEnd w:id="54"/>
      <w:bookmarkEnd w:id="55"/>
      <w:bookmarkEnd w:id="56"/>
    </w:p>
    <w:p>
      <w:pPr>
        <w:pStyle w:val="74"/>
        <w:spacing w:beforeLines="50" w:line="480" w:lineRule="exact"/>
        <w:ind w:firstLine="480"/>
        <w:rPr>
          <w:rFonts w:hint="default" w:ascii="Times New Roman" w:hAnsi="Times New Roman" w:eastAsia="宋体" w:cs="Times New Roman"/>
          <w:color w:val="auto"/>
        </w:rPr>
      </w:pPr>
      <w:bookmarkStart w:id="57" w:name="_Toc371"/>
      <w:r>
        <w:rPr>
          <w:rFonts w:hint="default" w:ascii="Times New Roman" w:hAnsi="Times New Roman" w:eastAsia="宋体" w:cs="Times New Roman"/>
          <w:color w:val="auto"/>
        </w:rPr>
        <w:t>（1）《建设项目环境影响评价技术导则——总纲》（HJ2.1-2016）；</w:t>
      </w:r>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（2）《环境影响评价技术导则——大气环境》（HJ2.2-2018）；</w:t>
      </w:r>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（3）《环境影响评价技术导则——地表水环境》（HJ2.3-2018）；</w:t>
      </w:r>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（4）《环境影响评价技术导则——地下水环境》（HJ610-2016）；</w:t>
      </w:r>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（5）《环境影响评价技术导则——声环境》（HJ2.4-2009）；</w:t>
      </w:r>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（6）《环境影响评价技术导则——生态影响》（HJ19-2011）；</w:t>
      </w:r>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（7）《环境影响评价技术导则——土壤环境（试行）》（HJ964-2018）；</w:t>
      </w:r>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（8）《建设项目环境风险评价技术导则》（HJ169-2018）；</w:t>
      </w:r>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（9）《国家危险废物名录》（2021年版）；</w:t>
      </w:r>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（10）《建设项目危险废物环境影响评价指南》（环境保护部公告 2017年 第43号，自2017年10月1日起施行）；</w:t>
      </w:r>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（11）</w:t>
      </w:r>
      <w:r>
        <w:rPr>
          <w:rFonts w:hint="default" w:ascii="Times New Roman" w:hAnsi="Times New Roman" w:eastAsia="宋体" w:cs="Times New Roman"/>
        </w:rPr>
        <w:t>《排污单位自行监测技术指南——总则》（HJ918-2017）</w:t>
      </w:r>
      <w:r>
        <w:rPr>
          <w:rFonts w:hint="default" w:ascii="Times New Roman" w:hAnsi="Times New Roman" w:eastAsia="宋体" w:cs="Times New Roman"/>
          <w:color w:val="auto"/>
        </w:rPr>
        <w:t>；</w:t>
      </w:r>
    </w:p>
    <w:p>
      <w:pPr>
        <w:pStyle w:val="74"/>
        <w:spacing w:beforeLines="50" w:line="480" w:lineRule="exact"/>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12）《固体废物鉴别标准 通则》（GB34330-2017）。</w:t>
      </w:r>
    </w:p>
    <w:p>
      <w:pPr>
        <w:pStyle w:val="73"/>
        <w:spacing w:beforeLines="50" w:line="480" w:lineRule="exact"/>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1.1.4建设项目有关文件及资料</w:t>
      </w:r>
      <w:bookmarkEnd w:id="57"/>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w:t>
      </w:r>
      <w:r>
        <w:rPr>
          <w:rFonts w:hint="default" w:ascii="Times New Roman" w:hAnsi="Times New Roman" w:eastAsia="宋体" w:cs="Times New Roman"/>
          <w:color w:val="auto"/>
          <w:kern w:val="2"/>
          <w:sz w:val="24"/>
          <w:szCs w:val="24"/>
          <w:lang w:val="en-US" w:eastAsia="zh-CN"/>
        </w:rPr>
        <w:t>《</w:t>
      </w:r>
      <w:r>
        <w:rPr>
          <w:rFonts w:hint="default" w:ascii="Times New Roman" w:hAnsi="Times New Roman" w:eastAsia="宋体" w:cs="Times New Roman"/>
          <w:color w:val="auto"/>
          <w:kern w:val="2"/>
          <w:sz w:val="24"/>
          <w:szCs w:val="24"/>
          <w:lang w:eastAsia="zh-CN"/>
        </w:rPr>
        <w:t>北票市</w:t>
      </w:r>
      <w:r>
        <w:rPr>
          <w:rFonts w:hint="default" w:ascii="Times New Roman" w:hAnsi="Times New Roman" w:eastAsia="宋体" w:cs="Times New Roman"/>
          <w:color w:val="auto"/>
          <w:kern w:val="2"/>
          <w:sz w:val="24"/>
          <w:szCs w:val="24"/>
        </w:rPr>
        <w:t>东官营</w:t>
      </w:r>
      <w:r>
        <w:rPr>
          <w:rFonts w:hint="default" w:ascii="Times New Roman" w:hAnsi="Times New Roman" w:eastAsia="宋体" w:cs="Times New Roman"/>
          <w:color w:val="auto"/>
          <w:kern w:val="2"/>
          <w:sz w:val="24"/>
          <w:szCs w:val="24"/>
          <w:lang w:eastAsia="zh-CN"/>
        </w:rPr>
        <w:t>鑫升铁选厂年产</w:t>
      </w:r>
      <w:r>
        <w:rPr>
          <w:rFonts w:hint="default" w:ascii="Times New Roman" w:hAnsi="Times New Roman" w:eastAsia="宋体" w:cs="Times New Roman"/>
          <w:color w:val="auto"/>
          <w:kern w:val="2"/>
          <w:sz w:val="24"/>
          <w:szCs w:val="24"/>
          <w:lang w:val="en-US" w:eastAsia="zh-CN"/>
        </w:rPr>
        <w:t>5万吨铁精粉建设项目》</w:t>
      </w:r>
      <w:r>
        <w:rPr>
          <w:rFonts w:hint="default" w:ascii="Times New Roman" w:hAnsi="Times New Roman" w:eastAsia="宋体" w:cs="Times New Roman"/>
          <w:color w:val="auto"/>
        </w:rPr>
        <w:t>，</w:t>
      </w:r>
      <w:r>
        <w:rPr>
          <w:rFonts w:hint="default" w:ascii="Times New Roman" w:hAnsi="Times New Roman" w:eastAsia="宋体" w:cs="Times New Roman"/>
          <w:color w:val="auto"/>
          <w:kern w:val="2"/>
          <w:sz w:val="24"/>
          <w:szCs w:val="24"/>
          <w:lang w:val="en-US" w:eastAsia="zh-CN"/>
        </w:rPr>
        <w:t>山东省煤田地质局</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2008</w:t>
      </w:r>
      <w:r>
        <w:rPr>
          <w:rFonts w:hint="default" w:ascii="Times New Roman" w:hAnsi="Times New Roman" w:eastAsia="宋体" w:cs="Times New Roman"/>
          <w:color w:val="auto"/>
        </w:rPr>
        <w:t>年</w:t>
      </w:r>
      <w:r>
        <w:rPr>
          <w:rFonts w:hint="default" w:ascii="Times New Roman" w:hAnsi="Times New Roman" w:eastAsia="宋体" w:cs="Times New Roman"/>
          <w:color w:val="auto"/>
          <w:lang w:val="en-US" w:eastAsia="zh-CN"/>
        </w:rPr>
        <w:t>10</w:t>
      </w:r>
      <w:r>
        <w:rPr>
          <w:rFonts w:hint="default" w:ascii="Times New Roman" w:hAnsi="Times New Roman" w:eastAsia="宋体" w:cs="Times New Roman"/>
          <w:color w:val="auto"/>
        </w:rPr>
        <w:t>月；</w:t>
      </w:r>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w:t>
      </w:r>
      <w:r>
        <w:rPr>
          <w:rFonts w:hint="default" w:ascii="Times New Roman" w:hAnsi="Times New Roman" w:eastAsia="宋体" w:cs="Times New Roman"/>
          <w:color w:val="auto"/>
          <w:kern w:val="2"/>
          <w:sz w:val="24"/>
          <w:szCs w:val="24"/>
          <w:lang w:val="en-US" w:eastAsia="zh-CN"/>
        </w:rPr>
        <w:t>北票市环境保护局</w:t>
      </w:r>
      <w:r>
        <w:rPr>
          <w:rFonts w:hint="default" w:ascii="Times New Roman" w:hAnsi="Times New Roman" w:eastAsia="宋体" w:cs="Times New Roman"/>
          <w:color w:val="auto"/>
        </w:rPr>
        <w:t>《</w:t>
      </w:r>
      <w:r>
        <w:rPr>
          <w:rFonts w:hint="default" w:ascii="Times New Roman" w:hAnsi="Times New Roman" w:eastAsia="宋体" w:cs="Times New Roman"/>
          <w:color w:val="auto"/>
          <w:kern w:val="2"/>
          <w:sz w:val="24"/>
          <w:szCs w:val="24"/>
          <w:lang w:val="en-US" w:eastAsia="zh-CN"/>
        </w:rPr>
        <w:t>关于</w:t>
      </w:r>
      <w:r>
        <w:rPr>
          <w:rFonts w:hint="default" w:ascii="Times New Roman" w:hAnsi="Times New Roman" w:eastAsia="宋体" w:cs="Times New Roman"/>
          <w:color w:val="auto"/>
          <w:kern w:val="2"/>
          <w:sz w:val="24"/>
          <w:szCs w:val="24"/>
          <w:lang w:eastAsia="zh-CN"/>
        </w:rPr>
        <w:t>北票市</w:t>
      </w:r>
      <w:r>
        <w:rPr>
          <w:rFonts w:hint="default" w:ascii="Times New Roman" w:hAnsi="Times New Roman" w:eastAsia="宋体" w:cs="Times New Roman"/>
          <w:color w:val="auto"/>
          <w:kern w:val="2"/>
          <w:sz w:val="24"/>
          <w:szCs w:val="24"/>
        </w:rPr>
        <w:t>东官营</w:t>
      </w:r>
      <w:r>
        <w:rPr>
          <w:rFonts w:hint="default" w:ascii="Times New Roman" w:hAnsi="Times New Roman" w:eastAsia="宋体" w:cs="Times New Roman"/>
          <w:color w:val="auto"/>
          <w:kern w:val="2"/>
          <w:sz w:val="24"/>
          <w:szCs w:val="24"/>
          <w:lang w:eastAsia="zh-CN"/>
        </w:rPr>
        <w:t>鑫升铁选厂年产</w:t>
      </w:r>
      <w:r>
        <w:rPr>
          <w:rFonts w:hint="default" w:ascii="Times New Roman" w:hAnsi="Times New Roman" w:eastAsia="宋体" w:cs="Times New Roman"/>
          <w:color w:val="auto"/>
          <w:kern w:val="2"/>
          <w:sz w:val="24"/>
          <w:szCs w:val="24"/>
          <w:lang w:val="en-US" w:eastAsia="zh-CN"/>
        </w:rPr>
        <w:t>5万吨铁精粉建设项目环境影响报告书的批复</w:t>
      </w:r>
      <w:r>
        <w:rPr>
          <w:rFonts w:hint="default" w:ascii="Times New Roman" w:hAnsi="Times New Roman" w:eastAsia="宋体" w:cs="Times New Roman"/>
          <w:color w:val="auto"/>
        </w:rPr>
        <w:t>》（</w:t>
      </w:r>
      <w:r>
        <w:rPr>
          <w:rFonts w:hint="default" w:ascii="Times New Roman" w:hAnsi="Times New Roman" w:eastAsia="宋体" w:cs="Times New Roman"/>
          <w:color w:val="auto"/>
          <w:kern w:val="2"/>
          <w:sz w:val="24"/>
          <w:szCs w:val="24"/>
          <w:lang w:val="en-US" w:eastAsia="zh-CN"/>
        </w:rPr>
        <w:t>北环审【2009】31号</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2009</w:t>
      </w:r>
      <w:r>
        <w:rPr>
          <w:rFonts w:hint="default" w:ascii="Times New Roman" w:hAnsi="Times New Roman" w:eastAsia="宋体" w:cs="Times New Roman"/>
          <w:color w:val="auto"/>
        </w:rPr>
        <w:t>年</w:t>
      </w:r>
      <w:r>
        <w:rPr>
          <w:rFonts w:hint="default" w:ascii="Times New Roman" w:hAnsi="Times New Roman" w:eastAsia="宋体" w:cs="Times New Roman"/>
          <w:color w:val="auto"/>
          <w:lang w:val="en-US" w:eastAsia="zh-CN"/>
        </w:rPr>
        <w:t>4</w:t>
      </w:r>
      <w:r>
        <w:rPr>
          <w:rFonts w:hint="default" w:ascii="Times New Roman" w:hAnsi="Times New Roman" w:eastAsia="宋体" w:cs="Times New Roman"/>
          <w:color w:val="auto"/>
        </w:rPr>
        <w:t>月</w:t>
      </w:r>
      <w:r>
        <w:rPr>
          <w:rFonts w:hint="default" w:ascii="Times New Roman" w:hAnsi="Times New Roman" w:eastAsia="宋体" w:cs="Times New Roman"/>
          <w:color w:val="auto"/>
          <w:lang w:val="en-US" w:eastAsia="zh-CN"/>
        </w:rPr>
        <w:t>8</w:t>
      </w:r>
      <w:r>
        <w:rPr>
          <w:rFonts w:hint="default" w:ascii="Times New Roman" w:hAnsi="Times New Roman" w:eastAsia="宋体" w:cs="Times New Roman"/>
          <w:color w:val="auto"/>
        </w:rPr>
        <w:t>日；</w:t>
      </w:r>
    </w:p>
    <w:p>
      <w:pPr>
        <w:pStyle w:val="74"/>
        <w:spacing w:beforeLines="50" w:line="48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kern w:val="2"/>
          <w:sz w:val="24"/>
          <w:szCs w:val="24"/>
          <w:highlight w:val="none"/>
          <w:lang w:eastAsia="zh-CN"/>
        </w:rPr>
        <w:t>北票市</w:t>
      </w:r>
      <w:r>
        <w:rPr>
          <w:rFonts w:hint="default" w:ascii="Times New Roman" w:hAnsi="Times New Roman" w:eastAsia="宋体" w:cs="Times New Roman"/>
          <w:color w:val="auto"/>
          <w:kern w:val="2"/>
          <w:sz w:val="24"/>
          <w:szCs w:val="24"/>
          <w:highlight w:val="none"/>
        </w:rPr>
        <w:t>东官营</w:t>
      </w:r>
      <w:r>
        <w:rPr>
          <w:rFonts w:hint="default" w:ascii="Times New Roman" w:hAnsi="Times New Roman" w:eastAsia="宋体" w:cs="Times New Roman"/>
          <w:color w:val="auto"/>
          <w:kern w:val="2"/>
          <w:sz w:val="24"/>
          <w:szCs w:val="24"/>
          <w:highlight w:val="none"/>
          <w:lang w:eastAsia="zh-CN"/>
        </w:rPr>
        <w:t>鑫升铁选厂年产</w:t>
      </w:r>
      <w:r>
        <w:rPr>
          <w:rFonts w:hint="default" w:ascii="Times New Roman" w:hAnsi="Times New Roman" w:eastAsia="宋体" w:cs="Times New Roman"/>
          <w:color w:val="auto"/>
          <w:kern w:val="2"/>
          <w:sz w:val="24"/>
          <w:szCs w:val="24"/>
          <w:highlight w:val="none"/>
          <w:lang w:val="en-US" w:eastAsia="zh-CN"/>
        </w:rPr>
        <w:t>5万吨铁精粉建设项目验收</w:t>
      </w:r>
      <w:r>
        <w:rPr>
          <w:rFonts w:hint="default" w:ascii="Times New Roman" w:hAnsi="Times New Roman" w:eastAsia="宋体" w:cs="Times New Roman"/>
          <w:color w:val="auto"/>
          <w:highlight w:val="none"/>
        </w:rPr>
        <w:t>，201</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月；</w:t>
      </w:r>
    </w:p>
    <w:p>
      <w:pPr>
        <w:pStyle w:val="74"/>
        <w:spacing w:beforeLines="50" w:line="360" w:lineRule="auto"/>
        <w:ind w:firstLine="480"/>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4</w:t>
      </w:r>
      <w:r>
        <w:rPr>
          <w:rFonts w:hint="default" w:ascii="Times New Roman" w:hAnsi="Times New Roman" w:eastAsia="宋体" w:cs="Times New Roman"/>
          <w:color w:val="auto"/>
        </w:rPr>
        <w:t>）</w:t>
      </w:r>
      <w:r>
        <w:rPr>
          <w:rFonts w:hint="default" w:ascii="Times New Roman" w:hAnsi="Times New Roman" w:eastAsia="宋体" w:cs="Times New Roman"/>
          <w:color w:val="auto"/>
          <w:kern w:val="2"/>
          <w:sz w:val="24"/>
          <w:szCs w:val="24"/>
        </w:rPr>
        <w:t>北票市冶通矿业有限公司</w:t>
      </w:r>
      <w:r>
        <w:rPr>
          <w:rFonts w:hint="default" w:ascii="Times New Roman" w:hAnsi="Times New Roman" w:eastAsia="宋体" w:cs="Times New Roman"/>
          <w:bCs/>
          <w:color w:val="auto"/>
          <w:sz w:val="24"/>
          <w:szCs w:val="24"/>
        </w:rPr>
        <w:t>提供的其他基础材料</w:t>
      </w:r>
      <w:r>
        <w:rPr>
          <w:rFonts w:hint="default" w:ascii="Times New Roman" w:hAnsi="Times New Roman" w:eastAsia="宋体" w:cs="Times New Roman"/>
          <w:bCs/>
          <w:color w:val="auto"/>
          <w:sz w:val="24"/>
          <w:szCs w:val="24"/>
          <w:lang w:eastAsia="zh-CN"/>
        </w:rPr>
        <w:t>。</w:t>
      </w:r>
    </w:p>
    <w:p>
      <w:pPr>
        <w:pStyle w:val="266"/>
        <w:spacing w:beforeLines="50" w:line="360" w:lineRule="auto"/>
        <w:rPr>
          <w:rFonts w:hint="default" w:ascii="Times New Roman" w:hAnsi="Times New Roman" w:eastAsia="宋体" w:cs="Times New Roman"/>
          <w:color w:val="auto"/>
          <w:szCs w:val="28"/>
        </w:rPr>
      </w:pPr>
      <w:bookmarkStart w:id="58" w:name="_Toc476224964"/>
      <w:bookmarkStart w:id="59" w:name="_Toc23748"/>
      <w:bookmarkStart w:id="60" w:name="_Toc400617535"/>
      <w:bookmarkStart w:id="61" w:name="_Toc174806195"/>
      <w:bookmarkStart w:id="62" w:name="_Toc355284835"/>
      <w:bookmarkStart w:id="63" w:name="_Toc272060385"/>
      <w:r>
        <w:rPr>
          <w:rFonts w:hint="default" w:ascii="Times New Roman" w:hAnsi="Times New Roman" w:eastAsia="宋体" w:cs="Times New Roman"/>
          <w:color w:val="auto"/>
          <w:szCs w:val="28"/>
        </w:rPr>
        <w:t>1.2评价目的、指导思想与评价</w:t>
      </w:r>
      <w:bookmarkEnd w:id="58"/>
      <w:r>
        <w:rPr>
          <w:rFonts w:hint="default" w:ascii="Times New Roman" w:hAnsi="Times New Roman" w:eastAsia="宋体" w:cs="Times New Roman"/>
          <w:color w:val="auto"/>
          <w:szCs w:val="28"/>
        </w:rPr>
        <w:t>原则</w:t>
      </w:r>
      <w:bookmarkEnd w:id="59"/>
    </w:p>
    <w:p>
      <w:pPr>
        <w:pStyle w:val="73"/>
        <w:spacing w:beforeLines="50" w:line="360" w:lineRule="auto"/>
        <w:rPr>
          <w:rFonts w:hint="default" w:ascii="Times New Roman" w:hAnsi="Times New Roman" w:eastAsia="宋体" w:cs="Times New Roman"/>
          <w:color w:val="auto"/>
          <w:sz w:val="28"/>
          <w:szCs w:val="28"/>
        </w:rPr>
      </w:pPr>
      <w:bookmarkStart w:id="64" w:name="_Toc476224965"/>
      <w:r>
        <w:rPr>
          <w:rFonts w:hint="default" w:ascii="Times New Roman" w:hAnsi="Times New Roman" w:eastAsia="宋体" w:cs="Times New Roman"/>
          <w:color w:val="auto"/>
          <w:sz w:val="28"/>
          <w:szCs w:val="28"/>
        </w:rPr>
        <w:t>1.2.1评价目的</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（1）通过对建设项目进行工程分析，确定项目实施后产生的主要污染因素及主要污染因子，确定主要污染物排放量，从而为环境影响预测提供基础资料。</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（2）在对环境现状进行调查与监测的基础上，通过预测评价手段，预测项目的建设对环境的影响范围和程度。</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针对环境主管部门对建设项目的环境管理要求，找出建设项目存在的主要环境问题，提出相应的污染防治措施，评价项目污染防治措施、风险防范措施和生态保护措施技术可行性和经济合理性，并提出加强环境保护的各项对策和建议。</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（4）论证项目的主要污染物达标排放和总量指标及要求。</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（5）通过环境经济损益分析，论证其经济效益和环境效益的统一性。</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（6）从国家产业政策、城市总体规划、环境功能区划和场址建设条件等方面论证项目选址的合理性及建设的可行性。</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（7）为工程设计、环境管理、环境规划提供决策依据。</w:t>
      </w:r>
    </w:p>
    <w:p>
      <w:pPr>
        <w:pStyle w:val="73"/>
        <w:spacing w:beforeLines="50" w:line="360"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1.2.2指导思想</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（1）以国家和地方环境保护法规为依据，以有关环保方针政策为指导，以实现经济与环境协调发展为宗旨。</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（2）本着科学性、实用性、有针对性、有代表性原则，突出项目特点，抓好主要问题，客观、公正、有重点地进行评价。</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（3）评价工作中，充分贯彻达标排放、总量控制、节能减排的原则，提出环保措施和建议时注意其可行性和合理性。</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（4）评价结论达到源于工程、服务于工程并指导工程的目的。</w:t>
      </w:r>
    </w:p>
    <w:p>
      <w:pPr>
        <w:pStyle w:val="73"/>
        <w:spacing w:beforeLines="50" w:line="360"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1.2.3评价原则</w:t>
      </w:r>
    </w:p>
    <w:p>
      <w:pPr>
        <w:pStyle w:val="150"/>
        <w:adjustRightInd w:val="0"/>
        <w:snapToGrid w:val="0"/>
        <w:spacing w:beforeLines="50"/>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（1）依法评价</w:t>
      </w:r>
    </w:p>
    <w:p>
      <w:pPr>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本评价贯彻执行我国环境保护相关法律法规、标准、政策等，结合沈抚改革创新示范区总体发展规划、环境保护规划、环境功能区划开展评价工作，优化项目建设，服务环境管理。</w:t>
      </w:r>
    </w:p>
    <w:p>
      <w:pPr>
        <w:pStyle w:val="150"/>
        <w:adjustRightInd w:val="0"/>
        <w:snapToGrid w:val="0"/>
        <w:spacing w:beforeLines="50"/>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（2）科学评价</w:t>
      </w:r>
    </w:p>
    <w:p>
      <w:pPr>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依据环境影响评价导则，规范环境影响评价方法，科学分析项目建设对环境质量的影响。对运营过程中排放的废气、废水、固废、噪声等进行详细分析，给出污染流程；切实落实各项污染治理措施，分析污染源稳定达标排放的可行性和可靠性，提出改进措施的意见与建议。</w:t>
      </w:r>
    </w:p>
    <w:p>
      <w:pPr>
        <w:pStyle w:val="150"/>
        <w:adjustRightInd w:val="0"/>
        <w:snapToGrid w:val="0"/>
        <w:spacing w:beforeLines="50"/>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（3）突出重点</w:t>
      </w:r>
    </w:p>
    <w:p>
      <w:pPr>
        <w:adjustRightInd w:val="0"/>
        <w:snapToGrid w:val="0"/>
        <w:spacing w:line="360" w:lineRule="auto"/>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sz w:val="24"/>
        </w:rPr>
        <w:t>根据建设项目工程内容及其特点，明确与环境要素间的作用效应关系，充分利用符合时效的数据资料及成果，对建设项目主要环境影响予以重点分析和评价。最终得出的评价结论明确可信，提出的污染防治措施具有可操作性和实用性。</w:t>
      </w:r>
    </w:p>
    <w:p>
      <w:pPr>
        <w:pStyle w:val="73"/>
        <w:spacing w:beforeLines="20" w:afterLines="20" w:line="360" w:lineRule="auto"/>
        <w:outlineLvl w:val="1"/>
        <w:rPr>
          <w:rFonts w:hint="default" w:ascii="Times New Roman" w:hAnsi="Times New Roman" w:eastAsia="宋体" w:cs="Times New Roman"/>
          <w:color w:val="auto"/>
          <w:sz w:val="28"/>
          <w:szCs w:val="28"/>
        </w:rPr>
      </w:pPr>
      <w:bookmarkStart w:id="65" w:name="_Toc476224967"/>
      <w:bookmarkStart w:id="66" w:name="_Toc476553914"/>
      <w:bookmarkStart w:id="67" w:name="_Toc476225123"/>
      <w:bookmarkStart w:id="68" w:name="_Toc476639398"/>
      <w:bookmarkStart w:id="69" w:name="_Toc476553913"/>
      <w:bookmarkStart w:id="70" w:name="_Toc476225122"/>
      <w:bookmarkStart w:id="71" w:name="_Toc478038785"/>
      <w:bookmarkStart w:id="72" w:name="_Toc476224966"/>
      <w:bookmarkStart w:id="73" w:name="_Toc478394743"/>
      <w:bookmarkStart w:id="74" w:name="_Toc476639397"/>
      <w:bookmarkStart w:id="75" w:name="_Toc2096"/>
      <w:r>
        <w:rPr>
          <w:rFonts w:hint="default" w:ascii="Times New Roman" w:hAnsi="Times New Roman" w:eastAsia="宋体" w:cs="Times New Roman"/>
          <w:color w:val="auto"/>
          <w:sz w:val="28"/>
          <w:szCs w:val="28"/>
        </w:rPr>
        <w:t>1</w:t>
      </w:r>
      <w:bookmarkEnd w:id="65"/>
      <w:bookmarkEnd w:id="66"/>
      <w:bookmarkEnd w:id="67"/>
      <w:bookmarkEnd w:id="68"/>
      <w:r>
        <w:rPr>
          <w:rFonts w:hint="default" w:ascii="Times New Roman" w:hAnsi="Times New Roman" w:eastAsia="宋体" w:cs="Times New Roman"/>
          <w:color w:val="auto"/>
          <w:sz w:val="28"/>
          <w:szCs w:val="28"/>
        </w:rPr>
        <w:t>.3环境影响因素识别</w:t>
      </w:r>
      <w:bookmarkEnd w:id="69"/>
      <w:bookmarkEnd w:id="70"/>
      <w:bookmarkEnd w:id="71"/>
      <w:bookmarkEnd w:id="72"/>
      <w:bookmarkEnd w:id="73"/>
      <w:bookmarkEnd w:id="74"/>
      <w:r>
        <w:rPr>
          <w:rFonts w:hint="default" w:ascii="Times New Roman" w:hAnsi="Times New Roman" w:eastAsia="宋体" w:cs="Times New Roman"/>
          <w:color w:val="auto"/>
          <w:sz w:val="28"/>
          <w:szCs w:val="28"/>
        </w:rPr>
        <w:t>与评价因子筛选</w:t>
      </w:r>
      <w:bookmarkEnd w:id="75"/>
    </w:p>
    <w:p>
      <w:pPr>
        <w:pStyle w:val="73"/>
        <w:spacing w:beforeLines="20" w:afterLines="20" w:line="360"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1.3.1环境影响因素识别</w:t>
      </w:r>
    </w:p>
    <w:p>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在工程分析基础上，将本项目对建设地区环境预期产生的影响进行综合分析，建立主要环境环境影响识别矩阵，详见表1.3-1。</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表1.3-1               建设项目环境影响因素识别矩阵一览表</w:t>
      </w:r>
    </w:p>
    <w:tbl>
      <w:tblPr>
        <w:tblStyle w:val="52"/>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4"/>
        <w:gridCol w:w="1326"/>
        <w:gridCol w:w="1327"/>
        <w:gridCol w:w="1327"/>
        <w:gridCol w:w="1327"/>
        <w:gridCol w:w="1327"/>
        <w:gridCol w:w="132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33" w:type="dxa"/>
            <w:gridSpan w:val="2"/>
            <w:vMerge w:val="restart"/>
            <w:tcBorders>
              <w:tl2br w:val="single" w:color="auto" w:sz="6" w:space="0"/>
            </w:tcBorders>
            <w:vAlign w:val="center"/>
          </w:tcPr>
          <w:p>
            <w:pPr>
              <w:jc w:val="right"/>
              <w:rPr>
                <w:rFonts w:hint="default" w:ascii="Times New Roman" w:hAnsi="Times New Roman" w:eastAsia="宋体" w:cs="Times New Roman"/>
                <w:szCs w:val="21"/>
              </w:rPr>
            </w:pPr>
            <w:r>
              <w:rPr>
                <w:rFonts w:hint="default" w:ascii="Times New Roman" w:hAnsi="Times New Roman" w:eastAsia="宋体" w:cs="Times New Roman"/>
                <w:szCs w:val="21"/>
              </w:rPr>
              <w:t>影响行为</w:t>
            </w:r>
          </w:p>
          <w:p>
            <w:pPr>
              <w:pStyle w:val="36"/>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rPr>
              <w:t>环境要素</w:t>
            </w:r>
          </w:p>
        </w:tc>
        <w:tc>
          <w:tcPr>
            <w:tcW w:w="2436" w:type="dxa"/>
            <w:gridSpan w:val="2"/>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施工期</w:t>
            </w:r>
          </w:p>
        </w:tc>
        <w:tc>
          <w:tcPr>
            <w:tcW w:w="3654" w:type="dxa"/>
            <w:gridSpan w:val="3"/>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运营期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33" w:type="dxa"/>
            <w:gridSpan w:val="2"/>
            <w:vMerge w:val="continue"/>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场地建设</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员工生活</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选矿</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运输</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员工生活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vMerge w:val="restart"/>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自然环境</w:t>
            </w:r>
          </w:p>
        </w:tc>
        <w:tc>
          <w:tcPr>
            <w:tcW w:w="1217"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环境空气</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-1</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-1</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-2</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vMerge w:val="continue"/>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7"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地表水</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-1</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vMerge w:val="continue"/>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7"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地下水</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-1</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-1</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vMerge w:val="continue"/>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7"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声环境</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-1</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-1</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-2</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vMerge w:val="continue"/>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7"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生态环境</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vMerge w:val="continue"/>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7"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土壤</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-1</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-1</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vMerge w:val="continue"/>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7"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固废</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-1</w:t>
            </w: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p>
        </w:tc>
        <w:tc>
          <w:tcPr>
            <w:tcW w:w="1218" w:type="dxa"/>
            <w:tcBorders>
              <w:tl2br w:val="nil"/>
              <w:tr2bl w:val="nil"/>
            </w:tcBorders>
            <w:vAlign w:val="center"/>
          </w:tcPr>
          <w:p>
            <w:pPr>
              <w:jc w:val="center"/>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-1</w:t>
            </w:r>
          </w:p>
        </w:tc>
      </w:tr>
    </w:tbl>
    <w:p>
      <w:pPr>
        <w:pStyle w:val="495"/>
        <w:spacing w:line="360" w:lineRule="auto"/>
        <w:ind w:firstLine="0" w:firstLineChars="0"/>
        <w:jc w:val="left"/>
        <w:rPr>
          <w:rFonts w:hint="default" w:ascii="Times New Roman" w:hAnsi="Times New Roman" w:eastAsia="宋体" w:cs="Times New Roman"/>
          <w:color w:val="auto"/>
          <w:sz w:val="20"/>
          <w:szCs w:val="21"/>
        </w:rPr>
      </w:pPr>
      <w:r>
        <w:rPr>
          <w:rFonts w:hint="default" w:ascii="Times New Roman" w:hAnsi="Times New Roman" w:eastAsia="宋体" w:cs="Times New Roman"/>
          <w:color w:val="auto"/>
          <w:sz w:val="20"/>
          <w:szCs w:val="21"/>
        </w:rPr>
        <w:t>注：□/○：长期/短期影响。涂黑/白：不利/有利影响。空白：无相互作用。</w:t>
      </w:r>
    </w:p>
    <w:p>
      <w:pPr>
        <w:bidi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由表</w:t>
      </w:r>
      <w:r>
        <w:rPr>
          <w:rFonts w:hint="default" w:ascii="Times New Roman" w:hAnsi="Times New Roman" w:eastAsia="宋体" w:cs="Times New Roman"/>
          <w:color w:val="auto"/>
          <w:sz w:val="24"/>
        </w:rPr>
        <w:t>1.3-1</w:t>
      </w:r>
      <w:r>
        <w:rPr>
          <w:rFonts w:hint="default" w:ascii="Times New Roman" w:hAnsi="Times New Roman" w:eastAsia="宋体" w:cs="Times New Roman"/>
          <w:color w:val="auto"/>
          <w:sz w:val="24"/>
          <w:szCs w:val="24"/>
        </w:rPr>
        <w:t>可以看出，项目建设对环境的影响是多方面的，既存在短期、局部及可恢复的影响，也存在长期的影响。施工期主要表现在对自然环境要素产生定程度的负面影响，主要为环境空气、声环境、水环境，随着施工期的</w:t>
      </w:r>
      <w:r>
        <w:rPr>
          <w:rFonts w:hint="default" w:ascii="Times New Roman" w:hAnsi="Times New Roman" w:eastAsia="宋体" w:cs="Times New Roman"/>
          <w:color w:val="auto"/>
          <w:sz w:val="24"/>
          <w:szCs w:val="24"/>
          <w:lang w:eastAsia="zh-CN"/>
        </w:rPr>
        <w:t>结束</w:t>
      </w:r>
      <w:r>
        <w:rPr>
          <w:rFonts w:hint="default" w:ascii="Times New Roman" w:hAnsi="Times New Roman" w:eastAsia="宋体" w:cs="Times New Roman"/>
          <w:color w:val="auto"/>
          <w:sz w:val="24"/>
          <w:szCs w:val="24"/>
        </w:rPr>
        <w:t>而消失</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营运期对环境的不利影响是长期存在的，在生产过程中，主要影响因素表现在环境空气、声环境等方面，而对当地的经济发展和劳动就业均会起到一定的积极作用，有利于当地经济的发展。</w:t>
      </w:r>
    </w:p>
    <w:p>
      <w:pPr>
        <w:pStyle w:val="73"/>
        <w:spacing w:beforeLines="20" w:afterLines="20" w:line="360"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1.3.2评价因子筛选</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根据环境影响要素识别结果，结合建设项目工程特征、排污种类、排污去向及周围地区环境质量概况，确定本次评价因子，包括污染源评价因子、环境质量评价因子和影响分析因子，见表1.3-2。</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表1.3-2                    评价因子一览表</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0"/>
        <w:gridCol w:w="5404"/>
        <w:gridCol w:w="233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1"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环境要素</w:t>
            </w:r>
          </w:p>
        </w:tc>
        <w:tc>
          <w:tcPr>
            <w:tcW w:w="4953"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现状评价因子</w:t>
            </w:r>
          </w:p>
        </w:tc>
        <w:tc>
          <w:tcPr>
            <w:tcW w:w="2140"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影响预测因子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1"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环境空气</w:t>
            </w:r>
          </w:p>
        </w:tc>
        <w:tc>
          <w:tcPr>
            <w:tcW w:w="4953"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PM</w:t>
            </w:r>
            <w:r>
              <w:rPr>
                <w:rFonts w:hint="default" w:ascii="Times New Roman" w:hAnsi="Times New Roman" w:eastAsia="宋体" w:cs="Times New Roman"/>
                <w:szCs w:val="21"/>
                <w:vertAlign w:val="subscript"/>
              </w:rPr>
              <w:t>10</w:t>
            </w:r>
            <w:r>
              <w:rPr>
                <w:rFonts w:hint="default" w:ascii="Times New Roman" w:hAnsi="Times New Roman" w:eastAsia="宋体" w:cs="Times New Roman"/>
                <w:szCs w:val="21"/>
              </w:rPr>
              <w:t>、PM</w:t>
            </w:r>
            <w:r>
              <w:rPr>
                <w:rFonts w:hint="default" w:ascii="Times New Roman" w:hAnsi="Times New Roman" w:eastAsia="宋体" w:cs="Times New Roman"/>
                <w:szCs w:val="21"/>
                <w:vertAlign w:val="subscript"/>
              </w:rPr>
              <w:t>2.5</w:t>
            </w:r>
            <w:r>
              <w:rPr>
                <w:rFonts w:hint="default" w:ascii="Times New Roman" w:hAnsi="Times New Roman" w:eastAsia="宋体" w:cs="Times New Roman"/>
                <w:szCs w:val="21"/>
              </w:rPr>
              <w:t>、SO</w:t>
            </w:r>
            <w:r>
              <w:rPr>
                <w:rFonts w:hint="default" w:ascii="Times New Roman" w:hAnsi="Times New Roman" w:eastAsia="宋体" w:cs="Times New Roman"/>
                <w:szCs w:val="21"/>
                <w:vertAlign w:val="subscript"/>
              </w:rPr>
              <w:t>2</w:t>
            </w:r>
            <w:r>
              <w:rPr>
                <w:rFonts w:hint="default" w:ascii="Times New Roman" w:hAnsi="Times New Roman" w:eastAsia="宋体" w:cs="Times New Roman"/>
                <w:szCs w:val="21"/>
              </w:rPr>
              <w:t>、NO</w:t>
            </w:r>
            <w:r>
              <w:rPr>
                <w:rFonts w:hint="default" w:ascii="Times New Roman" w:hAnsi="Times New Roman" w:eastAsia="宋体" w:cs="Times New Roman"/>
                <w:szCs w:val="21"/>
                <w:vertAlign w:val="subscript"/>
              </w:rPr>
              <w:t>2</w:t>
            </w:r>
            <w:r>
              <w:rPr>
                <w:rFonts w:hint="default" w:ascii="Times New Roman" w:hAnsi="Times New Roman" w:eastAsia="宋体" w:cs="Times New Roman"/>
                <w:szCs w:val="21"/>
              </w:rPr>
              <w:t>、CO、O</w:t>
            </w:r>
            <w:r>
              <w:rPr>
                <w:rFonts w:hint="default" w:ascii="Times New Roman" w:hAnsi="Times New Roman" w:eastAsia="宋体" w:cs="Times New Roman"/>
                <w:szCs w:val="21"/>
                <w:vertAlign w:val="subscript"/>
              </w:rPr>
              <w:t>3</w:t>
            </w:r>
            <w:r>
              <w:rPr>
                <w:rFonts w:hint="default" w:ascii="Times New Roman" w:hAnsi="Times New Roman" w:eastAsia="宋体" w:cs="Times New Roman"/>
                <w:szCs w:val="21"/>
              </w:rPr>
              <w:t>、TSP</w:t>
            </w:r>
          </w:p>
        </w:tc>
        <w:tc>
          <w:tcPr>
            <w:tcW w:w="2140"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TSP、PM</w:t>
            </w:r>
            <w:r>
              <w:rPr>
                <w:rFonts w:hint="default" w:ascii="Times New Roman" w:hAnsi="Times New Roman" w:eastAsia="宋体" w:cs="Times New Roman"/>
                <w:szCs w:val="21"/>
                <w:vertAlign w:val="subscript"/>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1"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地表水</w:t>
            </w:r>
          </w:p>
        </w:tc>
        <w:tc>
          <w:tcPr>
            <w:tcW w:w="4953"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COD、高锰酸盐指数、BOD</w:t>
            </w:r>
            <w:r>
              <w:rPr>
                <w:rFonts w:hint="default" w:ascii="Times New Roman" w:hAnsi="Times New Roman" w:eastAsia="宋体" w:cs="Times New Roman"/>
                <w:szCs w:val="21"/>
                <w:vertAlign w:val="subscript"/>
              </w:rPr>
              <w:t>5</w:t>
            </w:r>
            <w:r>
              <w:rPr>
                <w:rFonts w:hint="default" w:ascii="Times New Roman" w:hAnsi="Times New Roman" w:eastAsia="宋体" w:cs="Times New Roman"/>
                <w:szCs w:val="21"/>
              </w:rPr>
              <w:t>、石油类、NH</w:t>
            </w:r>
            <w:r>
              <w:rPr>
                <w:rFonts w:hint="default" w:ascii="Times New Roman" w:hAnsi="Times New Roman" w:eastAsia="宋体" w:cs="Times New Roman"/>
                <w:szCs w:val="21"/>
                <w:vertAlign w:val="subscript"/>
              </w:rPr>
              <w:t>3</w:t>
            </w:r>
            <w:r>
              <w:rPr>
                <w:rFonts w:hint="default" w:ascii="Times New Roman" w:hAnsi="Times New Roman" w:eastAsia="宋体" w:cs="Times New Roman"/>
                <w:szCs w:val="21"/>
              </w:rPr>
              <w:t>-N、TP</w:t>
            </w:r>
          </w:p>
        </w:tc>
        <w:tc>
          <w:tcPr>
            <w:tcW w:w="2140"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1"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地下水</w:t>
            </w:r>
          </w:p>
        </w:tc>
        <w:tc>
          <w:tcPr>
            <w:tcW w:w="4953"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K</w:t>
            </w:r>
            <w:r>
              <w:rPr>
                <w:rFonts w:hint="default" w:ascii="Times New Roman" w:hAnsi="Times New Roman" w:eastAsia="宋体" w:cs="Times New Roman"/>
                <w:szCs w:val="21"/>
                <w:vertAlign w:val="superscript"/>
              </w:rPr>
              <w:t>+</w:t>
            </w:r>
            <w:r>
              <w:rPr>
                <w:rFonts w:hint="default" w:ascii="Times New Roman" w:hAnsi="Times New Roman" w:eastAsia="宋体" w:cs="Times New Roman"/>
                <w:szCs w:val="21"/>
              </w:rPr>
              <w:t>、Na</w:t>
            </w:r>
            <w:r>
              <w:rPr>
                <w:rFonts w:hint="default" w:ascii="Times New Roman" w:hAnsi="Times New Roman" w:eastAsia="宋体" w:cs="Times New Roman"/>
                <w:szCs w:val="21"/>
                <w:vertAlign w:val="superscript"/>
              </w:rPr>
              <w:t>+</w:t>
            </w:r>
            <w:r>
              <w:rPr>
                <w:rFonts w:hint="default" w:ascii="Times New Roman" w:hAnsi="Times New Roman" w:eastAsia="宋体" w:cs="Times New Roman"/>
                <w:szCs w:val="21"/>
              </w:rPr>
              <w:t>、Ca</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rPr>
              <w:t>、Mg</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rPr>
              <w:t>、CO</w:t>
            </w:r>
            <w:r>
              <w:rPr>
                <w:rFonts w:hint="default" w:ascii="Times New Roman" w:hAnsi="Times New Roman" w:eastAsia="宋体" w:cs="Times New Roman"/>
                <w:szCs w:val="21"/>
                <w:vertAlign w:val="subscript"/>
              </w:rPr>
              <w:t>3</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rPr>
              <w:t>、HCO</w:t>
            </w:r>
            <w:r>
              <w:rPr>
                <w:rFonts w:hint="default" w:ascii="Times New Roman" w:hAnsi="Times New Roman" w:eastAsia="宋体" w:cs="Times New Roman"/>
                <w:szCs w:val="21"/>
                <w:vertAlign w:val="subscript"/>
              </w:rPr>
              <w:t>3</w:t>
            </w:r>
            <w:r>
              <w:rPr>
                <w:rFonts w:hint="default" w:ascii="Times New Roman" w:hAnsi="Times New Roman" w:eastAsia="宋体" w:cs="Times New Roman"/>
                <w:szCs w:val="21"/>
                <w:vertAlign w:val="superscript"/>
              </w:rPr>
              <w:t>-</w:t>
            </w:r>
            <w:r>
              <w:rPr>
                <w:rFonts w:hint="default" w:ascii="Times New Roman" w:hAnsi="Times New Roman" w:eastAsia="宋体" w:cs="Times New Roman"/>
                <w:szCs w:val="21"/>
              </w:rPr>
              <w:t>、Cl</w:t>
            </w:r>
            <w:r>
              <w:rPr>
                <w:rFonts w:hint="default" w:ascii="Times New Roman" w:hAnsi="Times New Roman" w:eastAsia="宋体" w:cs="Times New Roman"/>
                <w:szCs w:val="21"/>
                <w:vertAlign w:val="superscript"/>
              </w:rPr>
              <w:t>-</w:t>
            </w:r>
            <w:r>
              <w:rPr>
                <w:rFonts w:hint="default" w:ascii="Times New Roman" w:hAnsi="Times New Roman" w:eastAsia="宋体" w:cs="Times New Roman"/>
                <w:szCs w:val="21"/>
              </w:rPr>
              <w:t>、SO</w:t>
            </w:r>
            <w:r>
              <w:rPr>
                <w:rFonts w:hint="default" w:ascii="Times New Roman" w:hAnsi="Times New Roman" w:eastAsia="宋体" w:cs="Times New Roman"/>
                <w:szCs w:val="21"/>
                <w:vertAlign w:val="subscript"/>
              </w:rPr>
              <w:t>4</w:t>
            </w:r>
            <w:r>
              <w:rPr>
                <w:rFonts w:hint="default" w:ascii="Times New Roman" w:hAnsi="Times New Roman" w:eastAsia="宋体" w:cs="Times New Roman"/>
                <w:szCs w:val="21"/>
                <w:vertAlign w:val="superscript"/>
              </w:rPr>
              <w:t>2-</w:t>
            </w:r>
          </w:p>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基本水质因子：pH、总硬度、溶解性总固体、挥发酚、氯化物、硫酸盐、硫化物、氟化物、氰化物、耗氧量、氨氮、亚硝酸盐、硝酸盐、六价铬、汞、砷、镉、铅、铁、锰、锌、铜和石油类</w:t>
            </w:r>
          </w:p>
        </w:tc>
        <w:tc>
          <w:tcPr>
            <w:tcW w:w="2140"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1"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声环境</w:t>
            </w:r>
          </w:p>
        </w:tc>
        <w:tc>
          <w:tcPr>
            <w:tcW w:w="4953" w:type="dxa"/>
            <w:tcBorders>
              <w:tl2br w:val="nil"/>
              <w:tr2bl w:val="nil"/>
            </w:tcBorders>
            <w:vAlign w:val="center"/>
          </w:tcPr>
          <w:p>
            <w:pPr>
              <w:spacing w:line="4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Leq(A)</w:t>
            </w:r>
          </w:p>
        </w:tc>
        <w:tc>
          <w:tcPr>
            <w:tcW w:w="2140"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Leq(A)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1"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固体废物</w:t>
            </w:r>
          </w:p>
        </w:tc>
        <w:tc>
          <w:tcPr>
            <w:tcW w:w="4953" w:type="dxa"/>
            <w:tcBorders>
              <w:tl2br w:val="nil"/>
              <w:tr2bl w:val="nil"/>
            </w:tcBorders>
            <w:vAlign w:val="center"/>
          </w:tcPr>
          <w:p>
            <w:pPr>
              <w:spacing w:line="46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2140"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尾矿渣、除尘灰、生活垃圾、废机油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1"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土壤环境</w:t>
            </w:r>
          </w:p>
        </w:tc>
        <w:tc>
          <w:tcPr>
            <w:tcW w:w="4953"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pH值、镉、汞、砷、铅、铬（六价）、铜、镍、锌、石油烃及建设用地土壤污染风险筛选值和管制值（45项）</w:t>
            </w:r>
          </w:p>
        </w:tc>
        <w:tc>
          <w:tcPr>
            <w:tcW w:w="2140" w:type="dxa"/>
            <w:tcBorders>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铁</w:t>
            </w:r>
          </w:p>
        </w:tc>
      </w:tr>
    </w:tbl>
    <w:p>
      <w:pPr>
        <w:pStyle w:val="266"/>
        <w:spacing w:beforeLines="50" w:line="360" w:lineRule="auto"/>
        <w:rPr>
          <w:rFonts w:hint="default" w:ascii="Times New Roman" w:hAnsi="Times New Roman" w:eastAsia="宋体" w:cs="Times New Roman"/>
          <w:color w:val="auto"/>
        </w:rPr>
      </w:pPr>
      <w:bookmarkStart w:id="76" w:name="_Toc30897"/>
      <w:r>
        <w:rPr>
          <w:rFonts w:hint="default" w:ascii="Times New Roman" w:hAnsi="Times New Roman" w:eastAsia="宋体" w:cs="Times New Roman"/>
          <w:color w:val="auto"/>
          <w:szCs w:val="28"/>
        </w:rPr>
        <w:t>1.</w:t>
      </w:r>
      <w:bookmarkEnd w:id="64"/>
      <w:bookmarkStart w:id="77" w:name="_Toc478038784"/>
      <w:bookmarkStart w:id="78" w:name="_Toc478394742"/>
      <w:r>
        <w:rPr>
          <w:rFonts w:hint="default" w:ascii="Times New Roman" w:hAnsi="Times New Roman" w:eastAsia="宋体" w:cs="Times New Roman"/>
          <w:color w:val="auto"/>
          <w:szCs w:val="28"/>
        </w:rPr>
        <w:t>4</w:t>
      </w:r>
      <w:bookmarkEnd w:id="77"/>
      <w:bookmarkEnd w:id="78"/>
      <w:r>
        <w:rPr>
          <w:rFonts w:hint="default" w:ascii="Times New Roman" w:hAnsi="Times New Roman" w:eastAsia="宋体" w:cs="Times New Roman"/>
          <w:color w:val="auto"/>
          <w:szCs w:val="28"/>
        </w:rPr>
        <w:t>评价标准</w:t>
      </w:r>
      <w:bookmarkEnd w:id="76"/>
    </w:p>
    <w:p>
      <w:pPr>
        <w:pStyle w:val="73"/>
        <w:spacing w:beforeLines="20" w:afterLines="20" w:line="360"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1.4.</w:t>
      </w:r>
      <w:r>
        <w:rPr>
          <w:rFonts w:hint="default" w:ascii="Times New Roman" w:hAnsi="Times New Roman" w:eastAsia="宋体" w:cs="Times New Roman"/>
          <w:color w:val="auto"/>
          <w:sz w:val="28"/>
          <w:szCs w:val="28"/>
          <w:lang w:val="en-US" w:eastAsia="zh-CN"/>
        </w:rPr>
        <w:t>1</w:t>
      </w:r>
      <w:r>
        <w:rPr>
          <w:rFonts w:hint="default" w:ascii="Times New Roman" w:hAnsi="Times New Roman" w:eastAsia="宋体" w:cs="Times New Roman"/>
          <w:color w:val="auto"/>
          <w:sz w:val="28"/>
          <w:szCs w:val="28"/>
        </w:rPr>
        <w:t>环境质量标准</w:t>
      </w:r>
    </w:p>
    <w:p>
      <w:pPr>
        <w:spacing w:beforeLines="50" w:line="360" w:lineRule="auto"/>
        <w:ind w:firstLine="480" w:firstLineChars="200"/>
        <w:rPr>
          <w:rFonts w:hint="default" w:ascii="Times New Roman" w:hAnsi="Times New Roman" w:eastAsia="宋体" w:cs="Times New Roman"/>
          <w:color w:val="auto"/>
          <w:sz w:val="24"/>
          <w:szCs w:val="20"/>
        </w:rPr>
      </w:pPr>
      <w:bookmarkStart w:id="79" w:name="_Toc490065354"/>
      <w:bookmarkStart w:id="80" w:name="_Toc490065159"/>
      <w:bookmarkStart w:id="81" w:name="_Toc272069003"/>
      <w:bookmarkStart w:id="82" w:name="_Toc320905621"/>
      <w:r>
        <w:rPr>
          <w:rFonts w:hint="default" w:ascii="Times New Roman" w:hAnsi="Times New Roman" w:eastAsia="宋体" w:cs="Times New Roman"/>
          <w:color w:val="auto"/>
          <w:sz w:val="24"/>
          <w:szCs w:val="20"/>
        </w:rPr>
        <w:t>（1）环境空气</w:t>
      </w:r>
      <w:bookmarkEnd w:id="79"/>
      <w:bookmarkEnd w:id="80"/>
    </w:p>
    <w:p>
      <w:pPr>
        <w:snapToGrid w:val="0"/>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项目所在地区为二类环境空气质量功能区，大气污染物基本项目</w:t>
      </w:r>
      <w:r>
        <w:rPr>
          <w:rFonts w:hint="default" w:ascii="Times New Roman" w:hAnsi="Times New Roman" w:eastAsia="宋体" w:cs="Times New Roman"/>
          <w:color w:val="auto"/>
          <w:sz w:val="24"/>
          <w:lang w:eastAsia="zh-CN"/>
        </w:rPr>
        <w:t>及</w:t>
      </w:r>
      <w:r>
        <w:rPr>
          <w:rFonts w:hint="default" w:ascii="Times New Roman" w:hAnsi="Times New Roman" w:eastAsia="宋体" w:cs="Times New Roman"/>
          <w:color w:val="auto"/>
          <w:sz w:val="24"/>
          <w:lang w:val="en-US" w:eastAsia="zh-CN"/>
        </w:rPr>
        <w:t>TSP</w:t>
      </w:r>
      <w:r>
        <w:rPr>
          <w:rFonts w:hint="default" w:ascii="Times New Roman" w:hAnsi="Times New Roman" w:eastAsia="宋体" w:cs="Times New Roman"/>
          <w:color w:val="auto"/>
          <w:sz w:val="24"/>
        </w:rPr>
        <w:t>执行《环境空气质量标准》（GB3095-2012）二级标准及其修改单。</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表1.4-1                      环境空气质量标准</w:t>
      </w:r>
    </w:p>
    <w:bookmarkEnd w:id="81"/>
    <w:bookmarkEnd w:id="82"/>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8"/>
        <w:gridCol w:w="2157"/>
        <w:gridCol w:w="1324"/>
        <w:gridCol w:w="1316"/>
        <w:gridCol w:w="299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4"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bookmarkStart w:id="83" w:name="_Toc320905622"/>
            <w:r>
              <w:rPr>
                <w:rFonts w:hint="default" w:ascii="Times New Roman" w:hAnsi="Times New Roman" w:eastAsia="宋体" w:cs="Times New Roman"/>
                <w:b w:val="0"/>
                <w:bCs w:val="0"/>
                <w:color w:val="auto"/>
                <w:kern w:val="0"/>
                <w:szCs w:val="21"/>
              </w:rPr>
              <w:t>污染物名称</w:t>
            </w:r>
          </w:p>
        </w:tc>
        <w:tc>
          <w:tcPr>
            <w:tcW w:w="1979"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spacing w:val="1"/>
                <w:kern w:val="0"/>
                <w:szCs w:val="21"/>
              </w:rPr>
              <w:t>取值时间</w:t>
            </w:r>
          </w:p>
        </w:tc>
        <w:tc>
          <w:tcPr>
            <w:tcW w:w="1215"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spacing w:val="1"/>
                <w:kern w:val="0"/>
                <w:szCs w:val="21"/>
              </w:rPr>
              <w:t>浓度限值</w:t>
            </w:r>
          </w:p>
        </w:tc>
        <w:tc>
          <w:tcPr>
            <w:tcW w:w="1208"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spacing w:val="1"/>
                <w:kern w:val="0"/>
                <w:szCs w:val="21"/>
              </w:rPr>
              <w:t>单位</w:t>
            </w:r>
          </w:p>
        </w:tc>
        <w:tc>
          <w:tcPr>
            <w:tcW w:w="2746"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spacing w:val="1"/>
                <w:kern w:val="0"/>
                <w:szCs w:val="21"/>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4"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PM</w:t>
            </w:r>
            <w:r>
              <w:rPr>
                <w:rFonts w:hint="default" w:ascii="Times New Roman" w:hAnsi="Times New Roman" w:eastAsia="宋体" w:cs="Times New Roman"/>
                <w:b w:val="0"/>
                <w:bCs w:val="0"/>
                <w:color w:val="auto"/>
                <w:kern w:val="0"/>
                <w:position w:val="-2"/>
                <w:szCs w:val="21"/>
                <w:vertAlign w:val="subscript"/>
              </w:rPr>
              <w:t>10</w:t>
            </w:r>
          </w:p>
        </w:tc>
        <w:tc>
          <w:tcPr>
            <w:tcW w:w="1979"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24小时平均</w:t>
            </w:r>
          </w:p>
        </w:tc>
        <w:tc>
          <w:tcPr>
            <w:tcW w:w="1215"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150</w:t>
            </w:r>
          </w:p>
        </w:tc>
        <w:tc>
          <w:tcPr>
            <w:tcW w:w="1208" w:type="dxa"/>
            <w:noWrap w:val="0"/>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μg/m</w:t>
            </w:r>
            <w:r>
              <w:rPr>
                <w:rFonts w:hint="default" w:ascii="Times New Roman" w:hAnsi="Times New Roman" w:eastAsia="宋体" w:cs="Times New Roman"/>
                <w:b w:val="0"/>
                <w:bCs w:val="0"/>
                <w:color w:val="auto"/>
                <w:szCs w:val="21"/>
                <w:vertAlign w:val="superscript"/>
              </w:rPr>
              <w:t>3</w:t>
            </w:r>
          </w:p>
        </w:tc>
        <w:tc>
          <w:tcPr>
            <w:tcW w:w="2746" w:type="dxa"/>
            <w:vMerge w:val="restart"/>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 w:val="21"/>
                <w:szCs w:val="21"/>
              </w:rPr>
            </w:pPr>
            <w:r>
              <w:rPr>
                <w:rFonts w:hint="default" w:ascii="Times New Roman" w:hAnsi="Times New Roman" w:eastAsia="宋体" w:cs="Times New Roman"/>
                <w:b w:val="0"/>
                <w:bCs w:val="0"/>
                <w:color w:val="auto"/>
                <w:kern w:val="0"/>
                <w:sz w:val="21"/>
                <w:szCs w:val="21"/>
              </w:rPr>
              <w:t>《环境空气质量标准》</w:t>
            </w:r>
          </w:p>
          <w:p>
            <w:pPr>
              <w:kinsoku w:val="0"/>
              <w:overflowPunct w:val="0"/>
              <w:autoSpaceDE w:val="0"/>
              <w:autoSpaceDN w:val="0"/>
              <w:adjustRightInd w:val="0"/>
              <w:jc w:val="center"/>
              <w:rPr>
                <w:rFonts w:hint="default" w:ascii="Times New Roman" w:hAnsi="Times New Roman" w:eastAsia="宋体" w:cs="Times New Roman"/>
                <w:b w:val="0"/>
                <w:bCs w:val="0"/>
                <w:color w:val="auto"/>
                <w:spacing w:val="1"/>
                <w:kern w:val="0"/>
                <w:sz w:val="21"/>
                <w:szCs w:val="21"/>
              </w:rPr>
            </w:pPr>
            <w:r>
              <w:rPr>
                <w:rFonts w:hint="default" w:ascii="Times New Roman" w:hAnsi="Times New Roman" w:eastAsia="宋体" w:cs="Times New Roman"/>
                <w:b w:val="0"/>
                <w:bCs w:val="0"/>
                <w:color w:val="auto"/>
                <w:spacing w:val="-1"/>
                <w:kern w:val="0"/>
                <w:sz w:val="21"/>
                <w:szCs w:val="21"/>
              </w:rPr>
              <w:t>(GB3095-2012)二级标准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4" w:type="dxa"/>
            <w:noWrap w:val="0"/>
            <w:vAlign w:val="center"/>
          </w:tcPr>
          <w:p>
            <w:pPr>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szCs w:val="21"/>
              </w:rPr>
              <w:t>PM</w:t>
            </w:r>
            <w:r>
              <w:rPr>
                <w:rFonts w:hint="default" w:ascii="Times New Roman" w:hAnsi="Times New Roman" w:eastAsia="宋体" w:cs="Times New Roman"/>
                <w:b w:val="0"/>
                <w:bCs w:val="0"/>
                <w:color w:val="auto"/>
                <w:szCs w:val="21"/>
                <w:vertAlign w:val="subscript"/>
              </w:rPr>
              <w:t>2.5</w:t>
            </w:r>
          </w:p>
        </w:tc>
        <w:tc>
          <w:tcPr>
            <w:tcW w:w="1979"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24小时平均</w:t>
            </w:r>
          </w:p>
        </w:tc>
        <w:tc>
          <w:tcPr>
            <w:tcW w:w="1215"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75</w:t>
            </w:r>
          </w:p>
        </w:tc>
        <w:tc>
          <w:tcPr>
            <w:tcW w:w="1208" w:type="dxa"/>
            <w:noWrap w:val="0"/>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μg/m</w:t>
            </w:r>
            <w:r>
              <w:rPr>
                <w:rFonts w:hint="default" w:ascii="Times New Roman" w:hAnsi="Times New Roman" w:eastAsia="宋体" w:cs="Times New Roman"/>
                <w:b w:val="0"/>
                <w:bCs w:val="0"/>
                <w:color w:val="auto"/>
                <w:szCs w:val="21"/>
                <w:vertAlign w:val="superscript"/>
              </w:rPr>
              <w:t>3</w:t>
            </w:r>
          </w:p>
        </w:tc>
        <w:tc>
          <w:tcPr>
            <w:tcW w:w="2746" w:type="dxa"/>
            <w:vMerge w:val="continue"/>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spacing w:val="-1"/>
                <w:kern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4" w:type="dxa"/>
            <w:vMerge w:val="restart"/>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position w:val="1"/>
                <w:szCs w:val="21"/>
              </w:rPr>
              <w:t>SO</w:t>
            </w:r>
            <w:r>
              <w:rPr>
                <w:rFonts w:hint="default" w:ascii="Times New Roman" w:hAnsi="Times New Roman" w:eastAsia="宋体" w:cs="Times New Roman"/>
                <w:b w:val="0"/>
                <w:bCs w:val="0"/>
                <w:color w:val="auto"/>
                <w:kern w:val="0"/>
                <w:szCs w:val="21"/>
                <w:vertAlign w:val="subscript"/>
              </w:rPr>
              <w:t>2</w:t>
            </w:r>
          </w:p>
        </w:tc>
        <w:tc>
          <w:tcPr>
            <w:tcW w:w="1979"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24小时平均</w:t>
            </w:r>
          </w:p>
        </w:tc>
        <w:tc>
          <w:tcPr>
            <w:tcW w:w="1215"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150</w:t>
            </w:r>
          </w:p>
        </w:tc>
        <w:tc>
          <w:tcPr>
            <w:tcW w:w="1208" w:type="dxa"/>
            <w:noWrap w:val="0"/>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μg/m</w:t>
            </w:r>
            <w:r>
              <w:rPr>
                <w:rFonts w:hint="default" w:ascii="Times New Roman" w:hAnsi="Times New Roman" w:eastAsia="宋体" w:cs="Times New Roman"/>
                <w:b w:val="0"/>
                <w:bCs w:val="0"/>
                <w:color w:val="auto"/>
                <w:szCs w:val="21"/>
                <w:vertAlign w:val="superscript"/>
              </w:rPr>
              <w:t>3</w:t>
            </w:r>
          </w:p>
        </w:tc>
        <w:tc>
          <w:tcPr>
            <w:tcW w:w="2746" w:type="dxa"/>
            <w:vMerge w:val="continue"/>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4" w:type="dxa"/>
            <w:vMerge w:val="continue"/>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p>
        </w:tc>
        <w:tc>
          <w:tcPr>
            <w:tcW w:w="1979"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1小时平均</w:t>
            </w:r>
          </w:p>
        </w:tc>
        <w:tc>
          <w:tcPr>
            <w:tcW w:w="1215"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500</w:t>
            </w:r>
          </w:p>
        </w:tc>
        <w:tc>
          <w:tcPr>
            <w:tcW w:w="1208" w:type="dxa"/>
            <w:noWrap w:val="0"/>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μg/m</w:t>
            </w:r>
            <w:r>
              <w:rPr>
                <w:rFonts w:hint="default" w:ascii="Times New Roman" w:hAnsi="Times New Roman" w:eastAsia="宋体" w:cs="Times New Roman"/>
                <w:b w:val="0"/>
                <w:bCs w:val="0"/>
                <w:color w:val="auto"/>
                <w:szCs w:val="21"/>
                <w:vertAlign w:val="superscript"/>
              </w:rPr>
              <w:t>3</w:t>
            </w:r>
          </w:p>
        </w:tc>
        <w:tc>
          <w:tcPr>
            <w:tcW w:w="2746" w:type="dxa"/>
            <w:vMerge w:val="continue"/>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spacing w:val="1"/>
                <w:kern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4" w:type="dxa"/>
            <w:vMerge w:val="restart"/>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position w:val="1"/>
                <w:szCs w:val="21"/>
              </w:rPr>
              <w:t>NO</w:t>
            </w:r>
            <w:r>
              <w:rPr>
                <w:rFonts w:hint="default" w:ascii="Times New Roman" w:hAnsi="Times New Roman" w:eastAsia="宋体" w:cs="Times New Roman"/>
                <w:b w:val="0"/>
                <w:bCs w:val="0"/>
                <w:color w:val="auto"/>
                <w:kern w:val="0"/>
                <w:szCs w:val="21"/>
                <w:vertAlign w:val="subscript"/>
              </w:rPr>
              <w:t>2</w:t>
            </w:r>
          </w:p>
        </w:tc>
        <w:tc>
          <w:tcPr>
            <w:tcW w:w="1979"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24小时平均</w:t>
            </w:r>
          </w:p>
        </w:tc>
        <w:tc>
          <w:tcPr>
            <w:tcW w:w="1215"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80</w:t>
            </w:r>
          </w:p>
        </w:tc>
        <w:tc>
          <w:tcPr>
            <w:tcW w:w="1208" w:type="dxa"/>
            <w:noWrap w:val="0"/>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μg/m</w:t>
            </w:r>
            <w:r>
              <w:rPr>
                <w:rFonts w:hint="default" w:ascii="Times New Roman" w:hAnsi="Times New Roman" w:eastAsia="宋体" w:cs="Times New Roman"/>
                <w:b w:val="0"/>
                <w:bCs w:val="0"/>
                <w:color w:val="auto"/>
                <w:szCs w:val="21"/>
                <w:vertAlign w:val="superscript"/>
              </w:rPr>
              <w:t>3</w:t>
            </w:r>
          </w:p>
        </w:tc>
        <w:tc>
          <w:tcPr>
            <w:tcW w:w="2746" w:type="dxa"/>
            <w:vMerge w:val="continue"/>
            <w:noWrap w:val="0"/>
            <w:vAlign w:val="center"/>
          </w:tcPr>
          <w:p>
            <w:pPr>
              <w:widowControl/>
              <w:jc w:val="left"/>
              <w:rPr>
                <w:rFonts w:hint="default" w:ascii="Times New Roman" w:hAnsi="Times New Roman" w:eastAsia="宋体" w:cs="Times New Roman"/>
                <w:b w:val="0"/>
                <w:bCs w:val="0"/>
                <w:color w:val="auto"/>
                <w:kern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4" w:type="dxa"/>
            <w:vMerge w:val="continue"/>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p>
        </w:tc>
        <w:tc>
          <w:tcPr>
            <w:tcW w:w="1979"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1小时平均</w:t>
            </w:r>
          </w:p>
        </w:tc>
        <w:tc>
          <w:tcPr>
            <w:tcW w:w="1215"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200</w:t>
            </w:r>
          </w:p>
        </w:tc>
        <w:tc>
          <w:tcPr>
            <w:tcW w:w="1208" w:type="dxa"/>
            <w:noWrap w:val="0"/>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μg/m</w:t>
            </w:r>
            <w:r>
              <w:rPr>
                <w:rFonts w:hint="default" w:ascii="Times New Roman" w:hAnsi="Times New Roman" w:eastAsia="宋体" w:cs="Times New Roman"/>
                <w:b w:val="0"/>
                <w:bCs w:val="0"/>
                <w:color w:val="auto"/>
                <w:szCs w:val="21"/>
                <w:vertAlign w:val="superscript"/>
              </w:rPr>
              <w:t>3</w:t>
            </w:r>
          </w:p>
        </w:tc>
        <w:tc>
          <w:tcPr>
            <w:tcW w:w="2746" w:type="dxa"/>
            <w:vMerge w:val="continue"/>
            <w:noWrap w:val="0"/>
            <w:vAlign w:val="center"/>
          </w:tcPr>
          <w:p>
            <w:pPr>
              <w:widowControl/>
              <w:jc w:val="left"/>
              <w:rPr>
                <w:rFonts w:hint="default" w:ascii="Times New Roman" w:hAnsi="Times New Roman" w:eastAsia="宋体" w:cs="Times New Roman"/>
                <w:b w:val="0"/>
                <w:bCs w:val="0"/>
                <w:color w:val="auto"/>
                <w:kern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4" w:type="dxa"/>
            <w:vMerge w:val="restart"/>
            <w:noWrap w:val="0"/>
            <w:vAlign w:val="center"/>
          </w:tcPr>
          <w:p>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O</w:t>
            </w:r>
            <w:r>
              <w:rPr>
                <w:rFonts w:hint="default" w:ascii="Times New Roman" w:hAnsi="Times New Roman" w:eastAsia="宋体" w:cs="Times New Roman"/>
                <w:b w:val="0"/>
                <w:bCs w:val="0"/>
                <w:color w:val="auto"/>
                <w:szCs w:val="21"/>
                <w:vertAlign w:val="subscript"/>
              </w:rPr>
              <w:t>3</w:t>
            </w:r>
          </w:p>
        </w:tc>
        <w:tc>
          <w:tcPr>
            <w:tcW w:w="1979" w:type="dxa"/>
            <w:noWrap w:val="0"/>
            <w:vAlign w:val="center"/>
          </w:tcPr>
          <w:p>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日最大8小时平均</w:t>
            </w:r>
          </w:p>
        </w:tc>
        <w:tc>
          <w:tcPr>
            <w:tcW w:w="1215" w:type="dxa"/>
            <w:noWrap w:val="0"/>
            <w:vAlign w:val="center"/>
          </w:tcPr>
          <w:p>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160</w:t>
            </w:r>
          </w:p>
        </w:tc>
        <w:tc>
          <w:tcPr>
            <w:tcW w:w="1208"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szCs w:val="21"/>
              </w:rPr>
              <w:t>μg/m</w:t>
            </w:r>
            <w:r>
              <w:rPr>
                <w:rFonts w:hint="default" w:ascii="Times New Roman" w:hAnsi="Times New Roman" w:eastAsia="宋体" w:cs="Times New Roman"/>
                <w:b w:val="0"/>
                <w:bCs w:val="0"/>
                <w:color w:val="auto"/>
                <w:szCs w:val="21"/>
                <w:vertAlign w:val="superscript"/>
              </w:rPr>
              <w:t>3</w:t>
            </w:r>
          </w:p>
        </w:tc>
        <w:tc>
          <w:tcPr>
            <w:tcW w:w="2746" w:type="dxa"/>
            <w:vMerge w:val="continue"/>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snapToGrid w:val="0"/>
                <w:color w:val="auto"/>
                <w:spacing w:val="-12"/>
                <w:kern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4" w:type="dxa"/>
            <w:vMerge w:val="continue"/>
            <w:noWrap w:val="0"/>
            <w:vAlign w:val="center"/>
          </w:tcPr>
          <w:p>
            <w:pPr>
              <w:jc w:val="center"/>
              <w:rPr>
                <w:rFonts w:hint="default" w:ascii="Times New Roman" w:hAnsi="Times New Roman" w:eastAsia="宋体" w:cs="Times New Roman"/>
                <w:b w:val="0"/>
                <w:bCs w:val="0"/>
                <w:color w:val="auto"/>
                <w:szCs w:val="21"/>
              </w:rPr>
            </w:pPr>
          </w:p>
        </w:tc>
        <w:tc>
          <w:tcPr>
            <w:tcW w:w="1979"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kern w:val="0"/>
                <w:szCs w:val="21"/>
              </w:rPr>
              <w:t>1小时平均</w:t>
            </w:r>
          </w:p>
        </w:tc>
        <w:tc>
          <w:tcPr>
            <w:tcW w:w="1215"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kern w:val="0"/>
                <w:szCs w:val="21"/>
              </w:rPr>
              <w:t>200</w:t>
            </w:r>
          </w:p>
        </w:tc>
        <w:tc>
          <w:tcPr>
            <w:tcW w:w="1208" w:type="dxa"/>
            <w:noWrap w:val="0"/>
            <w:vAlign w:val="center"/>
          </w:tcPr>
          <w:p>
            <w:pPr>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szCs w:val="21"/>
              </w:rPr>
              <w:t>μg/m</w:t>
            </w:r>
            <w:r>
              <w:rPr>
                <w:rFonts w:hint="default" w:ascii="Times New Roman" w:hAnsi="Times New Roman" w:eastAsia="宋体" w:cs="Times New Roman"/>
                <w:b w:val="0"/>
                <w:bCs w:val="0"/>
                <w:color w:val="auto"/>
                <w:szCs w:val="21"/>
                <w:vertAlign w:val="superscript"/>
              </w:rPr>
              <w:t>3</w:t>
            </w:r>
          </w:p>
        </w:tc>
        <w:tc>
          <w:tcPr>
            <w:tcW w:w="2746" w:type="dxa"/>
            <w:vMerge w:val="continue"/>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snapToGrid w:val="0"/>
                <w:color w:val="auto"/>
                <w:spacing w:val="-12"/>
                <w:kern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4" w:type="dxa"/>
            <w:vMerge w:val="restart"/>
            <w:noWrap w:val="0"/>
            <w:vAlign w:val="center"/>
          </w:tcPr>
          <w:p>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CO</w:t>
            </w:r>
          </w:p>
        </w:tc>
        <w:tc>
          <w:tcPr>
            <w:tcW w:w="1979"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24小时平均</w:t>
            </w:r>
          </w:p>
        </w:tc>
        <w:tc>
          <w:tcPr>
            <w:tcW w:w="1215"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4</w:t>
            </w:r>
          </w:p>
        </w:tc>
        <w:tc>
          <w:tcPr>
            <w:tcW w:w="1208" w:type="dxa"/>
            <w:noWrap w:val="0"/>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mg/m</w:t>
            </w:r>
            <w:r>
              <w:rPr>
                <w:rFonts w:hint="default" w:ascii="Times New Roman" w:hAnsi="Times New Roman" w:eastAsia="宋体" w:cs="Times New Roman"/>
                <w:b w:val="0"/>
                <w:bCs w:val="0"/>
                <w:color w:val="auto"/>
                <w:szCs w:val="21"/>
                <w:vertAlign w:val="superscript"/>
              </w:rPr>
              <w:t>3</w:t>
            </w:r>
          </w:p>
        </w:tc>
        <w:tc>
          <w:tcPr>
            <w:tcW w:w="2746" w:type="dxa"/>
            <w:vMerge w:val="continue"/>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snapToGrid w:val="0"/>
                <w:color w:val="auto"/>
                <w:spacing w:val="-12"/>
                <w:kern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4" w:type="dxa"/>
            <w:vMerge w:val="continue"/>
            <w:noWrap w:val="0"/>
            <w:vAlign w:val="center"/>
          </w:tcPr>
          <w:p>
            <w:pPr>
              <w:jc w:val="center"/>
              <w:rPr>
                <w:rFonts w:hint="default" w:ascii="Times New Roman" w:hAnsi="Times New Roman" w:eastAsia="宋体" w:cs="Times New Roman"/>
                <w:b w:val="0"/>
                <w:bCs w:val="0"/>
                <w:color w:val="auto"/>
                <w:szCs w:val="21"/>
              </w:rPr>
            </w:pPr>
          </w:p>
        </w:tc>
        <w:tc>
          <w:tcPr>
            <w:tcW w:w="1979"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1小时平均</w:t>
            </w:r>
          </w:p>
        </w:tc>
        <w:tc>
          <w:tcPr>
            <w:tcW w:w="1215"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10</w:t>
            </w:r>
          </w:p>
        </w:tc>
        <w:tc>
          <w:tcPr>
            <w:tcW w:w="1208" w:type="dxa"/>
            <w:noWrap w:val="0"/>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mg/m</w:t>
            </w:r>
            <w:r>
              <w:rPr>
                <w:rFonts w:hint="default" w:ascii="Times New Roman" w:hAnsi="Times New Roman" w:eastAsia="宋体" w:cs="Times New Roman"/>
                <w:b w:val="0"/>
                <w:bCs w:val="0"/>
                <w:color w:val="auto"/>
                <w:szCs w:val="21"/>
                <w:vertAlign w:val="superscript"/>
              </w:rPr>
              <w:t>3</w:t>
            </w:r>
          </w:p>
        </w:tc>
        <w:tc>
          <w:tcPr>
            <w:tcW w:w="2746" w:type="dxa"/>
            <w:vMerge w:val="continue"/>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snapToGrid w:val="0"/>
                <w:color w:val="auto"/>
                <w:spacing w:val="-12"/>
                <w:kern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4" w:type="dxa"/>
            <w:vMerge w:val="restart"/>
            <w:noWrap w:val="0"/>
            <w:vAlign w:val="center"/>
          </w:tcPr>
          <w:p>
            <w:pPr>
              <w:jc w:val="center"/>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TSP</w:t>
            </w:r>
          </w:p>
        </w:tc>
        <w:tc>
          <w:tcPr>
            <w:tcW w:w="1979"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lang w:eastAsia="zh-CN"/>
              </w:rPr>
            </w:pPr>
            <w:r>
              <w:rPr>
                <w:rFonts w:hint="default" w:ascii="Times New Roman" w:hAnsi="Times New Roman" w:eastAsia="宋体" w:cs="Times New Roman"/>
                <w:b w:val="0"/>
                <w:bCs w:val="0"/>
                <w:color w:val="auto"/>
                <w:kern w:val="0"/>
                <w:szCs w:val="21"/>
                <w:lang w:eastAsia="zh-CN"/>
              </w:rPr>
              <w:t>年平均</w:t>
            </w:r>
          </w:p>
        </w:tc>
        <w:tc>
          <w:tcPr>
            <w:tcW w:w="1215"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lang w:val="en-US" w:eastAsia="zh-CN"/>
              </w:rPr>
            </w:pPr>
            <w:r>
              <w:rPr>
                <w:rFonts w:hint="default" w:ascii="Times New Roman" w:hAnsi="Times New Roman" w:eastAsia="宋体" w:cs="Times New Roman"/>
                <w:b w:val="0"/>
                <w:bCs w:val="0"/>
                <w:color w:val="auto"/>
                <w:kern w:val="0"/>
                <w:szCs w:val="21"/>
                <w:lang w:val="en-US" w:eastAsia="zh-CN"/>
              </w:rPr>
              <w:t>200</w:t>
            </w:r>
          </w:p>
        </w:tc>
        <w:tc>
          <w:tcPr>
            <w:tcW w:w="1208" w:type="dxa"/>
            <w:noWrap w:val="0"/>
            <w:vAlign w:val="center"/>
          </w:tcPr>
          <w:p>
            <w:pPr>
              <w:adjustRightInd w:val="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Cs w:val="21"/>
              </w:rPr>
              <w:t>mg/m</w:t>
            </w:r>
            <w:r>
              <w:rPr>
                <w:rFonts w:hint="default" w:ascii="Times New Roman" w:hAnsi="Times New Roman" w:eastAsia="宋体" w:cs="Times New Roman"/>
                <w:b w:val="0"/>
                <w:bCs w:val="0"/>
                <w:color w:val="auto"/>
                <w:szCs w:val="21"/>
                <w:vertAlign w:val="superscript"/>
              </w:rPr>
              <w:t>3</w:t>
            </w:r>
          </w:p>
        </w:tc>
        <w:tc>
          <w:tcPr>
            <w:tcW w:w="2746" w:type="dxa"/>
            <w:vMerge w:val="continue"/>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snapToGrid w:val="0"/>
                <w:color w:val="auto"/>
                <w:spacing w:val="-12"/>
                <w:kern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4" w:type="dxa"/>
            <w:vMerge w:val="continue"/>
            <w:noWrap w:val="0"/>
            <w:vAlign w:val="center"/>
          </w:tcPr>
          <w:p>
            <w:pPr>
              <w:jc w:val="center"/>
              <w:rPr>
                <w:rFonts w:hint="default" w:ascii="Times New Roman" w:hAnsi="Times New Roman" w:eastAsia="宋体" w:cs="Times New Roman"/>
                <w:b w:val="0"/>
                <w:bCs w:val="0"/>
                <w:color w:val="auto"/>
                <w:szCs w:val="21"/>
              </w:rPr>
            </w:pPr>
          </w:p>
        </w:tc>
        <w:tc>
          <w:tcPr>
            <w:tcW w:w="1979"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24小时平均</w:t>
            </w:r>
          </w:p>
        </w:tc>
        <w:tc>
          <w:tcPr>
            <w:tcW w:w="1215"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Cs w:val="21"/>
                <w:lang w:val="en-US" w:eastAsia="zh-CN"/>
              </w:rPr>
            </w:pPr>
            <w:r>
              <w:rPr>
                <w:rFonts w:hint="default" w:ascii="Times New Roman" w:hAnsi="Times New Roman" w:eastAsia="宋体" w:cs="Times New Roman"/>
                <w:b w:val="0"/>
                <w:bCs w:val="0"/>
                <w:color w:val="auto"/>
                <w:kern w:val="0"/>
                <w:szCs w:val="21"/>
                <w:lang w:val="en-US" w:eastAsia="zh-CN"/>
              </w:rPr>
              <w:t>300</w:t>
            </w:r>
          </w:p>
        </w:tc>
        <w:tc>
          <w:tcPr>
            <w:tcW w:w="1208" w:type="dxa"/>
            <w:noWrap w:val="0"/>
            <w:vAlign w:val="center"/>
          </w:tcPr>
          <w:p>
            <w:pPr>
              <w:adjustRightInd w:val="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Cs w:val="21"/>
              </w:rPr>
              <w:t>mg/m</w:t>
            </w:r>
            <w:r>
              <w:rPr>
                <w:rFonts w:hint="default" w:ascii="Times New Roman" w:hAnsi="Times New Roman" w:eastAsia="宋体" w:cs="Times New Roman"/>
                <w:b w:val="0"/>
                <w:bCs w:val="0"/>
                <w:color w:val="auto"/>
                <w:szCs w:val="21"/>
                <w:vertAlign w:val="superscript"/>
              </w:rPr>
              <w:t>3</w:t>
            </w:r>
          </w:p>
        </w:tc>
        <w:tc>
          <w:tcPr>
            <w:tcW w:w="2746" w:type="dxa"/>
            <w:vMerge w:val="continue"/>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snapToGrid w:val="0"/>
                <w:color w:val="auto"/>
                <w:spacing w:val="-12"/>
                <w:kern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4" w:type="dxa"/>
            <w:vMerge w:val="continue"/>
            <w:noWrap w:val="0"/>
            <w:vAlign w:val="center"/>
          </w:tcPr>
          <w:p>
            <w:pPr>
              <w:jc w:val="center"/>
              <w:rPr>
                <w:rFonts w:hint="default" w:ascii="Times New Roman" w:hAnsi="Times New Roman" w:eastAsia="宋体" w:cs="Times New Roman"/>
                <w:b w:val="0"/>
                <w:bCs w:val="0"/>
                <w:color w:val="auto"/>
                <w:szCs w:val="21"/>
              </w:rPr>
            </w:pPr>
          </w:p>
        </w:tc>
        <w:tc>
          <w:tcPr>
            <w:tcW w:w="1979"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kern w:val="0"/>
                <w:szCs w:val="21"/>
              </w:rPr>
              <w:t>1小时平均</w:t>
            </w:r>
          </w:p>
        </w:tc>
        <w:tc>
          <w:tcPr>
            <w:tcW w:w="1215" w:type="dxa"/>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kern w:val="0"/>
                <w:szCs w:val="21"/>
                <w:lang w:val="en-US" w:eastAsia="zh-CN"/>
              </w:rPr>
              <w:t>300</w:t>
            </w:r>
          </w:p>
        </w:tc>
        <w:tc>
          <w:tcPr>
            <w:tcW w:w="1208" w:type="dxa"/>
            <w:noWrap w:val="0"/>
            <w:vAlign w:val="center"/>
          </w:tcPr>
          <w:p>
            <w:pPr>
              <w:adjustRightInd w:val="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Cs w:val="21"/>
              </w:rPr>
              <w:t>μg/m</w:t>
            </w:r>
            <w:r>
              <w:rPr>
                <w:rFonts w:hint="default" w:ascii="Times New Roman" w:hAnsi="Times New Roman" w:eastAsia="宋体" w:cs="Times New Roman"/>
                <w:b w:val="0"/>
                <w:bCs w:val="0"/>
                <w:color w:val="auto"/>
                <w:szCs w:val="21"/>
                <w:vertAlign w:val="superscript"/>
              </w:rPr>
              <w:t>3</w:t>
            </w:r>
          </w:p>
        </w:tc>
        <w:tc>
          <w:tcPr>
            <w:tcW w:w="2746" w:type="dxa"/>
            <w:vMerge w:val="continue"/>
            <w:noWrap w:val="0"/>
            <w:vAlign w:val="center"/>
          </w:tcPr>
          <w:p>
            <w:pPr>
              <w:kinsoku w:val="0"/>
              <w:overflowPunct w:val="0"/>
              <w:autoSpaceDE w:val="0"/>
              <w:autoSpaceDN w:val="0"/>
              <w:adjustRightInd w:val="0"/>
              <w:jc w:val="center"/>
              <w:rPr>
                <w:rFonts w:hint="default" w:ascii="Times New Roman" w:hAnsi="Times New Roman" w:eastAsia="宋体" w:cs="Times New Roman"/>
                <w:b w:val="0"/>
                <w:bCs w:val="0"/>
                <w:snapToGrid w:val="0"/>
                <w:color w:val="auto"/>
                <w:spacing w:val="-12"/>
                <w:kern w:val="0"/>
                <w:szCs w:val="21"/>
              </w:rPr>
            </w:pPr>
          </w:p>
        </w:tc>
      </w:tr>
    </w:tbl>
    <w:p>
      <w:pPr>
        <w:spacing w:beforeLines="50" w:line="360" w:lineRule="auto"/>
        <w:ind w:firstLine="480" w:firstLineChars="2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（2）地表水环境</w:t>
      </w:r>
      <w:bookmarkEnd w:id="83"/>
    </w:p>
    <w:p>
      <w:pPr>
        <w:snapToGrid w:val="0"/>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kern w:val="0"/>
          <w:sz w:val="24"/>
        </w:rPr>
        <w:t>地表水</w:t>
      </w:r>
      <w:r>
        <w:rPr>
          <w:rFonts w:hint="default" w:ascii="Times New Roman" w:hAnsi="Times New Roman" w:eastAsia="宋体" w:cs="Times New Roman"/>
          <w:color w:val="auto"/>
          <w:kern w:val="0"/>
          <w:sz w:val="24"/>
          <w:lang w:val="en-US" w:eastAsia="zh-CN"/>
        </w:rPr>
        <w:t>东官河</w:t>
      </w:r>
      <w:r>
        <w:rPr>
          <w:rFonts w:hint="default" w:ascii="Times New Roman" w:hAnsi="Times New Roman" w:eastAsia="宋体" w:cs="Times New Roman"/>
          <w:color w:val="auto"/>
          <w:kern w:val="0"/>
          <w:sz w:val="24"/>
        </w:rPr>
        <w:t>环境质量执行《地表水环境质量标准》(GB3838-2002)中的Ⅳ类标准</w:t>
      </w:r>
      <w:r>
        <w:rPr>
          <w:rFonts w:hint="default" w:ascii="Times New Roman" w:hAnsi="Times New Roman" w:eastAsia="宋体" w:cs="Times New Roman"/>
          <w:color w:val="auto"/>
          <w:sz w:val="24"/>
        </w:rPr>
        <w:t>，详见表1.4-</w:t>
      </w: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表1.4-2                   地表水环境质量标准          单位：mg/L（pH除外）</w:t>
      </w:r>
    </w:p>
    <w:tbl>
      <w:tblPr>
        <w:tblStyle w:val="51"/>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49"/>
        <w:gridCol w:w="1756"/>
        <w:gridCol w:w="2487"/>
        <w:gridCol w:w="259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48"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污染物</w:t>
            </w:r>
          </w:p>
        </w:tc>
        <w:tc>
          <w:tcPr>
            <w:tcW w:w="1611"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单位</w:t>
            </w:r>
          </w:p>
        </w:tc>
        <w:tc>
          <w:tcPr>
            <w:tcW w:w="2282"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Ⅳ类标准值</w:t>
            </w:r>
          </w:p>
        </w:tc>
        <w:tc>
          <w:tcPr>
            <w:tcW w:w="2380"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48"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pH</w:t>
            </w:r>
          </w:p>
        </w:tc>
        <w:tc>
          <w:tcPr>
            <w:tcW w:w="1611"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w:t>
            </w:r>
          </w:p>
        </w:tc>
        <w:tc>
          <w:tcPr>
            <w:tcW w:w="2282"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6～9</w:t>
            </w:r>
          </w:p>
        </w:tc>
        <w:tc>
          <w:tcPr>
            <w:tcW w:w="2380" w:type="dxa"/>
            <w:vMerge w:val="restart"/>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《地表水环境质量标准》GB3838—2002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48"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COD</w:t>
            </w:r>
          </w:p>
        </w:tc>
        <w:tc>
          <w:tcPr>
            <w:tcW w:w="1611"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mg/L</w:t>
            </w:r>
          </w:p>
        </w:tc>
        <w:tc>
          <w:tcPr>
            <w:tcW w:w="2282" w:type="dxa"/>
            <w:noWrap w:val="0"/>
            <w:vAlign w:val="center"/>
          </w:tcPr>
          <w:p>
            <w:pPr>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rPr>
              <w:t>≤</w:t>
            </w:r>
            <w:r>
              <w:rPr>
                <w:rFonts w:hint="default" w:ascii="Times New Roman" w:hAnsi="Times New Roman" w:eastAsia="宋体" w:cs="Times New Roman"/>
                <w:b w:val="0"/>
                <w:bCs/>
                <w:color w:val="auto"/>
                <w:szCs w:val="21"/>
                <w:lang w:val="en-US" w:eastAsia="zh-CN"/>
              </w:rPr>
              <w:t>30</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48"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BOD</w:t>
            </w:r>
            <w:r>
              <w:rPr>
                <w:rFonts w:hint="default" w:ascii="Times New Roman" w:hAnsi="Times New Roman" w:eastAsia="宋体" w:cs="Times New Roman"/>
                <w:b w:val="0"/>
                <w:bCs/>
                <w:color w:val="auto"/>
                <w:szCs w:val="21"/>
                <w:vertAlign w:val="subscript"/>
              </w:rPr>
              <w:t>5</w:t>
            </w:r>
          </w:p>
        </w:tc>
        <w:tc>
          <w:tcPr>
            <w:tcW w:w="1611"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mg/L</w:t>
            </w:r>
          </w:p>
        </w:tc>
        <w:tc>
          <w:tcPr>
            <w:tcW w:w="2282" w:type="dxa"/>
            <w:noWrap w:val="0"/>
            <w:vAlign w:val="center"/>
          </w:tcPr>
          <w:p>
            <w:pPr>
              <w:jc w:val="center"/>
              <w:rPr>
                <w:rFonts w:hint="default" w:ascii="Times New Roman" w:hAnsi="Times New Roman" w:eastAsia="宋体" w:cs="Times New Roman"/>
                <w:b w:val="0"/>
                <w:bCs/>
                <w:color w:val="auto"/>
                <w:szCs w:val="21"/>
                <w:lang w:eastAsia="zh-CN"/>
              </w:rPr>
            </w:pPr>
            <w:r>
              <w:rPr>
                <w:rFonts w:hint="default" w:ascii="Times New Roman" w:hAnsi="Times New Roman" w:eastAsia="宋体" w:cs="Times New Roman"/>
                <w:b w:val="0"/>
                <w:bCs/>
                <w:color w:val="auto"/>
                <w:szCs w:val="21"/>
              </w:rPr>
              <w:t>≤</w:t>
            </w:r>
            <w:r>
              <w:rPr>
                <w:rFonts w:hint="default" w:ascii="Times New Roman" w:hAnsi="Times New Roman" w:eastAsia="宋体" w:cs="Times New Roman"/>
                <w:b w:val="0"/>
                <w:bCs/>
                <w:color w:val="auto"/>
                <w:szCs w:val="21"/>
                <w:lang w:val="en-US" w:eastAsia="zh-CN"/>
              </w:rPr>
              <w:t>6</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48"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氨氮</w:t>
            </w:r>
          </w:p>
        </w:tc>
        <w:tc>
          <w:tcPr>
            <w:tcW w:w="1611"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mg/L</w:t>
            </w:r>
          </w:p>
        </w:tc>
        <w:tc>
          <w:tcPr>
            <w:tcW w:w="2282" w:type="dxa"/>
            <w:noWrap w:val="0"/>
            <w:vAlign w:val="center"/>
          </w:tcPr>
          <w:p>
            <w:pPr>
              <w:jc w:val="center"/>
              <w:rPr>
                <w:rFonts w:hint="default" w:ascii="Times New Roman" w:hAnsi="Times New Roman" w:eastAsia="宋体" w:cs="Times New Roman"/>
                <w:b w:val="0"/>
                <w:bCs/>
                <w:color w:val="auto"/>
                <w:szCs w:val="21"/>
                <w:lang w:eastAsia="zh-CN"/>
              </w:rPr>
            </w:pPr>
            <w:r>
              <w:rPr>
                <w:rFonts w:hint="default" w:ascii="Times New Roman" w:hAnsi="Times New Roman" w:eastAsia="宋体" w:cs="Times New Roman"/>
                <w:b w:val="0"/>
                <w:bCs/>
                <w:color w:val="auto"/>
                <w:szCs w:val="21"/>
              </w:rPr>
              <w:t>≤1.</w:t>
            </w:r>
            <w:r>
              <w:rPr>
                <w:rFonts w:hint="default" w:ascii="Times New Roman" w:hAnsi="Times New Roman" w:eastAsia="宋体" w:cs="Times New Roman"/>
                <w:b w:val="0"/>
                <w:bCs/>
                <w:color w:val="auto"/>
                <w:szCs w:val="21"/>
                <w:lang w:val="en-US" w:eastAsia="zh-CN"/>
              </w:rPr>
              <w:t>5</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48" w:type="dxa"/>
            <w:noWrap w:val="0"/>
            <w:vAlign w:val="center"/>
          </w:tcPr>
          <w:p>
            <w:pPr>
              <w:jc w:val="center"/>
              <w:rPr>
                <w:rFonts w:hint="default" w:ascii="Times New Roman" w:hAnsi="Times New Roman" w:eastAsia="宋体" w:cs="Times New Roman"/>
                <w:b w:val="0"/>
                <w:bCs/>
                <w:caps/>
                <w:color w:val="auto"/>
                <w:szCs w:val="21"/>
              </w:rPr>
            </w:pPr>
            <w:r>
              <w:rPr>
                <w:rFonts w:hint="default" w:ascii="Times New Roman" w:hAnsi="Times New Roman" w:eastAsia="宋体" w:cs="Times New Roman"/>
                <w:b w:val="0"/>
                <w:bCs/>
                <w:color w:val="auto"/>
                <w:szCs w:val="21"/>
                <w:lang w:val="en-US" w:eastAsia="zh-CN"/>
              </w:rPr>
              <w:t xml:space="preserve">溶解氧 </w:t>
            </w:r>
          </w:p>
        </w:tc>
        <w:tc>
          <w:tcPr>
            <w:tcW w:w="1611"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mg/L</w:t>
            </w:r>
          </w:p>
        </w:tc>
        <w:tc>
          <w:tcPr>
            <w:tcW w:w="2282" w:type="dxa"/>
            <w:noWrap w:val="0"/>
            <w:vAlign w:val="center"/>
          </w:tcPr>
          <w:p>
            <w:pPr>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rPr>
              <w:t xml:space="preserve">≥3 </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48" w:type="dxa"/>
            <w:noWrap w:val="0"/>
            <w:vAlign w:val="center"/>
          </w:tcPr>
          <w:p>
            <w:pPr>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总氮</w:t>
            </w:r>
          </w:p>
        </w:tc>
        <w:tc>
          <w:tcPr>
            <w:tcW w:w="1611"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mg/L</w:t>
            </w:r>
          </w:p>
        </w:tc>
        <w:tc>
          <w:tcPr>
            <w:tcW w:w="2282"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≤1.5</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48" w:type="dxa"/>
            <w:noWrap w:val="0"/>
            <w:vAlign w:val="center"/>
          </w:tcPr>
          <w:p>
            <w:pPr>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总磷</w:t>
            </w:r>
          </w:p>
        </w:tc>
        <w:tc>
          <w:tcPr>
            <w:tcW w:w="1611"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mg/L</w:t>
            </w:r>
          </w:p>
        </w:tc>
        <w:tc>
          <w:tcPr>
            <w:tcW w:w="2282" w:type="dxa"/>
            <w:noWrap w:val="0"/>
            <w:vAlign w:val="center"/>
          </w:tcPr>
          <w:p>
            <w:pPr>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rPr>
              <w:t>≤0.3</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48" w:type="dxa"/>
            <w:noWrap w:val="0"/>
            <w:vAlign w:val="center"/>
          </w:tcPr>
          <w:p>
            <w:pPr>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硫化物</w:t>
            </w:r>
          </w:p>
        </w:tc>
        <w:tc>
          <w:tcPr>
            <w:tcW w:w="1611"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mg/L</w:t>
            </w:r>
          </w:p>
        </w:tc>
        <w:tc>
          <w:tcPr>
            <w:tcW w:w="2282"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 xml:space="preserve">≤0.5 </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48" w:type="dxa"/>
            <w:noWrap w:val="0"/>
            <w:vAlign w:val="center"/>
          </w:tcPr>
          <w:p>
            <w:pPr>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 xml:space="preserve">石油类 </w:t>
            </w:r>
          </w:p>
        </w:tc>
        <w:tc>
          <w:tcPr>
            <w:tcW w:w="1611"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mg/L</w:t>
            </w:r>
          </w:p>
        </w:tc>
        <w:tc>
          <w:tcPr>
            <w:tcW w:w="2282"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≤0.5</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48" w:type="dxa"/>
            <w:noWrap w:val="0"/>
            <w:vAlign w:val="center"/>
          </w:tcPr>
          <w:p>
            <w:pPr>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挥发酚</w:t>
            </w:r>
          </w:p>
        </w:tc>
        <w:tc>
          <w:tcPr>
            <w:tcW w:w="1611"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mg/L</w:t>
            </w:r>
          </w:p>
        </w:tc>
        <w:tc>
          <w:tcPr>
            <w:tcW w:w="2282"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≤0.01</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bl>
    <w:p>
      <w:pPr>
        <w:spacing w:beforeLines="50" w:line="360" w:lineRule="auto"/>
        <w:ind w:firstLine="480" w:firstLineChars="2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（3）地下水质量标准</w:t>
      </w:r>
    </w:p>
    <w:p>
      <w:pPr>
        <w:spacing w:beforeLines="50" w:line="360" w:lineRule="auto"/>
        <w:ind w:firstLine="480" w:firstLineChars="2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地下水质量评价执行《地下水质量标准》（GB/T14848-2017）</w:t>
      </w:r>
      <w:r>
        <w:rPr>
          <w:rFonts w:hint="default" w:ascii="Times New Roman" w:hAnsi="Times New Roman" w:eastAsia="宋体" w:cs="Times New Roman"/>
          <w:color w:val="auto"/>
          <w:sz w:val="24"/>
          <w:szCs w:val="20"/>
        </w:rPr>
        <w:fldChar w:fldCharType="begin"/>
      </w:r>
      <w:r>
        <w:rPr>
          <w:rFonts w:hint="default" w:ascii="Times New Roman" w:hAnsi="Times New Roman" w:eastAsia="宋体" w:cs="Times New Roman"/>
          <w:color w:val="auto"/>
          <w:sz w:val="24"/>
          <w:szCs w:val="20"/>
        </w:rPr>
        <w:instrText xml:space="preserve"> = 3 \* ROMAN </w:instrText>
      </w:r>
      <w:r>
        <w:rPr>
          <w:rFonts w:hint="default" w:ascii="Times New Roman" w:hAnsi="Times New Roman" w:eastAsia="宋体" w:cs="Times New Roman"/>
          <w:color w:val="auto"/>
          <w:sz w:val="24"/>
          <w:szCs w:val="20"/>
        </w:rPr>
        <w:fldChar w:fldCharType="separate"/>
      </w:r>
      <w:r>
        <w:rPr>
          <w:rFonts w:hint="default" w:ascii="Times New Roman" w:hAnsi="Times New Roman" w:eastAsia="宋体" w:cs="Times New Roman"/>
          <w:color w:val="auto"/>
          <w:sz w:val="24"/>
          <w:szCs w:val="20"/>
        </w:rPr>
        <w:t>III</w:t>
      </w:r>
      <w:r>
        <w:rPr>
          <w:rFonts w:hint="default" w:ascii="Times New Roman" w:hAnsi="Times New Roman" w:eastAsia="宋体" w:cs="Times New Roman"/>
          <w:color w:val="auto"/>
          <w:sz w:val="24"/>
          <w:szCs w:val="20"/>
        </w:rPr>
        <w:fldChar w:fldCharType="end"/>
      </w:r>
      <w:r>
        <w:rPr>
          <w:rFonts w:hint="default" w:ascii="Times New Roman" w:hAnsi="Times New Roman" w:eastAsia="宋体" w:cs="Times New Roman"/>
          <w:color w:val="auto"/>
          <w:sz w:val="24"/>
          <w:szCs w:val="20"/>
        </w:rPr>
        <w:t>类标准，见表1.4-</w:t>
      </w:r>
      <w:r>
        <w:rPr>
          <w:rFonts w:hint="default" w:ascii="Times New Roman" w:hAnsi="Times New Roman" w:eastAsia="宋体" w:cs="Times New Roman"/>
          <w:color w:val="auto"/>
          <w:sz w:val="24"/>
          <w:szCs w:val="20"/>
          <w:lang w:val="en-US" w:eastAsia="zh-CN"/>
        </w:rPr>
        <w:t>3</w:t>
      </w:r>
      <w:r>
        <w:rPr>
          <w:rFonts w:hint="default" w:ascii="Times New Roman" w:hAnsi="Times New Roman" w:eastAsia="宋体" w:cs="Times New Roman"/>
          <w:color w:val="auto"/>
          <w:sz w:val="24"/>
          <w:szCs w:val="20"/>
        </w:rPr>
        <w:t>。</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表1.4-3                       地下水质量标准</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88"/>
        <w:gridCol w:w="2985"/>
        <w:gridCol w:w="311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污染物</w:t>
            </w:r>
          </w:p>
        </w:tc>
        <w:tc>
          <w:tcPr>
            <w:tcW w:w="2282"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Ⅲ类标准值</w:t>
            </w:r>
          </w:p>
        </w:tc>
        <w:tc>
          <w:tcPr>
            <w:tcW w:w="2380" w:type="dxa"/>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Cs w:val="21"/>
              </w:rPr>
              <w:t>pH</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6.5~8.5</w:t>
            </w:r>
          </w:p>
        </w:tc>
        <w:tc>
          <w:tcPr>
            <w:tcW w:w="2380" w:type="dxa"/>
            <w:vMerge w:val="restart"/>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《地下水环境质量标准》</w:t>
            </w:r>
            <w:r>
              <w:rPr>
                <w:rFonts w:hint="default" w:ascii="Times New Roman" w:hAnsi="Times New Roman" w:eastAsia="宋体" w:cs="Times New Roman"/>
                <w:b w:val="0"/>
                <w:bCs/>
                <w:color w:val="auto"/>
                <w:kern w:val="0"/>
                <w:szCs w:val="21"/>
              </w:rPr>
              <w:t>GB/T14848-2017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rPr>
              <w:t>总硬度</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≤450mg/L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rPr>
              <w:t>溶解性总固体</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≤1000mg/L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rPr>
              <w:t>氯化物</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≤150mg/L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rPr>
              <w:t>硫酸盐</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≤150mg/L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硫化物</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≤0.02mg/L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highlight w:val="none"/>
              </w:rPr>
              <w:t>氟化物</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≤1.0mg/L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耗氧量</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≤3mg/L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rPr>
              <w:t>氨氮</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≤0.5mg/L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rPr>
              <w:t>亚硝酸盐</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≤1.0mg/L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rPr>
              <w:t>硝酸盐</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≤20mg/L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rPr>
              <w:t>六价铬</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≤0.05mg/L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rPr>
              <w:t>汞</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≤0.001mg/L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rPr>
              <w:t>砷</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≤0.01mg/L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rPr>
              <w:t>镉</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≤0.005mg/L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rPr>
              <w:t>铅</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≤0.01mg/L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rPr>
              <w:t>铁</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≤0.3mg/L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rPr>
              <w:t>锰</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≤0.1mg/L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rPr>
              <w:t>锌</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≤1.0mg/L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rPr>
              <w:t>铜</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≤1.0mg/L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438" w:type="dxa"/>
            <w:noWrap w:val="0"/>
            <w:vAlign w:val="center"/>
          </w:tcPr>
          <w:p>
            <w:pPr>
              <w:spacing w:line="400" w:lineRule="exact"/>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rPr>
              <w:t>石油类</w:t>
            </w:r>
          </w:p>
        </w:tc>
        <w:tc>
          <w:tcPr>
            <w:tcW w:w="2282" w:type="dxa"/>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rPr>
              <w:t>≤0.3mg/L</w:t>
            </w:r>
          </w:p>
        </w:tc>
        <w:tc>
          <w:tcPr>
            <w:tcW w:w="2380" w:type="dxa"/>
            <w:vMerge w:val="continue"/>
            <w:noWrap w:val="0"/>
            <w:vAlign w:val="center"/>
          </w:tcPr>
          <w:p>
            <w:pPr>
              <w:jc w:val="center"/>
              <w:rPr>
                <w:rFonts w:hint="default" w:ascii="Times New Roman" w:hAnsi="Times New Roman" w:eastAsia="宋体" w:cs="Times New Roman"/>
                <w:b w:val="0"/>
                <w:bCs/>
                <w:color w:val="auto"/>
                <w:szCs w:val="21"/>
              </w:rPr>
            </w:pPr>
          </w:p>
        </w:tc>
      </w:tr>
    </w:tbl>
    <w:p>
      <w:pPr>
        <w:spacing w:beforeLines="50" w:line="360" w:lineRule="auto"/>
        <w:ind w:firstLine="480" w:firstLineChars="2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（4）声环境</w:t>
      </w:r>
    </w:p>
    <w:p>
      <w:pPr>
        <w:spacing w:beforeLines="50" w:line="360" w:lineRule="auto"/>
        <w:ind w:firstLine="480" w:firstLineChars="2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kern w:val="0"/>
          <w:sz w:val="24"/>
        </w:rPr>
        <w:t>本项目位于</w:t>
      </w:r>
      <w:r>
        <w:rPr>
          <w:rFonts w:hint="default" w:ascii="Times New Roman" w:hAnsi="Times New Roman" w:eastAsia="宋体" w:cs="Times New Roman"/>
          <w:sz w:val="24"/>
          <w:szCs w:val="24"/>
        </w:rPr>
        <w:t>朝阳北票市</w:t>
      </w:r>
      <w:r>
        <w:rPr>
          <w:rFonts w:hint="default" w:ascii="Times New Roman" w:hAnsi="Times New Roman" w:eastAsia="宋体" w:cs="Times New Roman"/>
          <w:sz w:val="24"/>
          <w:szCs w:val="24"/>
          <w:lang w:eastAsia="zh-CN"/>
        </w:rPr>
        <w:t>东官营乡小巴沟村</w:t>
      </w:r>
      <w:r>
        <w:rPr>
          <w:rFonts w:hint="default" w:ascii="Times New Roman" w:hAnsi="Times New Roman" w:eastAsia="宋体" w:cs="Times New Roman"/>
          <w:color w:val="auto"/>
          <w:kern w:val="0"/>
          <w:sz w:val="24"/>
        </w:rPr>
        <w:t>，声环境执行《声环境质量标准》(GB3096-2008)中</w:t>
      </w:r>
      <w:r>
        <w:rPr>
          <w:rFonts w:hint="default" w:ascii="Times New Roman" w:hAnsi="Times New Roman" w:eastAsia="宋体" w:cs="Times New Roman"/>
          <w:color w:val="auto"/>
          <w:kern w:val="0"/>
          <w:sz w:val="24"/>
          <w:lang w:val="en-US" w:eastAsia="zh-CN"/>
        </w:rPr>
        <w:t>1</w:t>
      </w:r>
      <w:r>
        <w:rPr>
          <w:rFonts w:hint="default" w:ascii="Times New Roman" w:hAnsi="Times New Roman" w:eastAsia="宋体" w:cs="Times New Roman"/>
          <w:color w:val="auto"/>
          <w:kern w:val="0"/>
          <w:sz w:val="24"/>
        </w:rPr>
        <w:t>类</w:t>
      </w:r>
      <w:r>
        <w:rPr>
          <w:rFonts w:hint="default" w:ascii="Times New Roman" w:hAnsi="Times New Roman" w:eastAsia="宋体" w:cs="Times New Roman"/>
          <w:color w:val="auto"/>
          <w:sz w:val="24"/>
          <w:szCs w:val="20"/>
        </w:rPr>
        <w:t>。具体标准限值详见表1.4-</w:t>
      </w:r>
      <w:r>
        <w:rPr>
          <w:rFonts w:hint="default" w:ascii="Times New Roman" w:hAnsi="Times New Roman" w:eastAsia="宋体" w:cs="Times New Roman"/>
          <w:color w:val="auto"/>
          <w:sz w:val="24"/>
          <w:szCs w:val="20"/>
          <w:lang w:val="en-US" w:eastAsia="zh-CN"/>
        </w:rPr>
        <w:t>4</w:t>
      </w:r>
      <w:r>
        <w:rPr>
          <w:rFonts w:hint="default" w:ascii="Times New Roman" w:hAnsi="Times New Roman" w:eastAsia="宋体" w:cs="Times New Roman"/>
          <w:color w:val="auto"/>
          <w:sz w:val="24"/>
          <w:szCs w:val="20"/>
        </w:rPr>
        <w:t>。</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 xml:space="preserve">表1.4-4               </w:t>
      </w:r>
      <w:r>
        <w:rPr>
          <w:rFonts w:hint="eastAsia" w:ascii="Times New Roman" w:hAnsi="Times New Roman" w:eastAsia="宋体" w:cs="Times New Roman"/>
          <w:color w:val="auto"/>
          <w:sz w:val="24"/>
          <w:szCs w:val="22"/>
          <w:lang w:val="en-US" w:eastAsia="zh-CN"/>
        </w:rPr>
        <w:t xml:space="preserve">  </w:t>
      </w:r>
      <w:r>
        <w:rPr>
          <w:rFonts w:hint="default" w:ascii="Times New Roman" w:hAnsi="Times New Roman" w:eastAsia="宋体" w:cs="Times New Roman"/>
          <w:color w:val="auto"/>
          <w:sz w:val="24"/>
          <w:szCs w:val="22"/>
          <w:lang w:val="en-US" w:eastAsia="zh-CN"/>
        </w:rPr>
        <w:t xml:space="preserve">    声环境质量标准         </w:t>
      </w:r>
      <w:r>
        <w:rPr>
          <w:rFonts w:hint="eastAsia" w:ascii="Times New Roman" w:hAnsi="Times New Roman" w:eastAsia="宋体" w:cs="Times New Roman"/>
          <w:color w:val="auto"/>
          <w:sz w:val="24"/>
          <w:szCs w:val="22"/>
          <w:lang w:val="en-US" w:eastAsia="zh-CN"/>
        </w:rPr>
        <w:t xml:space="preserve">      </w:t>
      </w:r>
      <w:r>
        <w:rPr>
          <w:rFonts w:hint="default" w:ascii="Times New Roman" w:hAnsi="Times New Roman" w:eastAsia="宋体" w:cs="Times New Roman"/>
          <w:color w:val="auto"/>
          <w:sz w:val="24"/>
          <w:szCs w:val="22"/>
          <w:lang w:val="en-US" w:eastAsia="zh-CN"/>
        </w:rPr>
        <w:t xml:space="preserve">     单位：dB(A)</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18"/>
        <w:gridCol w:w="3477"/>
        <w:gridCol w:w="229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454" w:hRule="atLeast"/>
          <w:jc w:val="center"/>
        </w:trPr>
        <w:tc>
          <w:tcPr>
            <w:tcW w:w="3164" w:type="dxa"/>
            <w:vMerge w:val="restart"/>
            <w:tcBorders>
              <w:tl2br w:val="nil"/>
              <w:tr2bl w:val="nil"/>
            </w:tcBorders>
            <w:noWrap/>
            <w:vAlign w:val="center"/>
          </w:tcPr>
          <w:p>
            <w:pPr>
              <w:adjustRightInd w:val="0"/>
              <w:snapToGrid w:val="0"/>
              <w:spacing w:line="48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声环境功能区类别</w:t>
            </w:r>
          </w:p>
        </w:tc>
        <w:tc>
          <w:tcPr>
            <w:tcW w:w="5190" w:type="dxa"/>
            <w:gridSpan w:val="2"/>
            <w:tcBorders>
              <w:tl2br w:val="nil"/>
              <w:tr2bl w:val="nil"/>
            </w:tcBorders>
            <w:noWrap/>
            <w:vAlign w:val="center"/>
          </w:tcPr>
          <w:p>
            <w:pPr>
              <w:adjustRightInd w:val="0"/>
              <w:snapToGrid w:val="0"/>
              <w:spacing w:line="48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等效声级Leq dB(A)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64" w:type="dxa"/>
            <w:vMerge w:val="continue"/>
            <w:tcBorders>
              <w:tl2br w:val="nil"/>
              <w:tr2bl w:val="nil"/>
            </w:tcBorders>
            <w:noWrap/>
            <w:vAlign w:val="center"/>
          </w:tcPr>
          <w:p>
            <w:pPr>
              <w:adjustRightInd w:val="0"/>
              <w:snapToGrid w:val="0"/>
              <w:spacing w:line="480" w:lineRule="exact"/>
              <w:jc w:val="center"/>
              <w:rPr>
                <w:rFonts w:hint="default" w:ascii="Times New Roman" w:hAnsi="Times New Roman" w:eastAsia="宋体" w:cs="Times New Roman"/>
                <w:color w:val="auto"/>
                <w:szCs w:val="21"/>
              </w:rPr>
            </w:pPr>
          </w:p>
        </w:tc>
        <w:tc>
          <w:tcPr>
            <w:tcW w:w="3127" w:type="dxa"/>
            <w:tcBorders>
              <w:tl2br w:val="nil"/>
              <w:tr2bl w:val="nil"/>
            </w:tcBorders>
            <w:noWrap/>
            <w:vAlign w:val="center"/>
          </w:tcPr>
          <w:p>
            <w:pPr>
              <w:adjustRightInd w:val="0"/>
              <w:snapToGrid w:val="0"/>
              <w:spacing w:line="48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昼间</w:t>
            </w:r>
          </w:p>
        </w:tc>
        <w:tc>
          <w:tcPr>
            <w:tcW w:w="2063" w:type="dxa"/>
            <w:tcBorders>
              <w:tl2br w:val="nil"/>
              <w:tr2bl w:val="nil"/>
            </w:tcBorders>
            <w:noWrap/>
            <w:vAlign w:val="center"/>
          </w:tcPr>
          <w:p>
            <w:pPr>
              <w:adjustRightInd w:val="0"/>
              <w:snapToGrid w:val="0"/>
              <w:spacing w:line="48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夜间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64" w:type="dxa"/>
            <w:tcBorders>
              <w:tl2br w:val="nil"/>
              <w:tr2bl w:val="nil"/>
            </w:tcBorders>
            <w:noWrap/>
            <w:vAlign w:val="center"/>
          </w:tcPr>
          <w:p>
            <w:pPr>
              <w:adjustRightInd w:val="0"/>
              <w:snapToGrid w:val="0"/>
              <w:spacing w:line="48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1</w:t>
            </w:r>
            <w:r>
              <w:rPr>
                <w:rFonts w:hint="default" w:ascii="Times New Roman" w:hAnsi="Times New Roman" w:eastAsia="宋体" w:cs="Times New Roman"/>
                <w:color w:val="auto"/>
                <w:szCs w:val="21"/>
              </w:rPr>
              <w:t>类</w:t>
            </w:r>
          </w:p>
        </w:tc>
        <w:tc>
          <w:tcPr>
            <w:tcW w:w="3127" w:type="dxa"/>
            <w:tcBorders>
              <w:tl2br w:val="nil"/>
              <w:tr2bl w:val="nil"/>
            </w:tcBorders>
            <w:noWrap/>
            <w:vAlign w:val="center"/>
          </w:tcPr>
          <w:p>
            <w:pPr>
              <w:adjustRightInd w:val="0"/>
              <w:snapToGrid w:val="0"/>
              <w:spacing w:line="480" w:lineRule="exac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55</w:t>
            </w:r>
          </w:p>
        </w:tc>
        <w:tc>
          <w:tcPr>
            <w:tcW w:w="2063" w:type="dxa"/>
            <w:tcBorders>
              <w:tl2br w:val="nil"/>
              <w:tr2bl w:val="nil"/>
            </w:tcBorders>
            <w:noWrap/>
            <w:vAlign w:val="center"/>
          </w:tcPr>
          <w:p>
            <w:pPr>
              <w:adjustRightInd w:val="0"/>
              <w:snapToGrid w:val="0"/>
              <w:spacing w:line="480" w:lineRule="exac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45</w:t>
            </w:r>
          </w:p>
        </w:tc>
      </w:tr>
    </w:tbl>
    <w:p>
      <w:pPr>
        <w:spacing w:beforeLines="50" w:line="360" w:lineRule="auto"/>
        <w:ind w:firstLine="480" w:firstLineChars="2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（5）土壤环境</w:t>
      </w:r>
    </w:p>
    <w:p>
      <w:pPr>
        <w:spacing w:beforeLines="50" w:line="360" w:lineRule="auto"/>
        <w:ind w:firstLine="480" w:firstLineChars="2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rPr>
        <w:t>本项目所在厂区内土壤执行《土壤环境质量建设用地土壤污染风险管控标准》（GB36600-2018）中二类用地风险筛选值，具体见表1.4-</w:t>
      </w:r>
      <w:r>
        <w:rPr>
          <w:rFonts w:hint="default" w:ascii="Times New Roman" w:hAnsi="Times New Roman" w:eastAsia="宋体" w:cs="Times New Roman"/>
          <w:color w:val="auto"/>
          <w:sz w:val="24"/>
          <w:szCs w:val="20"/>
          <w:lang w:val="en-US" w:eastAsia="zh-CN"/>
        </w:rPr>
        <w:t>5</w:t>
      </w:r>
      <w:r>
        <w:rPr>
          <w:rFonts w:hint="default" w:ascii="Times New Roman" w:hAnsi="Times New Roman" w:eastAsia="宋体" w:cs="Times New Roman"/>
          <w:color w:val="auto"/>
          <w:sz w:val="24"/>
          <w:szCs w:val="20"/>
        </w:rPr>
        <w:t>。</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 xml:space="preserve">表1.4-5      </w:t>
      </w:r>
      <w:r>
        <w:rPr>
          <w:rFonts w:hint="eastAsia" w:cs="Times New Roman"/>
          <w:color w:val="auto"/>
          <w:sz w:val="24"/>
          <w:szCs w:val="22"/>
          <w:lang w:val="en-US" w:eastAsia="zh-CN"/>
        </w:rPr>
        <w:t xml:space="preserve">   </w:t>
      </w:r>
      <w:r>
        <w:rPr>
          <w:rFonts w:hint="default" w:ascii="Times New Roman" w:hAnsi="Times New Roman" w:eastAsia="宋体" w:cs="Times New Roman"/>
          <w:color w:val="auto"/>
          <w:sz w:val="24"/>
          <w:szCs w:val="22"/>
          <w:lang w:val="en-US" w:eastAsia="zh-CN"/>
        </w:rPr>
        <w:t xml:space="preserve"> 土壤环境质量建设用地土壤污染风险管控标准  </w:t>
      </w:r>
      <w:r>
        <w:rPr>
          <w:rFonts w:hint="eastAsia" w:cs="Times New Roman"/>
          <w:color w:val="auto"/>
          <w:sz w:val="24"/>
          <w:szCs w:val="22"/>
          <w:lang w:val="en-US" w:eastAsia="zh-CN"/>
        </w:rPr>
        <w:t xml:space="preserve">    </w:t>
      </w:r>
      <w:r>
        <w:rPr>
          <w:rFonts w:hint="default" w:ascii="Times New Roman" w:hAnsi="Times New Roman" w:eastAsia="宋体" w:cs="Times New Roman"/>
          <w:color w:val="auto"/>
          <w:sz w:val="24"/>
          <w:szCs w:val="22"/>
          <w:lang w:val="en-US" w:eastAsia="zh-CN"/>
        </w:rPr>
        <w:t xml:space="preserve"> 单位：mg/kg </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3274"/>
        <w:gridCol w:w="2401"/>
        <w:gridCol w:w="248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序号</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污染物项目</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第一类用地筛选值</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第二类用地筛选值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砷</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20</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镉</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20</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铬（六价）</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3.0</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铜</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2000</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18000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铅</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400</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800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6</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汞</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8</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7</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镍</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150</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900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8</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四氯化碳</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0.9</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9</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氯仿</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0.3</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10</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氯甲烷</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12</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11</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1,1-二氯乙烷</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12</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1,2-二氯乙烷</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0.52</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13</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1,1-二氯乙烯</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12</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66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14</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顺-1,2-二氯乙烯</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66</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596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15</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反-1,2-二氯乙烯</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10</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16</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二氯甲烷</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94</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616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17</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1,2-二氯丙烷</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18</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1,1,1,2-四氯乙烷</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2.6</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19</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1,1,2,2-四氯乙烷</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1.6</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6.8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20</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四氯乙烯</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11</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21</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1,1,1-三氯乙烷</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701</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840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22</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1,1,2-三氯乙烷</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0.6</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23</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三氯乙烯</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0.7</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24</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1,2,3-三氯丙烷</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0.05</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25</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氯乙烯</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0.12</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0.43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26</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苯</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27</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氯苯</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68</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28</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1,2-二氯苯</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560</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29</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1,4-二氯苯</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5.6</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30</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乙苯</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7.2</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31</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苯乙烯</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1290</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1290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32</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甲苯</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1200</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33</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间二甲苯+对二甲苯</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163</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34</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邻二甲苯</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222</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640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35</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硝基苯</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34</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76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36</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苯胺</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92</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37</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2-氯酚</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250</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2256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38</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苯并［a］蒽</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5.5</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39</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苯并［a］芘</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0.55</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40</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苯并［b］荧蒽</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5.5</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41</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苯并［k］荧蒽</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55</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151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42</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䓛</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490</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1293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43</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二笨并［a，h］蒽</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0.55</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44</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茚并［1,2,3-cd］芘</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5.5</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45</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萘</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25</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46</w:t>
            </w:r>
          </w:p>
        </w:tc>
        <w:tc>
          <w:tcPr>
            <w:tcW w:w="3004"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石油烃</w:t>
            </w:r>
          </w:p>
        </w:tc>
        <w:tc>
          <w:tcPr>
            <w:tcW w:w="2203"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826</w:t>
            </w:r>
          </w:p>
        </w:tc>
        <w:tc>
          <w:tcPr>
            <w:tcW w:w="2282" w:type="dxa"/>
            <w:vAlign w:val="center"/>
          </w:tcPr>
          <w:p>
            <w:pPr>
              <w:widowControl/>
              <w:tabs>
                <w:tab w:val="left" w:pos="516"/>
              </w:tabs>
              <w:spacing w:line="280" w:lineRule="exact"/>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4500</w:t>
            </w:r>
          </w:p>
        </w:tc>
      </w:tr>
    </w:tbl>
    <w:p>
      <w:pPr>
        <w:pStyle w:val="73"/>
        <w:spacing w:beforeLines="20" w:afterLines="20" w:line="520" w:lineRule="exact"/>
        <w:rPr>
          <w:rFonts w:hint="default" w:ascii="Times New Roman" w:hAnsi="Times New Roman" w:eastAsia="宋体" w:cs="Times New Roman"/>
          <w:color w:val="auto"/>
          <w:sz w:val="28"/>
        </w:rPr>
      </w:pPr>
      <w:r>
        <w:rPr>
          <w:rFonts w:hint="default" w:ascii="Times New Roman" w:hAnsi="Times New Roman" w:eastAsia="宋体" w:cs="Times New Roman"/>
          <w:color w:val="auto"/>
          <w:sz w:val="28"/>
        </w:rPr>
        <w:t>1.4.</w:t>
      </w:r>
      <w:r>
        <w:rPr>
          <w:rFonts w:hint="default" w:ascii="Times New Roman" w:hAnsi="Times New Roman" w:eastAsia="宋体" w:cs="Times New Roman"/>
          <w:color w:val="auto"/>
          <w:sz w:val="28"/>
          <w:lang w:val="en-US" w:eastAsia="zh-CN"/>
        </w:rPr>
        <w:t>2</w:t>
      </w:r>
      <w:r>
        <w:rPr>
          <w:rFonts w:hint="default" w:ascii="Times New Roman" w:hAnsi="Times New Roman" w:eastAsia="宋体" w:cs="Times New Roman"/>
          <w:color w:val="auto"/>
          <w:sz w:val="28"/>
        </w:rPr>
        <w:t>污染物排放标准</w:t>
      </w:r>
    </w:p>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（1）废气</w:t>
      </w:r>
    </w:p>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①施工期</w:t>
      </w:r>
    </w:p>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本项目施工及堆料场地扬尘排放执行《施工及堆料场地扬尘排放标准》（DB21/2642-2016）中相关标准要求，具体见表1.4-</w:t>
      </w:r>
      <w:r>
        <w:rPr>
          <w:rFonts w:hint="default" w:ascii="Times New Roman" w:hAnsi="Times New Roman" w:eastAsia="宋体" w:cs="Times New Roman"/>
          <w:color w:val="auto"/>
          <w:sz w:val="24"/>
          <w:lang w:val="en-US" w:eastAsia="zh-CN"/>
        </w:rPr>
        <w:t>6</w:t>
      </w:r>
      <w:r>
        <w:rPr>
          <w:rFonts w:hint="default" w:ascii="Times New Roman" w:hAnsi="Times New Roman" w:eastAsia="宋体" w:cs="Times New Roman"/>
          <w:color w:val="auto"/>
          <w:sz w:val="24"/>
        </w:rPr>
        <w:t>。</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 xml:space="preserve">表1.4-6                 </w:t>
      </w:r>
      <w:r>
        <w:rPr>
          <w:rFonts w:hint="eastAsia" w:ascii="Times New Roman" w:hAnsi="Times New Roman" w:eastAsia="宋体" w:cs="Times New Roman"/>
          <w:color w:val="auto"/>
          <w:sz w:val="24"/>
          <w:szCs w:val="22"/>
          <w:lang w:val="en-US" w:eastAsia="zh-CN"/>
        </w:rPr>
        <w:t xml:space="preserve">   </w:t>
      </w:r>
      <w:r>
        <w:rPr>
          <w:rFonts w:hint="default" w:ascii="Times New Roman" w:hAnsi="Times New Roman" w:eastAsia="宋体" w:cs="Times New Roman"/>
          <w:color w:val="auto"/>
          <w:sz w:val="24"/>
          <w:szCs w:val="22"/>
          <w:lang w:val="en-US" w:eastAsia="zh-CN"/>
        </w:rPr>
        <w:t xml:space="preserve"> 施工期废气排放标准              单位：mg/m</w:t>
      </w:r>
      <w:r>
        <w:rPr>
          <w:rFonts w:hint="default" w:ascii="Times New Roman" w:hAnsi="Times New Roman" w:eastAsia="宋体" w:cs="Times New Roman"/>
          <w:color w:val="auto"/>
          <w:sz w:val="24"/>
          <w:szCs w:val="22"/>
          <w:vertAlign w:val="superscript"/>
          <w:lang w:val="en-US" w:eastAsia="zh-CN"/>
        </w:rPr>
        <w:t>3</w:t>
      </w:r>
    </w:p>
    <w:tbl>
      <w:tblPr>
        <w:tblStyle w:val="51"/>
        <w:tblW w:w="5105"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51"/>
        <w:gridCol w:w="543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17" w:type="dxa"/>
            <w:tcBorders>
              <w:top w:val="single" w:color="auto" w:sz="4" w:space="0"/>
              <w:left w:val="nil"/>
              <w:bottom w:val="single" w:color="auto" w:sz="4" w:space="0"/>
              <w:right w:val="single" w:color="auto" w:sz="4" w:space="0"/>
              <w:tl2br w:val="nil"/>
              <w:tr2bl w:val="nil"/>
            </w:tcBorders>
            <w:noWrap/>
            <w:vAlign w:val="center"/>
          </w:tcPr>
          <w:p>
            <w:pPr>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污染物名称</w:t>
            </w:r>
          </w:p>
        </w:tc>
        <w:tc>
          <w:tcPr>
            <w:tcW w:w="4984" w:type="dxa"/>
            <w:tcBorders>
              <w:top w:val="single" w:color="auto" w:sz="4" w:space="0"/>
              <w:left w:val="single" w:color="auto" w:sz="4" w:space="0"/>
              <w:bottom w:val="single" w:color="auto" w:sz="4" w:space="0"/>
              <w:right w:val="nil"/>
              <w:tl2br w:val="nil"/>
              <w:tr2bl w:val="nil"/>
            </w:tcBorders>
            <w:noWrap/>
            <w:vAlign w:val="center"/>
          </w:tcPr>
          <w:p>
            <w:pPr>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无组织排放监控点浓度限值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17" w:type="dxa"/>
            <w:tcBorders>
              <w:top w:val="single" w:color="auto" w:sz="4" w:space="0"/>
              <w:left w:val="nil"/>
              <w:bottom w:val="single" w:color="auto" w:sz="4" w:space="0"/>
              <w:right w:val="single" w:color="auto" w:sz="4" w:space="0"/>
              <w:tl2br w:val="nil"/>
              <w:tr2bl w:val="nil"/>
            </w:tcBorders>
            <w:noWrap/>
            <w:vAlign w:val="center"/>
          </w:tcPr>
          <w:p>
            <w:pPr>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颗粒物</w:t>
            </w:r>
          </w:p>
        </w:tc>
        <w:tc>
          <w:tcPr>
            <w:tcW w:w="4984" w:type="dxa"/>
            <w:tcBorders>
              <w:top w:val="single" w:color="auto" w:sz="4" w:space="0"/>
              <w:left w:val="single" w:color="auto" w:sz="4" w:space="0"/>
              <w:bottom w:val="single" w:color="auto" w:sz="4" w:space="0"/>
              <w:right w:val="nil"/>
              <w:tl2br w:val="nil"/>
              <w:tr2bl w:val="nil"/>
            </w:tcBorders>
            <w:noWrap/>
            <w:vAlign w:val="center"/>
          </w:tcPr>
          <w:p>
            <w:pPr>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1.0</w:t>
            </w:r>
            <w:r>
              <w:rPr>
                <w:rFonts w:hint="default" w:ascii="Times New Roman" w:hAnsi="Times New Roman" w:eastAsia="宋体" w:cs="Times New Roman"/>
                <w:color w:val="auto"/>
              </w:rPr>
              <w:t>（</w:t>
            </w:r>
            <w:r>
              <w:rPr>
                <w:rFonts w:hint="default" w:ascii="Times New Roman" w:hAnsi="Times New Roman" w:eastAsia="宋体" w:cs="Times New Roman"/>
                <w:color w:val="auto"/>
                <w:lang w:eastAsia="zh-CN"/>
              </w:rPr>
              <w:t>农村地</w:t>
            </w:r>
            <w:r>
              <w:rPr>
                <w:rFonts w:hint="default" w:ascii="Times New Roman" w:hAnsi="Times New Roman" w:eastAsia="宋体" w:cs="Times New Roman"/>
                <w:color w:val="auto"/>
              </w:rPr>
              <w:t>区）</w:t>
            </w:r>
          </w:p>
        </w:tc>
      </w:tr>
    </w:tbl>
    <w:p>
      <w:pPr>
        <w:spacing w:beforeLines="50" w:line="48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②运营期</w:t>
      </w:r>
    </w:p>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运营期项目工艺废气</w:t>
      </w:r>
      <w:r>
        <w:rPr>
          <w:rFonts w:hint="default" w:ascii="Times New Roman" w:hAnsi="Times New Roman" w:eastAsia="宋体" w:cs="Times New Roman"/>
          <w:color w:val="auto"/>
          <w:sz w:val="24"/>
          <w:lang w:eastAsia="zh-CN"/>
        </w:rPr>
        <w:t>执行</w:t>
      </w:r>
      <w:r>
        <w:rPr>
          <w:rFonts w:hint="default" w:ascii="Times New Roman" w:hAnsi="Times New Roman" w:eastAsia="宋体" w:cs="Times New Roman"/>
          <w:sz w:val="24"/>
          <w:szCs w:val="20"/>
        </w:rPr>
        <w:t>《铁矿采选工业污染物排放标准》（GB28661-2012）中表6大气污染物特别排放限值及表7无组织排放浓度限值</w:t>
      </w:r>
      <w:r>
        <w:rPr>
          <w:rFonts w:hint="default" w:ascii="Times New Roman" w:hAnsi="Times New Roman" w:eastAsia="宋体" w:cs="Times New Roman"/>
          <w:color w:val="auto"/>
          <w:sz w:val="24"/>
        </w:rPr>
        <w:t>。</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 xml:space="preserve">表1.4-7                </w:t>
      </w:r>
      <w:r>
        <w:rPr>
          <w:rFonts w:hint="eastAsia" w:ascii="Times New Roman" w:hAnsi="Times New Roman" w:eastAsia="宋体" w:cs="Times New Roman"/>
          <w:color w:val="auto"/>
          <w:sz w:val="24"/>
          <w:szCs w:val="22"/>
          <w:lang w:val="en-US" w:eastAsia="zh-CN"/>
        </w:rPr>
        <w:t xml:space="preserve">    </w:t>
      </w:r>
      <w:r>
        <w:rPr>
          <w:rFonts w:hint="default" w:ascii="Times New Roman" w:hAnsi="Times New Roman" w:eastAsia="宋体" w:cs="Times New Roman"/>
          <w:color w:val="auto"/>
          <w:sz w:val="24"/>
          <w:szCs w:val="22"/>
          <w:lang w:val="en-US" w:eastAsia="zh-CN"/>
        </w:rPr>
        <w:t xml:space="preserve">  运营期废气排放执行标准</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4"/>
        <w:gridCol w:w="1592"/>
        <w:gridCol w:w="3182"/>
        <w:gridCol w:w="349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c>
          <w:tcPr>
            <w:tcW w:w="14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292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最高允许排放浓度(mg/m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3202"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有组织</w:t>
            </w:r>
          </w:p>
        </w:tc>
        <w:tc>
          <w:tcPr>
            <w:tcW w:w="14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颗粒物</w:t>
            </w:r>
          </w:p>
        </w:tc>
        <w:tc>
          <w:tcPr>
            <w:tcW w:w="292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w:t>
            </w:r>
          </w:p>
        </w:tc>
        <w:tc>
          <w:tcPr>
            <w:tcW w:w="3202" w:type="dxa"/>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《铁矿采选工业污染物排放标准》（GB28661-2012）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无组织</w:t>
            </w:r>
          </w:p>
        </w:tc>
        <w:tc>
          <w:tcPr>
            <w:tcW w:w="14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颗粒物</w:t>
            </w:r>
          </w:p>
        </w:tc>
        <w:tc>
          <w:tcPr>
            <w:tcW w:w="292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3202" w:type="dxa"/>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p>
        </w:tc>
      </w:tr>
    </w:tbl>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（2）废水</w:t>
      </w:r>
    </w:p>
    <w:p>
      <w:pPr>
        <w:adjustRightInd w:val="0"/>
        <w:spacing w:line="360" w:lineRule="auto"/>
        <w:ind w:firstLine="480" w:firstLineChars="200"/>
        <w:rPr>
          <w:rFonts w:hint="default" w:ascii="Times New Roman" w:hAnsi="Times New Roman" w:eastAsia="宋体" w:cs="Times New Roman"/>
          <w:color w:val="auto"/>
          <w:spacing w:val="6"/>
          <w:sz w:val="24"/>
        </w:rPr>
      </w:pPr>
      <w:r>
        <w:rPr>
          <w:rFonts w:hint="default" w:ascii="Times New Roman" w:hAnsi="Times New Roman" w:eastAsia="宋体" w:cs="Times New Roman"/>
          <w:sz w:val="24"/>
          <w:szCs w:val="20"/>
        </w:rPr>
        <w:t>本项目无废水外排，选矿废水全部厂区内循环回用于生产，生活污水排入防渗化粪池，定期清掏、用作农肥</w:t>
      </w:r>
      <w:r>
        <w:rPr>
          <w:rFonts w:hint="default" w:ascii="Times New Roman" w:hAnsi="Times New Roman" w:eastAsia="宋体" w:cs="Times New Roman"/>
          <w:color w:val="auto"/>
          <w:spacing w:val="6"/>
          <w:sz w:val="24"/>
        </w:rPr>
        <w:t>。</w:t>
      </w:r>
    </w:p>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（3）噪声</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①施工期</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建筑施工场界环境噪声排放执行《建筑施工场界环境噪声排放标准》（GB12523-2011），见表1.4-</w:t>
      </w:r>
      <w:r>
        <w:rPr>
          <w:rFonts w:hint="default" w:ascii="Times New Roman" w:hAnsi="Times New Roman" w:eastAsia="宋体" w:cs="Times New Roman"/>
          <w:color w:val="auto"/>
          <w:lang w:val="en-US" w:eastAsia="zh-CN"/>
        </w:rPr>
        <w:t>8</w:t>
      </w:r>
      <w:r>
        <w:rPr>
          <w:rFonts w:hint="default" w:ascii="Times New Roman" w:hAnsi="Times New Roman" w:eastAsia="宋体" w:cs="Times New Roman"/>
          <w:color w:val="auto"/>
        </w:rPr>
        <w:t>。</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 xml:space="preserve">表1.4-8              建筑施工场界环境噪声排放标准   </w:t>
      </w:r>
      <w:r>
        <w:rPr>
          <w:rFonts w:hint="eastAsia" w:ascii="Times New Roman" w:hAnsi="Times New Roman" w:eastAsia="宋体" w:cs="Times New Roman"/>
          <w:color w:val="auto"/>
          <w:sz w:val="24"/>
          <w:szCs w:val="22"/>
          <w:lang w:val="en-US" w:eastAsia="zh-CN"/>
        </w:rPr>
        <w:t xml:space="preserve">    </w:t>
      </w:r>
      <w:r>
        <w:rPr>
          <w:rFonts w:hint="default" w:ascii="Times New Roman" w:hAnsi="Times New Roman" w:eastAsia="宋体" w:cs="Times New Roman"/>
          <w:color w:val="auto"/>
          <w:sz w:val="24"/>
          <w:szCs w:val="22"/>
          <w:lang w:val="en-US" w:eastAsia="zh-CN"/>
        </w:rPr>
        <w:t xml:space="preserve">     单位：dB(A)</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83"/>
        <w:gridCol w:w="410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3" w:type="dxa"/>
            <w:tcBorders>
              <w:top w:val="single" w:color="auto" w:sz="4" w:space="0"/>
              <w:left w:val="nil"/>
              <w:bottom w:val="single" w:color="auto" w:sz="4" w:space="0"/>
              <w:right w:val="single" w:color="auto" w:sz="4" w:space="0"/>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昼间</w:t>
            </w:r>
          </w:p>
        </w:tc>
        <w:tc>
          <w:tcPr>
            <w:tcW w:w="3679" w:type="dxa"/>
            <w:tcBorders>
              <w:top w:val="single" w:color="auto" w:sz="4" w:space="0"/>
              <w:left w:val="single" w:color="auto" w:sz="4" w:space="0"/>
              <w:bottom w:val="single" w:color="auto" w:sz="4" w:space="0"/>
              <w:right w:val="nil"/>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夜间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3" w:type="dxa"/>
            <w:tcBorders>
              <w:top w:val="single" w:color="auto" w:sz="4" w:space="0"/>
              <w:left w:val="nil"/>
              <w:bottom w:val="single" w:color="auto" w:sz="4" w:space="0"/>
              <w:right w:val="single" w:color="auto" w:sz="4" w:space="0"/>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70</w:t>
            </w:r>
          </w:p>
        </w:tc>
        <w:tc>
          <w:tcPr>
            <w:tcW w:w="3679" w:type="dxa"/>
            <w:tcBorders>
              <w:top w:val="single" w:color="auto" w:sz="4" w:space="0"/>
              <w:left w:val="single" w:color="auto" w:sz="4" w:space="0"/>
              <w:bottom w:val="single" w:color="auto" w:sz="4" w:space="0"/>
              <w:right w:val="nil"/>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55</w:t>
            </w:r>
          </w:p>
        </w:tc>
      </w:tr>
    </w:tbl>
    <w:p>
      <w:pPr>
        <w:pStyle w:val="74"/>
        <w:spacing w:beforeLines="20" w:afterLines="2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②运营期</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项目</w:t>
      </w:r>
      <w:r>
        <w:rPr>
          <w:rFonts w:hint="default" w:ascii="Times New Roman" w:hAnsi="Times New Roman" w:eastAsia="宋体" w:cs="Times New Roman"/>
          <w:color w:val="auto"/>
          <w:sz w:val="24"/>
        </w:rPr>
        <w:t>运营期厂界噪声执行《工业企业厂界环境噪声排放标准》(GB12348-2008)中</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类标准</w:t>
      </w:r>
      <w:r>
        <w:rPr>
          <w:rFonts w:hint="default" w:ascii="Times New Roman" w:hAnsi="Times New Roman" w:eastAsia="宋体" w:cs="Times New Roman"/>
          <w:color w:val="auto"/>
        </w:rPr>
        <w:t>，具体见表1.4-</w:t>
      </w:r>
      <w:r>
        <w:rPr>
          <w:rFonts w:hint="default" w:ascii="Times New Roman" w:hAnsi="Times New Roman" w:eastAsia="宋体" w:cs="Times New Roman"/>
          <w:color w:val="auto"/>
          <w:lang w:val="en-US" w:eastAsia="zh-CN"/>
        </w:rPr>
        <w:t>9</w:t>
      </w:r>
      <w:r>
        <w:rPr>
          <w:rFonts w:hint="default" w:ascii="Times New Roman" w:hAnsi="Times New Roman" w:eastAsia="宋体" w:cs="Times New Roman"/>
          <w:color w:val="auto"/>
        </w:rPr>
        <w:t>。</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 xml:space="preserve">表1.4-9         </w:t>
      </w:r>
      <w:r>
        <w:rPr>
          <w:rFonts w:hint="eastAsia" w:ascii="Times New Roman" w:hAnsi="Times New Roman" w:eastAsia="宋体" w:cs="Times New Roman"/>
          <w:color w:val="auto"/>
          <w:sz w:val="24"/>
          <w:szCs w:val="22"/>
          <w:lang w:val="en-US" w:eastAsia="zh-CN"/>
        </w:rPr>
        <w:t xml:space="preserve">   </w:t>
      </w:r>
      <w:r>
        <w:rPr>
          <w:rFonts w:hint="default" w:ascii="Times New Roman" w:hAnsi="Times New Roman" w:eastAsia="宋体" w:cs="Times New Roman"/>
          <w:color w:val="auto"/>
          <w:sz w:val="24"/>
          <w:szCs w:val="22"/>
          <w:lang w:val="en-US" w:eastAsia="zh-CN"/>
        </w:rPr>
        <w:t xml:space="preserve">    运营期厂界噪声排放执行标准     </w:t>
      </w:r>
      <w:r>
        <w:rPr>
          <w:rFonts w:hint="eastAsia" w:ascii="Times New Roman" w:hAnsi="Times New Roman" w:eastAsia="宋体" w:cs="Times New Roman"/>
          <w:color w:val="auto"/>
          <w:sz w:val="24"/>
          <w:szCs w:val="22"/>
          <w:lang w:val="en-US" w:eastAsia="zh-CN"/>
        </w:rPr>
        <w:t xml:space="preserve">   </w:t>
      </w:r>
      <w:r>
        <w:rPr>
          <w:rFonts w:hint="default" w:ascii="Times New Roman" w:hAnsi="Times New Roman" w:eastAsia="宋体" w:cs="Times New Roman"/>
          <w:color w:val="auto"/>
          <w:sz w:val="24"/>
          <w:szCs w:val="22"/>
          <w:lang w:val="en-US" w:eastAsia="zh-CN"/>
        </w:rPr>
        <w:t xml:space="preserve">      单位：dB(A)</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60"/>
        <w:gridCol w:w="1105"/>
        <w:gridCol w:w="132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014" w:type="dxa"/>
            <w:vMerge w:val="restart"/>
            <w:tcBorders>
              <w:top w:val="single" w:color="auto" w:sz="4" w:space="0"/>
              <w:left w:val="nil"/>
              <w:bottom w:val="single" w:color="auto" w:sz="4" w:space="0"/>
              <w:right w:val="single" w:color="auto" w:sz="4" w:space="0"/>
              <w:tl2br w:val="nil"/>
              <w:tr2bl w:val="nil"/>
            </w:tcBorders>
            <w:noWrap/>
            <w:vAlign w:val="center"/>
          </w:tcPr>
          <w:p>
            <w:pPr>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执行标准</w:t>
            </w:r>
          </w:p>
        </w:tc>
        <w:tc>
          <w:tcPr>
            <w:tcW w:w="2128" w:type="dxa"/>
            <w:gridSpan w:val="2"/>
            <w:tcBorders>
              <w:top w:val="single" w:color="auto" w:sz="4" w:space="0"/>
              <w:left w:val="single" w:color="auto" w:sz="4" w:space="0"/>
              <w:bottom w:val="single" w:color="auto" w:sz="4" w:space="0"/>
              <w:right w:val="nil"/>
              <w:tl2br w:val="nil"/>
              <w:tr2bl w:val="nil"/>
            </w:tcBorders>
            <w:noWrap/>
            <w:vAlign w:val="center"/>
          </w:tcPr>
          <w:p>
            <w:pPr>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标准值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014" w:type="dxa"/>
            <w:vMerge w:val="continue"/>
            <w:tcBorders>
              <w:top w:val="single" w:color="auto" w:sz="4" w:space="0"/>
              <w:left w:val="nil"/>
              <w:bottom w:val="single" w:color="auto" w:sz="4" w:space="0"/>
              <w:right w:val="single" w:color="auto" w:sz="4" w:space="0"/>
              <w:tl2br w:val="nil"/>
              <w:tr2bl w:val="nil"/>
            </w:tcBorders>
            <w:noWrap/>
            <w:vAlign w:val="center"/>
          </w:tcPr>
          <w:p>
            <w:pPr>
              <w:spacing w:line="460" w:lineRule="exact"/>
              <w:jc w:val="center"/>
              <w:rPr>
                <w:rFonts w:hint="default" w:ascii="Times New Roman" w:hAnsi="Times New Roman" w:eastAsia="宋体" w:cs="Times New Roman"/>
                <w:color w:val="auto"/>
              </w:rPr>
            </w:pPr>
          </w:p>
        </w:tc>
        <w:tc>
          <w:tcPr>
            <w:tcW w:w="968" w:type="dxa"/>
            <w:tcBorders>
              <w:top w:val="single" w:color="auto" w:sz="4" w:space="0"/>
              <w:left w:val="single" w:color="auto" w:sz="4" w:space="0"/>
              <w:bottom w:val="single" w:color="auto" w:sz="4" w:space="0"/>
              <w:right w:val="single" w:color="auto" w:sz="4" w:space="0"/>
              <w:tl2br w:val="nil"/>
              <w:tr2bl w:val="nil"/>
            </w:tcBorders>
            <w:noWrap/>
            <w:vAlign w:val="center"/>
          </w:tcPr>
          <w:p>
            <w:pPr>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昼间</w:t>
            </w:r>
          </w:p>
        </w:tc>
        <w:tc>
          <w:tcPr>
            <w:tcW w:w="1160" w:type="dxa"/>
            <w:tcBorders>
              <w:top w:val="single" w:color="auto" w:sz="4" w:space="0"/>
              <w:left w:val="single" w:color="auto" w:sz="4" w:space="0"/>
              <w:bottom w:val="single" w:color="auto" w:sz="4" w:space="0"/>
              <w:right w:val="nil"/>
              <w:tl2br w:val="nil"/>
              <w:tr2bl w:val="nil"/>
            </w:tcBorders>
            <w:noWrap/>
            <w:vAlign w:val="center"/>
          </w:tcPr>
          <w:p>
            <w:pPr>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夜间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014" w:type="dxa"/>
            <w:tcBorders>
              <w:top w:val="single" w:color="auto" w:sz="4" w:space="0"/>
              <w:left w:val="nil"/>
              <w:bottom w:val="single" w:color="auto" w:sz="4" w:space="0"/>
              <w:right w:val="single" w:color="auto" w:sz="4" w:space="0"/>
              <w:tl2br w:val="nil"/>
              <w:tr2bl w:val="nil"/>
            </w:tcBorders>
            <w:noWrap/>
            <w:vAlign w:val="center"/>
          </w:tcPr>
          <w:p>
            <w:pPr>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《工业企业厂界环境噪声排放标准》（GB12348-2008）</w:t>
            </w:r>
            <w:r>
              <w:rPr>
                <w:rFonts w:hint="default" w:ascii="Times New Roman" w:hAnsi="Times New Roman" w:eastAsia="宋体" w:cs="Times New Roman"/>
                <w:color w:val="auto"/>
                <w:lang w:val="en-US" w:eastAsia="zh-CN"/>
              </w:rPr>
              <w:t>1</w:t>
            </w:r>
            <w:r>
              <w:rPr>
                <w:rFonts w:hint="default" w:ascii="Times New Roman" w:hAnsi="Times New Roman" w:eastAsia="宋体" w:cs="Times New Roman"/>
                <w:color w:val="auto"/>
              </w:rPr>
              <w:t>类标准</w:t>
            </w:r>
          </w:p>
        </w:tc>
        <w:tc>
          <w:tcPr>
            <w:tcW w:w="968" w:type="dxa"/>
            <w:tcBorders>
              <w:top w:val="single" w:color="auto" w:sz="4" w:space="0"/>
              <w:left w:val="single" w:color="auto" w:sz="4" w:space="0"/>
              <w:bottom w:val="single" w:color="auto" w:sz="4" w:space="0"/>
              <w:right w:val="single" w:color="auto" w:sz="4" w:space="0"/>
              <w:tl2br w:val="nil"/>
              <w:tr2bl w:val="nil"/>
            </w:tcBorders>
            <w:noWrap/>
            <w:vAlign w:val="center"/>
          </w:tcPr>
          <w:p>
            <w:pPr>
              <w:spacing w:line="460" w:lineRule="exact"/>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55</w:t>
            </w:r>
          </w:p>
        </w:tc>
        <w:tc>
          <w:tcPr>
            <w:tcW w:w="1160" w:type="dxa"/>
            <w:tcBorders>
              <w:top w:val="single" w:color="auto" w:sz="4" w:space="0"/>
              <w:left w:val="single" w:color="auto" w:sz="4" w:space="0"/>
              <w:bottom w:val="single" w:color="auto" w:sz="4" w:space="0"/>
              <w:right w:val="nil"/>
              <w:tl2br w:val="nil"/>
              <w:tr2bl w:val="nil"/>
            </w:tcBorders>
            <w:noWrap/>
            <w:vAlign w:val="center"/>
          </w:tcPr>
          <w:p>
            <w:pPr>
              <w:spacing w:line="460" w:lineRule="exact"/>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45</w:t>
            </w:r>
          </w:p>
        </w:tc>
      </w:tr>
    </w:tbl>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（4）固体废物执行标准</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本项目施工期排放的固体废物执行建设部第139号令《城市建筑垃圾管理规定》；运营期一般工业固体废物执行《一般工业固体废物贮存和填埋污染控制标准》（GB18599-2020）</w:t>
      </w:r>
      <w:r>
        <w:rPr>
          <w:rFonts w:hint="default" w:ascii="Times New Roman" w:hAnsi="Times New Roman" w:eastAsia="宋体" w:cs="Times New Roman"/>
          <w:sz w:val="24"/>
        </w:rPr>
        <w:t>；危险废物执行《危险废物贮存污染控制标准》（GB18597-2001）及2013年修改单、《危险废物收集、贮存、运输技术规范》（HJ2025-2012）</w:t>
      </w:r>
      <w:r>
        <w:rPr>
          <w:rFonts w:hint="default" w:ascii="Times New Roman" w:hAnsi="Times New Roman" w:eastAsia="宋体" w:cs="Times New Roman"/>
          <w:sz w:val="24"/>
          <w:lang w:eastAsia="zh-CN"/>
        </w:rPr>
        <w:t>；</w:t>
      </w:r>
      <w:r>
        <w:rPr>
          <w:rFonts w:hint="default" w:ascii="Times New Roman" w:hAnsi="Times New Roman" w:eastAsia="宋体" w:cs="Times New Roman"/>
          <w:color w:val="auto"/>
          <w:sz w:val="24"/>
        </w:rPr>
        <w:t>生活垃圾排放及管理执行中华人民共和国建设部令第157号《城市生活垃圾管理规定》。</w:t>
      </w:r>
    </w:p>
    <w:p>
      <w:pPr>
        <w:pStyle w:val="73"/>
        <w:spacing w:beforeLines="20" w:afterLines="20" w:line="360" w:lineRule="auto"/>
        <w:rPr>
          <w:rFonts w:hint="default" w:ascii="Times New Roman" w:hAnsi="Times New Roman" w:eastAsia="宋体" w:cs="Times New Roman"/>
          <w:color w:val="auto"/>
          <w:sz w:val="28"/>
          <w:lang w:eastAsia="zh-CN"/>
        </w:rPr>
      </w:pPr>
      <w:r>
        <w:rPr>
          <w:rFonts w:hint="default" w:ascii="Times New Roman" w:hAnsi="Times New Roman" w:eastAsia="宋体" w:cs="Times New Roman"/>
          <w:color w:val="auto"/>
          <w:sz w:val="28"/>
        </w:rPr>
        <w:t>1.4.</w:t>
      </w:r>
      <w:r>
        <w:rPr>
          <w:rFonts w:hint="default" w:ascii="Times New Roman" w:hAnsi="Times New Roman" w:eastAsia="宋体" w:cs="Times New Roman"/>
          <w:color w:val="auto"/>
          <w:sz w:val="28"/>
          <w:lang w:val="en-US" w:eastAsia="zh-CN"/>
        </w:rPr>
        <w:t>3</w:t>
      </w:r>
      <w:r>
        <w:rPr>
          <w:rFonts w:hint="default" w:ascii="Times New Roman" w:hAnsi="Times New Roman" w:eastAsia="宋体" w:cs="Times New Roman"/>
          <w:color w:val="auto"/>
          <w:sz w:val="28"/>
          <w:lang w:eastAsia="zh-CN"/>
        </w:rPr>
        <w:t>环境功能区划</w:t>
      </w:r>
    </w:p>
    <w:p>
      <w:pPr>
        <w:pStyle w:val="16"/>
        <w:spacing w:line="360" w:lineRule="auto"/>
        <w:ind w:firstLine="48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1、环境空气</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根据《环境空气质量标准》（GB3095-2012）中有关功能区分类标准，确定本项目所在区域环境空气功能为二类区。</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2、地下水环境功能区划</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地下水环境为Ⅲ类功能区，执行《地下水质量标准》(GB/T14848-2017)中Ⅲ类标准。</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3、地表水功能区划</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地</w:t>
      </w:r>
      <w:r>
        <w:rPr>
          <w:rFonts w:hint="default" w:ascii="Times New Roman" w:hAnsi="Times New Roman" w:eastAsia="宋体" w:cs="Times New Roman"/>
          <w:color w:val="auto"/>
          <w:sz w:val="24"/>
          <w:lang w:val="en-US" w:eastAsia="zh-CN"/>
        </w:rPr>
        <w:t>表</w:t>
      </w:r>
      <w:r>
        <w:rPr>
          <w:rFonts w:hint="default" w:ascii="Times New Roman" w:hAnsi="Times New Roman" w:eastAsia="宋体" w:cs="Times New Roman"/>
          <w:color w:val="auto"/>
          <w:sz w:val="24"/>
        </w:rPr>
        <w:t>水环境为Ⅳ类功能区，执行《地表水环境质量标准》(GB3838-2002)中的Ⅳ类标准。</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4、声环境功能区划</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rPr>
        <w:t>本项目所在地声环境质量执行《声环境质量标准》（GB3096-2008）中</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类声环境功能区标准</w:t>
      </w:r>
      <w:r>
        <w:rPr>
          <w:rFonts w:hint="default" w:ascii="Times New Roman" w:hAnsi="Times New Roman" w:eastAsia="宋体" w:cs="Times New Roman"/>
          <w:color w:val="auto"/>
          <w:sz w:val="24"/>
          <w:lang w:eastAsia="zh-CN"/>
        </w:rPr>
        <w:t>。</w:t>
      </w:r>
    </w:p>
    <w:p>
      <w:pPr>
        <w:pStyle w:val="4"/>
        <w:bidi w:val="0"/>
        <w:spacing w:line="360" w:lineRule="auto"/>
        <w:rPr>
          <w:rFonts w:hint="default" w:ascii="Times New Roman" w:hAnsi="Times New Roman" w:eastAsia="宋体" w:cs="Times New Roman"/>
          <w:color w:val="auto"/>
          <w:sz w:val="28"/>
          <w:szCs w:val="28"/>
        </w:rPr>
      </w:pPr>
      <w:bookmarkStart w:id="84" w:name="_Toc16972"/>
      <w:r>
        <w:rPr>
          <w:rFonts w:hint="default" w:ascii="Times New Roman" w:hAnsi="Times New Roman" w:eastAsia="宋体" w:cs="Times New Roman"/>
          <w:color w:val="auto"/>
          <w:sz w:val="28"/>
          <w:szCs w:val="28"/>
        </w:rPr>
        <w:t>1.5评价等级、评价时段与评价重点</w:t>
      </w:r>
      <w:bookmarkEnd w:id="84"/>
    </w:p>
    <w:p>
      <w:pPr>
        <w:pStyle w:val="73"/>
        <w:spacing w:beforeLines="20" w:afterLines="20"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sz w:val="28"/>
        </w:rPr>
        <w:t>1.5.1评价等级</w:t>
      </w:r>
    </w:p>
    <w:p>
      <w:pPr>
        <w:snapToGrid w:val="0"/>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（1）大气环境影响评价等级</w:t>
      </w:r>
    </w:p>
    <w:p>
      <w:pPr>
        <w:snapToGrid w:val="0"/>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根据《环境影响评价技术导则——大气环境》（HJ2.2-2018）中有关规定，根据项目污染源初步调查结果，分别计算项目排放主要污染物的最大地面空气质量浓度占标率P</w:t>
      </w:r>
      <w:r>
        <w:rPr>
          <w:rFonts w:hint="default" w:ascii="Times New Roman" w:hAnsi="Times New Roman" w:eastAsia="宋体" w:cs="Times New Roman"/>
          <w:color w:val="auto"/>
          <w:sz w:val="24"/>
          <w:vertAlign w:val="subscript"/>
        </w:rPr>
        <w:t>i</w:t>
      </w:r>
      <w:r>
        <w:rPr>
          <w:rFonts w:hint="default" w:ascii="Times New Roman" w:hAnsi="Times New Roman" w:eastAsia="宋体" w:cs="Times New Roman"/>
          <w:color w:val="auto"/>
          <w:sz w:val="24"/>
        </w:rPr>
        <w:t>，及第i个污染物的地面空气质量浓度达到标准值的10%时所对应的最远距离D</w:t>
      </w:r>
      <w:r>
        <w:rPr>
          <w:rFonts w:hint="default" w:ascii="Times New Roman" w:hAnsi="Times New Roman" w:eastAsia="宋体" w:cs="Times New Roman"/>
          <w:color w:val="auto"/>
          <w:sz w:val="24"/>
          <w:vertAlign w:val="subscript"/>
        </w:rPr>
        <w:t>10%</w:t>
      </w:r>
      <w:r>
        <w:rPr>
          <w:rFonts w:hint="default" w:ascii="Times New Roman" w:hAnsi="Times New Roman" w:eastAsia="宋体" w:cs="Times New Roman"/>
          <w:color w:val="auto"/>
          <w:sz w:val="24"/>
        </w:rPr>
        <w:t>。其中P</w:t>
      </w:r>
      <w:r>
        <w:rPr>
          <w:rFonts w:hint="default" w:ascii="Times New Roman" w:hAnsi="Times New Roman" w:eastAsia="宋体" w:cs="Times New Roman"/>
          <w:color w:val="auto"/>
          <w:sz w:val="24"/>
          <w:vertAlign w:val="subscript"/>
        </w:rPr>
        <w:t>i</w:t>
      </w:r>
      <w:r>
        <w:rPr>
          <w:rFonts w:hint="default" w:ascii="Times New Roman" w:hAnsi="Times New Roman" w:eastAsia="宋体" w:cs="Times New Roman"/>
          <w:color w:val="auto"/>
          <w:sz w:val="24"/>
        </w:rPr>
        <w:t>定义见下式：</w:t>
      </w:r>
    </w:p>
    <w:p>
      <w:pPr>
        <w:pStyle w:val="150"/>
        <w:spacing w:beforeLines="20" w:afterLines="20" w:line="240" w:lineRule="auto"/>
        <w:ind w:firstLine="560"/>
        <w:jc w:val="center"/>
        <w:rPr>
          <w:rFonts w:hint="default" w:ascii="Times New Roman" w:hAnsi="Times New Roman" w:eastAsia="宋体" w:cs="Times New Roman"/>
          <w:color w:val="auto"/>
          <w:sz w:val="28"/>
        </w:rPr>
      </w:pPr>
      <w:r>
        <w:rPr>
          <w:rFonts w:hint="default" w:ascii="Times New Roman" w:hAnsi="Times New Roman" w:eastAsia="宋体" w:cs="Times New Roman"/>
          <w:color w:val="auto"/>
          <w:position w:val="-30"/>
          <w:sz w:val="28"/>
        </w:rPr>
        <w:object>
          <v:shape id="_x0000_i1026" o:spt="75" type="#_x0000_t75" style="height:35pt;width:81pt;" o:ole="t" filled="f" o:preferrelative="t" stroked="f" coordsize="21600,21600">
            <v:path/>
            <v:fill on="f" focussize="0,0"/>
            <v:stroke on="f" joinstyle="miter"/>
            <v:imagedata r:id="rId22" o:title=""/>
            <o:lock v:ext="edit" aspectratio="t"/>
            <w10:wrap type="none"/>
            <w10:anchorlock/>
          </v:shape>
          <o:OLEObject Type="Embed" ProgID="Equation.3" ShapeID="_x0000_i1026" DrawAspect="Content" ObjectID="_1468075726" r:id="rId21">
            <o:LockedField>false</o:LockedField>
          </o:OLEObject>
        </w:object>
      </w:r>
    </w:p>
    <w:p>
      <w:pPr>
        <w:snapToGrid w:val="0"/>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式中：P</w:t>
      </w:r>
      <w:r>
        <w:rPr>
          <w:rFonts w:hint="default" w:ascii="Times New Roman" w:hAnsi="Times New Roman" w:eastAsia="宋体" w:cs="Times New Roman"/>
          <w:color w:val="auto"/>
          <w:sz w:val="24"/>
          <w:vertAlign w:val="subscript"/>
        </w:rPr>
        <w:t>i</w:t>
      </w:r>
      <w:r>
        <w:rPr>
          <w:rFonts w:hint="default" w:ascii="Times New Roman" w:hAnsi="Times New Roman" w:eastAsia="宋体" w:cs="Times New Roman"/>
          <w:color w:val="auto"/>
          <w:sz w:val="24"/>
        </w:rPr>
        <w:t>——第i个污染物的最大地面浓度占标率，%；</w:t>
      </w:r>
    </w:p>
    <w:p>
      <w:pPr>
        <w:snapToGrid w:val="0"/>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C</w:t>
      </w:r>
      <w:r>
        <w:rPr>
          <w:rFonts w:hint="default" w:ascii="Times New Roman" w:hAnsi="Times New Roman" w:eastAsia="宋体" w:cs="Times New Roman"/>
          <w:color w:val="auto"/>
          <w:sz w:val="24"/>
          <w:vertAlign w:val="subscript"/>
        </w:rPr>
        <w:t>i</w:t>
      </w:r>
      <w:r>
        <w:rPr>
          <w:rFonts w:hint="default" w:ascii="Times New Roman" w:hAnsi="Times New Roman" w:eastAsia="宋体" w:cs="Times New Roman"/>
          <w:color w:val="auto"/>
          <w:sz w:val="24"/>
        </w:rPr>
        <w:t>——采用估算模式计算出的第i个污染物的最大地面浓度，mg/m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p>
    <w:p>
      <w:pPr>
        <w:snapToGrid w:val="0"/>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C</w:t>
      </w:r>
      <w:r>
        <w:rPr>
          <w:rFonts w:hint="default" w:ascii="Times New Roman" w:hAnsi="Times New Roman" w:eastAsia="宋体" w:cs="Times New Roman"/>
          <w:color w:val="auto"/>
          <w:sz w:val="24"/>
          <w:vertAlign w:val="subscript"/>
        </w:rPr>
        <w:t>0i</w:t>
      </w:r>
      <w:r>
        <w:rPr>
          <w:rFonts w:hint="default" w:ascii="Times New Roman" w:hAnsi="Times New Roman" w:eastAsia="宋体" w:cs="Times New Roman"/>
          <w:color w:val="auto"/>
          <w:sz w:val="24"/>
        </w:rPr>
        <w:t>——第i污染物的环境空气质量标准，mg/m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p>
    <w:p>
      <w:pPr>
        <w:pStyle w:val="16"/>
        <w:snapToGrid w:val="0"/>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评价等级判别具体见表1.5-1。</w:t>
      </w:r>
    </w:p>
    <w:bookmarkEnd w:id="60"/>
    <w:bookmarkEnd w:id="61"/>
    <w:bookmarkEnd w:id="62"/>
    <w:bookmarkEnd w:id="63"/>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表1.5-1                     评价等级判别</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09"/>
        <w:gridCol w:w="597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02" w:type="dxa"/>
            <w:vAlign w:val="center"/>
          </w:tcPr>
          <w:p>
            <w:pPr>
              <w:adjustRightInd w:val="0"/>
              <w:snapToGrid w:val="0"/>
              <w:spacing w:line="40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评价工作等级</w:t>
            </w:r>
          </w:p>
        </w:tc>
        <w:tc>
          <w:tcPr>
            <w:tcW w:w="5983" w:type="dxa"/>
            <w:vAlign w:val="center"/>
          </w:tcPr>
          <w:p>
            <w:pPr>
              <w:adjustRightInd w:val="0"/>
              <w:snapToGrid w:val="0"/>
              <w:spacing w:line="40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评价工作分级判据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02" w:type="dxa"/>
            <w:vAlign w:val="center"/>
          </w:tcPr>
          <w:p>
            <w:pPr>
              <w:adjustRightInd w:val="0"/>
              <w:snapToGrid w:val="0"/>
              <w:spacing w:line="40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一级评价</w:t>
            </w:r>
          </w:p>
        </w:tc>
        <w:tc>
          <w:tcPr>
            <w:tcW w:w="5983" w:type="dxa"/>
            <w:vAlign w:val="center"/>
          </w:tcPr>
          <w:p>
            <w:pPr>
              <w:adjustRightInd w:val="0"/>
              <w:snapToGrid w:val="0"/>
              <w:spacing w:line="40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P</w:t>
            </w:r>
            <w:r>
              <w:rPr>
                <w:rFonts w:hint="default" w:ascii="Times New Roman" w:hAnsi="Times New Roman" w:eastAsia="宋体" w:cs="Times New Roman"/>
                <w:color w:val="auto"/>
                <w:szCs w:val="21"/>
                <w:vertAlign w:val="subscript"/>
              </w:rPr>
              <w:t>max</w:t>
            </w:r>
            <w:r>
              <w:rPr>
                <w:rFonts w:hint="default" w:ascii="Times New Roman" w:hAnsi="Times New Roman" w:eastAsia="宋体" w:cs="Times New Roman"/>
                <w:color w:val="auto"/>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02" w:type="dxa"/>
            <w:vAlign w:val="center"/>
          </w:tcPr>
          <w:p>
            <w:pPr>
              <w:adjustRightInd w:val="0"/>
              <w:snapToGrid w:val="0"/>
              <w:spacing w:line="40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二级评价</w:t>
            </w:r>
          </w:p>
        </w:tc>
        <w:tc>
          <w:tcPr>
            <w:tcW w:w="5983" w:type="dxa"/>
            <w:vAlign w:val="center"/>
          </w:tcPr>
          <w:p>
            <w:pPr>
              <w:adjustRightInd w:val="0"/>
              <w:snapToGrid w:val="0"/>
              <w:spacing w:line="40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1%≤P</w:t>
            </w:r>
            <w:r>
              <w:rPr>
                <w:rFonts w:hint="default" w:ascii="Times New Roman" w:hAnsi="Times New Roman" w:eastAsia="宋体" w:cs="Times New Roman"/>
                <w:color w:val="auto"/>
                <w:szCs w:val="21"/>
                <w:vertAlign w:val="subscript"/>
              </w:rPr>
              <w:t>max</w:t>
            </w:r>
            <w:r>
              <w:rPr>
                <w:rFonts w:hint="default" w:ascii="Times New Roman" w:hAnsi="Times New Roman" w:eastAsia="宋体" w:cs="Times New Roman"/>
                <w:color w:val="auto"/>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02" w:type="dxa"/>
            <w:vAlign w:val="center"/>
          </w:tcPr>
          <w:p>
            <w:pPr>
              <w:adjustRightInd w:val="0"/>
              <w:snapToGrid w:val="0"/>
              <w:spacing w:line="40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三级评价</w:t>
            </w:r>
          </w:p>
        </w:tc>
        <w:tc>
          <w:tcPr>
            <w:tcW w:w="5983" w:type="dxa"/>
            <w:vAlign w:val="center"/>
          </w:tcPr>
          <w:p>
            <w:pPr>
              <w:adjustRightInd w:val="0"/>
              <w:snapToGrid w:val="0"/>
              <w:spacing w:line="40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P</w:t>
            </w:r>
            <w:r>
              <w:rPr>
                <w:rFonts w:hint="default" w:ascii="Times New Roman" w:hAnsi="Times New Roman" w:eastAsia="宋体" w:cs="Times New Roman"/>
                <w:color w:val="auto"/>
                <w:szCs w:val="21"/>
                <w:vertAlign w:val="subscript"/>
              </w:rPr>
              <w:t>max</w:t>
            </w:r>
            <w:r>
              <w:rPr>
                <w:rFonts w:hint="default" w:ascii="Times New Roman" w:hAnsi="Times New Roman" w:eastAsia="宋体" w:cs="Times New Roman"/>
                <w:color w:val="auto"/>
                <w:szCs w:val="21"/>
              </w:rPr>
              <w:t>＜1%</w:t>
            </w:r>
          </w:p>
        </w:tc>
      </w:tr>
    </w:tbl>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表1.5-2                   AERSGREEN估算模型参数表</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15"/>
        <w:gridCol w:w="625"/>
        <w:gridCol w:w="3397"/>
        <w:gridCol w:w="345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834" w:type="dxa"/>
            <w:gridSpan w:val="3"/>
            <w:tcBorders>
              <w:tl2br w:val="nil"/>
              <w:tr2bl w:val="nil"/>
            </w:tcBorders>
            <w:vAlign w:val="center"/>
          </w:tcPr>
          <w:p>
            <w:pPr>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参数</w:t>
            </w:r>
          </w:p>
        </w:tc>
        <w:tc>
          <w:tcPr>
            <w:tcW w:w="3453" w:type="dxa"/>
            <w:tcBorders>
              <w:tl2br w:val="nil"/>
              <w:tr2bl w:val="nil"/>
            </w:tcBorders>
            <w:vAlign w:val="center"/>
          </w:tcPr>
          <w:p>
            <w:pPr>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取值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restart"/>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城市/农村选项</w:t>
            </w:r>
          </w:p>
        </w:tc>
        <w:tc>
          <w:tcPr>
            <w:tcW w:w="4029" w:type="dxa"/>
            <w:gridSpan w:val="2"/>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城市/农村</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农村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4029" w:type="dxa"/>
            <w:gridSpan w:val="2"/>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人口数</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834" w:type="dxa"/>
            <w:gridSpan w:val="3"/>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最高环境温度/℃</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42.3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834" w:type="dxa"/>
            <w:gridSpan w:val="3"/>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最低环境温度/℃</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-28.2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834" w:type="dxa"/>
            <w:gridSpan w:val="3"/>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土地利用类型</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农村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834" w:type="dxa"/>
            <w:gridSpan w:val="3"/>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区域湿度条件</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中等湿度气候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35" w:type="dxa"/>
            <w:gridSpan w:val="2"/>
            <w:vMerge w:val="restart"/>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是否考虑地形</w:t>
            </w:r>
          </w:p>
        </w:tc>
        <w:tc>
          <w:tcPr>
            <w:tcW w:w="3399" w:type="dxa"/>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考虑地形</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   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35" w:type="dxa"/>
            <w:gridSpan w:val="2"/>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3399" w:type="dxa"/>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地形数据分辨率(m)</w:t>
            </w:r>
          </w:p>
        </w:tc>
        <w:tc>
          <w:tcPr>
            <w:tcW w:w="3453" w:type="dxa"/>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35" w:type="dxa"/>
            <w:gridSpan w:val="2"/>
            <w:vMerge w:val="restart"/>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是否考虑岸线熏烟</w:t>
            </w:r>
          </w:p>
        </w:tc>
        <w:tc>
          <w:tcPr>
            <w:tcW w:w="3399" w:type="dxa"/>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考虑岸线熏烟</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   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35" w:type="dxa"/>
            <w:gridSpan w:val="2"/>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3399" w:type="dxa"/>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岸线距离/km</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35" w:type="dxa"/>
            <w:gridSpan w:val="2"/>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3399" w:type="dxa"/>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岸线方向/°</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pPr>
        <w:pStyle w:val="361"/>
        <w:spacing w:beforeLines="50" w:line="360" w:lineRule="auto"/>
        <w:ind w:left="0" w:leftChars="0"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本项目大气主要污染物为</w:t>
      </w:r>
      <w:r>
        <w:rPr>
          <w:rFonts w:hint="default" w:ascii="Times New Roman" w:hAnsi="Times New Roman" w:eastAsia="宋体" w:cs="Times New Roman"/>
          <w:color w:val="auto"/>
          <w:highlight w:val="none"/>
          <w:lang w:eastAsia="zh-CN"/>
        </w:rPr>
        <w:t>颗粒物</w:t>
      </w:r>
      <w:r>
        <w:rPr>
          <w:rFonts w:hint="default" w:ascii="Times New Roman" w:hAnsi="Times New Roman" w:eastAsia="宋体" w:cs="Times New Roman"/>
          <w:color w:val="auto"/>
          <w:highlight w:val="none"/>
        </w:rPr>
        <w:t>。采用导则推荐的AERSCREEN模式进行估算，本项目大气污染物最大地面浓度占标率P</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计算结果见表1.5-3。</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表1.5-3             主要大气污染物排放量估算模式计算结果</w:t>
      </w:r>
    </w:p>
    <w:tbl>
      <w:tblPr>
        <w:tblStyle w:val="51"/>
        <w:tblW w:w="5000"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1482"/>
        <w:gridCol w:w="1439"/>
        <w:gridCol w:w="1940"/>
        <w:gridCol w:w="1809"/>
        <w:gridCol w:w="1439"/>
        <w:gridCol w:w="1179"/>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4" w:hRule="atLeast"/>
        </w:trPr>
        <w:tc>
          <w:tcPr>
            <w:tcW w:w="1360"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污染源名称</w:t>
            </w:r>
          </w:p>
        </w:tc>
        <w:tc>
          <w:tcPr>
            <w:tcW w:w="132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评价因子</w:t>
            </w:r>
          </w:p>
        </w:tc>
        <w:tc>
          <w:tcPr>
            <w:tcW w:w="178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评价标准(μg/m³)</w:t>
            </w:r>
          </w:p>
        </w:tc>
        <w:tc>
          <w:tcPr>
            <w:tcW w:w="16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Cmax(μg/m³)</w:t>
            </w:r>
          </w:p>
        </w:tc>
        <w:tc>
          <w:tcPr>
            <w:tcW w:w="132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Pmax(%)</w:t>
            </w:r>
          </w:p>
        </w:tc>
        <w:tc>
          <w:tcPr>
            <w:tcW w:w="1082" w:type="dxa"/>
            <w:tcBorders>
              <w:top w:val="single" w:color="auto" w:sz="4" w:space="0"/>
              <w:left w:val="single" w:color="auto" w:sz="4" w:space="0"/>
              <w:bottom w:val="single" w:color="auto" w:sz="4" w:space="0"/>
              <w:right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D10%(m)</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4" w:hRule="atLeast"/>
        </w:trPr>
        <w:tc>
          <w:tcPr>
            <w:tcW w:w="1360"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破碎车间</w:t>
            </w:r>
          </w:p>
        </w:tc>
        <w:tc>
          <w:tcPr>
            <w:tcW w:w="132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TSP</w:t>
            </w:r>
          </w:p>
        </w:tc>
        <w:tc>
          <w:tcPr>
            <w:tcW w:w="178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900.0</w:t>
            </w:r>
          </w:p>
        </w:tc>
        <w:tc>
          <w:tcPr>
            <w:tcW w:w="16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73.4220</w:t>
            </w:r>
          </w:p>
        </w:tc>
        <w:tc>
          <w:tcPr>
            <w:tcW w:w="132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8.1580</w:t>
            </w:r>
          </w:p>
        </w:tc>
        <w:tc>
          <w:tcPr>
            <w:tcW w:w="1082" w:type="dxa"/>
            <w:tcBorders>
              <w:top w:val="single" w:color="auto" w:sz="4" w:space="0"/>
              <w:left w:val="single" w:color="auto" w:sz="4" w:space="0"/>
              <w:bottom w:val="single" w:color="auto" w:sz="4" w:space="0"/>
              <w:right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4" w:hRule="atLeast"/>
        </w:trPr>
        <w:tc>
          <w:tcPr>
            <w:tcW w:w="1360"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堆存</w:t>
            </w:r>
          </w:p>
        </w:tc>
        <w:tc>
          <w:tcPr>
            <w:tcW w:w="132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TSP</w:t>
            </w:r>
          </w:p>
        </w:tc>
        <w:tc>
          <w:tcPr>
            <w:tcW w:w="178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900.0</w:t>
            </w:r>
          </w:p>
        </w:tc>
        <w:tc>
          <w:tcPr>
            <w:tcW w:w="16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64.6650</w:t>
            </w:r>
          </w:p>
        </w:tc>
        <w:tc>
          <w:tcPr>
            <w:tcW w:w="132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7.1850</w:t>
            </w:r>
          </w:p>
        </w:tc>
        <w:tc>
          <w:tcPr>
            <w:tcW w:w="1082" w:type="dxa"/>
            <w:tcBorders>
              <w:top w:val="single" w:color="auto" w:sz="4" w:space="0"/>
              <w:left w:val="single" w:color="auto" w:sz="4" w:space="0"/>
              <w:bottom w:val="single" w:color="auto" w:sz="4" w:space="0"/>
              <w:right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4" w:hRule="atLeast"/>
        </w:trPr>
        <w:tc>
          <w:tcPr>
            <w:tcW w:w="1360"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点源</w:t>
            </w:r>
          </w:p>
        </w:tc>
        <w:tc>
          <w:tcPr>
            <w:tcW w:w="132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PM</w:t>
            </w:r>
            <w:r>
              <w:rPr>
                <w:rFonts w:hint="default" w:ascii="Times New Roman" w:hAnsi="Times New Roman" w:eastAsia="宋体" w:cs="Times New Roman"/>
                <w:b w:val="0"/>
                <w:sz w:val="21"/>
                <w:szCs w:val="21"/>
                <w:vertAlign w:val="subscript"/>
              </w:rPr>
              <w:t>10</w:t>
            </w:r>
          </w:p>
        </w:tc>
        <w:tc>
          <w:tcPr>
            <w:tcW w:w="178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450.0</w:t>
            </w:r>
          </w:p>
        </w:tc>
        <w:tc>
          <w:tcPr>
            <w:tcW w:w="166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40.0200</w:t>
            </w:r>
          </w:p>
        </w:tc>
        <w:tc>
          <w:tcPr>
            <w:tcW w:w="132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8.8933</w:t>
            </w:r>
          </w:p>
        </w:tc>
        <w:tc>
          <w:tcPr>
            <w:tcW w:w="1082" w:type="dxa"/>
            <w:tcBorders>
              <w:top w:val="single" w:color="auto" w:sz="4" w:space="0"/>
              <w:left w:val="single" w:color="auto" w:sz="4" w:space="0"/>
              <w:bottom w:val="single" w:color="auto" w:sz="4" w:space="0"/>
              <w:right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b w:val="0"/>
                <w:sz w:val="21"/>
                <w:szCs w:val="21"/>
              </w:rPr>
              <w:t>/</w:t>
            </w:r>
          </w:p>
        </w:tc>
      </w:tr>
    </w:tbl>
    <w:p>
      <w:pPr>
        <w:snapToGrid w:val="0"/>
        <w:spacing w:beforeLines="50" w:line="360" w:lineRule="auto"/>
        <w:ind w:firstLine="480" w:firstLineChars="200"/>
        <w:rPr>
          <w:rFonts w:hint="default" w:ascii="Times New Roman" w:hAnsi="Times New Roman" w:eastAsia="宋体" w:cs="Times New Roman"/>
          <w:color w:val="auto"/>
          <w:highlight w:val="yellow"/>
        </w:rPr>
      </w:pPr>
      <w:r>
        <w:rPr>
          <w:rFonts w:hint="default" w:ascii="Times New Roman" w:hAnsi="Times New Roman" w:eastAsia="宋体" w:cs="Times New Roman"/>
          <w:b w:val="0"/>
          <w:sz w:val="24"/>
        </w:rPr>
        <w:t>本项目Pmax最大值出现为点源排放的PM</w:t>
      </w:r>
      <w:r>
        <w:rPr>
          <w:rFonts w:hint="default" w:ascii="Times New Roman" w:hAnsi="Times New Roman" w:eastAsia="宋体" w:cs="Times New Roman"/>
          <w:b w:val="0"/>
          <w:sz w:val="24"/>
          <w:vertAlign w:val="subscript"/>
        </w:rPr>
        <w:t>10</w:t>
      </w:r>
      <w:r>
        <w:rPr>
          <w:rFonts w:hint="default" w:ascii="Times New Roman" w:hAnsi="Times New Roman" w:eastAsia="宋体" w:cs="Times New Roman"/>
          <w:b w:val="0"/>
          <w:sz w:val="24"/>
        </w:rPr>
        <w:t>Pmax值为8.8933%，Cmax为40.02μg/m³。根据《环境影响评价技术导则 大气环境》（HJ2.2-2018）分级判据，确定本项目大气环境影响评价工作等级为</w:t>
      </w:r>
      <w:r>
        <w:rPr>
          <w:rFonts w:hint="default" w:ascii="Times New Roman" w:hAnsi="Times New Roman" w:eastAsia="宋体" w:cs="Times New Roman"/>
          <w:b w:val="0"/>
          <w:sz w:val="24"/>
          <w:highlight w:val="none"/>
        </w:rPr>
        <w:t>二级</w:t>
      </w:r>
      <w:r>
        <w:rPr>
          <w:rFonts w:hint="default" w:ascii="Times New Roman" w:hAnsi="Times New Roman" w:eastAsia="宋体" w:cs="Times New Roman"/>
          <w:b w:val="0"/>
          <w:color w:val="auto"/>
          <w:sz w:val="24"/>
          <w:highlight w:val="none"/>
        </w:rPr>
        <w:t>。</w:t>
      </w:r>
    </w:p>
    <w:p>
      <w:pPr>
        <w:spacing w:beforeLines="20" w:afterLines="2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（2）地表水环境影响评价等级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根据《环境影响评价技术导则——地表水环境》（HJ2.3-2018）中规定的</w:t>
      </w:r>
      <w:r>
        <w:rPr>
          <w:rFonts w:hint="default" w:ascii="Times New Roman" w:hAnsi="Times New Roman" w:eastAsia="宋体" w:cs="Times New Roman"/>
          <w:color w:val="auto"/>
          <w:sz w:val="24"/>
          <w:lang w:val="en-US" w:eastAsia="zh-CN"/>
        </w:rPr>
        <w:t>地表水</w:t>
      </w:r>
      <w:r>
        <w:rPr>
          <w:rFonts w:hint="default" w:ascii="Times New Roman" w:hAnsi="Times New Roman" w:eastAsia="宋体" w:cs="Times New Roman"/>
          <w:color w:val="auto"/>
          <w:sz w:val="24"/>
        </w:rPr>
        <w:t>环境影响评价工作等级划分的基本原则：</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表1.5-4             水污染影响型建设项目评价等级判定表</w:t>
      </w:r>
    </w:p>
    <w:tbl>
      <w:tblPr>
        <w:tblStyle w:val="51"/>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656"/>
        <w:gridCol w:w="1696"/>
        <w:gridCol w:w="593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19" w:type="dxa"/>
            <w:vMerge w:val="restart"/>
            <w:tcBorders>
              <w:top w:val="single" w:color="000000" w:sz="12" w:space="0"/>
              <w:left w:val="nil"/>
              <w:bottom w:val="single" w:color="000000" w:sz="4" w:space="0"/>
              <w:right w:val="single" w:color="000000" w:sz="4" w:space="0"/>
              <w:tl2br w:val="nil"/>
              <w:tr2bl w:val="nil"/>
            </w:tcBorders>
            <w:noWrap/>
            <w:vAlign w:val="center"/>
          </w:tcPr>
          <w:p>
            <w:pPr>
              <w:pStyle w:val="2"/>
              <w:spacing w:line="240" w:lineRule="atLeas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评价等级</w:t>
            </w:r>
          </w:p>
        </w:tc>
        <w:tc>
          <w:tcPr>
            <w:tcW w:w="6995" w:type="dxa"/>
            <w:gridSpan w:val="2"/>
            <w:tcBorders>
              <w:top w:val="single" w:color="000000" w:sz="12" w:space="0"/>
              <w:left w:val="single" w:color="000000" w:sz="4" w:space="0"/>
              <w:bottom w:val="single" w:color="000000" w:sz="4" w:space="0"/>
              <w:right w:val="nil"/>
              <w:tl2br w:val="nil"/>
              <w:tr2bl w:val="nil"/>
            </w:tcBorders>
            <w:noWrap/>
            <w:vAlign w:val="center"/>
          </w:tcPr>
          <w:p>
            <w:pPr>
              <w:pStyle w:val="2"/>
              <w:spacing w:line="240" w:lineRule="atLeast"/>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判定依据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19" w:type="dxa"/>
            <w:vMerge w:val="continue"/>
            <w:tcBorders>
              <w:top w:val="single" w:color="000000" w:sz="4" w:space="0"/>
              <w:left w:val="nil"/>
              <w:bottom w:val="single" w:color="000000" w:sz="4" w:space="0"/>
              <w:right w:val="single" w:color="000000" w:sz="4" w:space="0"/>
              <w:tl2br w:val="nil"/>
              <w:tr2bl w:val="nil"/>
            </w:tcBorders>
            <w:noWrap/>
            <w:vAlign w:val="center"/>
          </w:tcPr>
          <w:p>
            <w:pPr>
              <w:pStyle w:val="2"/>
              <w:spacing w:line="240" w:lineRule="atLeast"/>
              <w:ind w:firstLine="0" w:firstLineChars="0"/>
              <w:rPr>
                <w:rFonts w:hint="default" w:ascii="Times New Roman" w:hAnsi="Times New Roman" w:eastAsia="宋体" w:cs="Times New Roman"/>
                <w:color w:val="auto"/>
              </w:rPr>
            </w:pPr>
          </w:p>
        </w:tc>
        <w:tc>
          <w:tcPr>
            <w:tcW w:w="1555" w:type="dxa"/>
            <w:tcBorders>
              <w:top w:val="single" w:color="000000" w:sz="4" w:space="0"/>
              <w:left w:val="single" w:color="000000" w:sz="4" w:space="0"/>
              <w:bottom w:val="single" w:color="000000" w:sz="4" w:space="0"/>
              <w:right w:val="single" w:color="000000" w:sz="4" w:space="0"/>
              <w:tl2br w:val="nil"/>
              <w:tr2bl w:val="nil"/>
            </w:tcBorders>
            <w:noWrap/>
            <w:vAlign w:val="center"/>
          </w:tcPr>
          <w:p>
            <w:pPr>
              <w:pStyle w:val="2"/>
              <w:spacing w:line="240" w:lineRule="atLeas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排放方式</w:t>
            </w:r>
          </w:p>
        </w:tc>
        <w:tc>
          <w:tcPr>
            <w:tcW w:w="5440" w:type="dxa"/>
            <w:tcBorders>
              <w:top w:val="single" w:color="000000" w:sz="4" w:space="0"/>
              <w:left w:val="single" w:color="000000" w:sz="4" w:space="0"/>
              <w:bottom w:val="single" w:color="000000" w:sz="4" w:space="0"/>
              <w:right w:val="nil"/>
              <w:tl2br w:val="nil"/>
              <w:tr2bl w:val="nil"/>
            </w:tcBorders>
            <w:noWrap/>
            <w:vAlign w:val="center"/>
          </w:tcPr>
          <w:p>
            <w:pPr>
              <w:pStyle w:val="2"/>
              <w:spacing w:line="240" w:lineRule="atLeas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废水排放量Q/（m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/d）；水污染物当量数W/（无量纲）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19" w:type="dxa"/>
            <w:tcBorders>
              <w:top w:val="single" w:color="000000" w:sz="4" w:space="0"/>
              <w:left w:val="nil"/>
              <w:bottom w:val="single" w:color="000000" w:sz="4" w:space="0"/>
              <w:right w:val="single" w:color="000000" w:sz="4" w:space="0"/>
              <w:tl2br w:val="nil"/>
              <w:tr2bl w:val="nil"/>
            </w:tcBorders>
            <w:noWrap/>
            <w:vAlign w:val="center"/>
          </w:tcPr>
          <w:p>
            <w:pPr>
              <w:pStyle w:val="2"/>
              <w:spacing w:line="240" w:lineRule="atLeas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一级</w:t>
            </w:r>
          </w:p>
        </w:tc>
        <w:tc>
          <w:tcPr>
            <w:tcW w:w="1555" w:type="dxa"/>
            <w:tcBorders>
              <w:top w:val="single" w:color="000000" w:sz="4" w:space="0"/>
              <w:left w:val="single" w:color="000000" w:sz="4" w:space="0"/>
              <w:bottom w:val="single" w:color="000000" w:sz="4" w:space="0"/>
              <w:right w:val="single" w:color="000000" w:sz="4" w:space="0"/>
              <w:tl2br w:val="nil"/>
              <w:tr2bl w:val="nil"/>
            </w:tcBorders>
            <w:noWrap/>
            <w:vAlign w:val="center"/>
          </w:tcPr>
          <w:p>
            <w:pPr>
              <w:pStyle w:val="2"/>
              <w:spacing w:line="240" w:lineRule="atLeas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直接排放</w:t>
            </w:r>
          </w:p>
        </w:tc>
        <w:tc>
          <w:tcPr>
            <w:tcW w:w="5440" w:type="dxa"/>
            <w:tcBorders>
              <w:top w:val="single" w:color="000000" w:sz="4" w:space="0"/>
              <w:left w:val="single" w:color="000000" w:sz="4" w:space="0"/>
              <w:bottom w:val="single" w:color="000000" w:sz="4" w:space="0"/>
              <w:right w:val="nil"/>
              <w:tl2br w:val="nil"/>
              <w:tr2bl w:val="nil"/>
            </w:tcBorders>
            <w:noWrap/>
            <w:vAlign w:val="center"/>
          </w:tcPr>
          <w:p>
            <w:pPr>
              <w:pStyle w:val="2"/>
              <w:spacing w:line="240" w:lineRule="atLeas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Q≥20000或W≥600000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19" w:type="dxa"/>
            <w:tcBorders>
              <w:top w:val="single" w:color="000000" w:sz="4" w:space="0"/>
              <w:left w:val="nil"/>
              <w:bottom w:val="single" w:color="000000" w:sz="4" w:space="0"/>
              <w:right w:val="single" w:color="000000" w:sz="4" w:space="0"/>
              <w:tl2br w:val="nil"/>
              <w:tr2bl w:val="nil"/>
            </w:tcBorders>
            <w:noWrap/>
            <w:vAlign w:val="center"/>
          </w:tcPr>
          <w:p>
            <w:pPr>
              <w:pStyle w:val="2"/>
              <w:spacing w:line="240" w:lineRule="atLeas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二级</w:t>
            </w:r>
          </w:p>
        </w:tc>
        <w:tc>
          <w:tcPr>
            <w:tcW w:w="1555" w:type="dxa"/>
            <w:tcBorders>
              <w:top w:val="single" w:color="000000" w:sz="4" w:space="0"/>
              <w:left w:val="single" w:color="000000" w:sz="4" w:space="0"/>
              <w:bottom w:val="single" w:color="000000" w:sz="4" w:space="0"/>
              <w:right w:val="single" w:color="000000" w:sz="4" w:space="0"/>
              <w:tl2br w:val="nil"/>
              <w:tr2bl w:val="nil"/>
            </w:tcBorders>
            <w:noWrap/>
            <w:vAlign w:val="center"/>
          </w:tcPr>
          <w:p>
            <w:pPr>
              <w:pStyle w:val="2"/>
              <w:spacing w:line="240" w:lineRule="atLeas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直接排放</w:t>
            </w:r>
          </w:p>
        </w:tc>
        <w:tc>
          <w:tcPr>
            <w:tcW w:w="5440" w:type="dxa"/>
            <w:tcBorders>
              <w:top w:val="single" w:color="000000" w:sz="4" w:space="0"/>
              <w:left w:val="single" w:color="000000" w:sz="4" w:space="0"/>
              <w:bottom w:val="single" w:color="000000" w:sz="4" w:space="0"/>
              <w:right w:val="nil"/>
              <w:tl2br w:val="nil"/>
              <w:tr2bl w:val="nil"/>
            </w:tcBorders>
            <w:noWrap/>
            <w:vAlign w:val="center"/>
          </w:tcPr>
          <w:p>
            <w:pPr>
              <w:pStyle w:val="2"/>
              <w:spacing w:line="240" w:lineRule="atLeas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其他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19" w:type="dxa"/>
            <w:tcBorders>
              <w:top w:val="single" w:color="000000" w:sz="4" w:space="0"/>
              <w:left w:val="nil"/>
              <w:bottom w:val="single" w:color="000000" w:sz="4" w:space="0"/>
              <w:right w:val="single" w:color="000000" w:sz="4" w:space="0"/>
              <w:tl2br w:val="nil"/>
              <w:tr2bl w:val="nil"/>
            </w:tcBorders>
            <w:noWrap/>
            <w:vAlign w:val="center"/>
          </w:tcPr>
          <w:p>
            <w:pPr>
              <w:pStyle w:val="2"/>
              <w:spacing w:line="240" w:lineRule="atLeas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三级A</w:t>
            </w:r>
          </w:p>
        </w:tc>
        <w:tc>
          <w:tcPr>
            <w:tcW w:w="1555" w:type="dxa"/>
            <w:tcBorders>
              <w:top w:val="single" w:color="000000" w:sz="4" w:space="0"/>
              <w:left w:val="single" w:color="000000" w:sz="4" w:space="0"/>
              <w:bottom w:val="single" w:color="000000" w:sz="4" w:space="0"/>
              <w:right w:val="single" w:color="000000" w:sz="4" w:space="0"/>
              <w:tl2br w:val="nil"/>
              <w:tr2bl w:val="nil"/>
            </w:tcBorders>
            <w:noWrap/>
            <w:vAlign w:val="center"/>
          </w:tcPr>
          <w:p>
            <w:pPr>
              <w:pStyle w:val="2"/>
              <w:spacing w:line="240" w:lineRule="atLeas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直接排放</w:t>
            </w:r>
          </w:p>
        </w:tc>
        <w:tc>
          <w:tcPr>
            <w:tcW w:w="5440" w:type="dxa"/>
            <w:tcBorders>
              <w:top w:val="single" w:color="000000" w:sz="4" w:space="0"/>
              <w:left w:val="single" w:color="000000" w:sz="4" w:space="0"/>
              <w:bottom w:val="single" w:color="000000" w:sz="4" w:space="0"/>
              <w:right w:val="nil"/>
              <w:tl2br w:val="nil"/>
              <w:tr2bl w:val="nil"/>
            </w:tcBorders>
            <w:noWrap/>
            <w:vAlign w:val="center"/>
          </w:tcPr>
          <w:p>
            <w:pPr>
              <w:pStyle w:val="2"/>
              <w:spacing w:line="240" w:lineRule="atLeas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Q＜200或W＜600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19" w:type="dxa"/>
            <w:tcBorders>
              <w:top w:val="single" w:color="000000" w:sz="4" w:space="0"/>
              <w:left w:val="nil"/>
              <w:bottom w:val="single" w:color="000000" w:sz="12" w:space="0"/>
              <w:right w:val="single" w:color="000000" w:sz="4" w:space="0"/>
              <w:tl2br w:val="nil"/>
              <w:tr2bl w:val="nil"/>
            </w:tcBorders>
            <w:noWrap/>
            <w:vAlign w:val="center"/>
          </w:tcPr>
          <w:p>
            <w:pPr>
              <w:pStyle w:val="2"/>
              <w:spacing w:line="240" w:lineRule="atLeas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三级B</w:t>
            </w:r>
          </w:p>
        </w:tc>
        <w:tc>
          <w:tcPr>
            <w:tcW w:w="1555" w:type="dxa"/>
            <w:tcBorders>
              <w:top w:val="single" w:color="000000" w:sz="4" w:space="0"/>
              <w:left w:val="single" w:color="000000" w:sz="4" w:space="0"/>
              <w:bottom w:val="single" w:color="000000" w:sz="12" w:space="0"/>
              <w:right w:val="single" w:color="000000" w:sz="4" w:space="0"/>
              <w:tl2br w:val="nil"/>
              <w:tr2bl w:val="nil"/>
            </w:tcBorders>
            <w:noWrap/>
            <w:vAlign w:val="center"/>
          </w:tcPr>
          <w:p>
            <w:pPr>
              <w:pStyle w:val="2"/>
              <w:spacing w:line="240" w:lineRule="atLeas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间接排放</w:t>
            </w:r>
          </w:p>
        </w:tc>
        <w:tc>
          <w:tcPr>
            <w:tcW w:w="5440" w:type="dxa"/>
            <w:tcBorders>
              <w:top w:val="single" w:color="000000" w:sz="4" w:space="0"/>
              <w:left w:val="single" w:color="000000" w:sz="4" w:space="0"/>
              <w:bottom w:val="single" w:color="000000" w:sz="12" w:space="0"/>
              <w:right w:val="nil"/>
              <w:tl2br w:val="nil"/>
              <w:tr2bl w:val="nil"/>
            </w:tcBorders>
            <w:noWrap/>
            <w:vAlign w:val="center"/>
          </w:tcPr>
          <w:p>
            <w:pPr>
              <w:pStyle w:val="2"/>
              <w:spacing w:line="240" w:lineRule="atLeas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bl>
    <w:p>
      <w:pPr>
        <w:spacing w:beforeLines="50" w:line="360" w:lineRule="auto"/>
        <w:ind w:firstLine="480" w:firstLineChars="200"/>
        <w:rPr>
          <w:rFonts w:hint="default" w:ascii="Times New Roman" w:hAnsi="Times New Roman" w:eastAsia="宋体" w:cs="Times New Roman"/>
          <w:sz w:val="24"/>
          <w:szCs w:val="20"/>
        </w:rPr>
      </w:pPr>
      <w:r>
        <w:rPr>
          <w:rFonts w:hint="default" w:ascii="Times New Roman" w:hAnsi="Times New Roman" w:eastAsia="宋体" w:cs="Times New Roman"/>
          <w:sz w:val="24"/>
          <w:szCs w:val="20"/>
        </w:rPr>
        <w:t>本项目无废水外排，选矿废水全部厂区内循环回用于生产，生活污水排入防渗化粪池，定期清掏、用作农肥。</w:t>
      </w:r>
    </w:p>
    <w:p>
      <w:pPr>
        <w:spacing w:beforeLines="20" w:afterLines="2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sz w:val="24"/>
          <w:szCs w:val="20"/>
        </w:rPr>
        <w:t>根据《环境影响评价技术导则——地表水环境》（HJ2.3-2018），建设项目生产工艺中有废水产生，但作为回水利用，不排放到外环境的，按三级B评价，可不进行水环境影响预测，仅分析其依托污水处理设施环境可行性</w:t>
      </w:r>
      <w:r>
        <w:rPr>
          <w:rFonts w:hint="default" w:ascii="Times New Roman" w:hAnsi="Times New Roman" w:eastAsia="宋体" w:cs="Times New Roman"/>
          <w:color w:val="auto"/>
          <w:sz w:val="24"/>
        </w:rPr>
        <w:t>。</w:t>
      </w:r>
    </w:p>
    <w:p>
      <w:pPr>
        <w:spacing w:beforeLines="20" w:afterLines="2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（3）地下水环境影响评价等级</w:t>
      </w:r>
    </w:p>
    <w:p>
      <w:pPr>
        <w:spacing w:beforeLines="20" w:afterLines="2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根据《环境影响评价技术导则——地下水环境》（HJ610-2016）规定，评价工作等级的划分应依据建设项目行业分类和地下水敏感程度分级进行判定。地表水评价等级划分见表1.5-5。</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表1.5-5                  地下水评价工作等级分级</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2902"/>
        <w:gridCol w:w="1915"/>
        <w:gridCol w:w="2448"/>
        <w:gridCol w:w="192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608" w:type="dxa"/>
            <w:tcBorders>
              <w:top w:val="single" w:color="auto" w:sz="4" w:space="0"/>
              <w:left w:val="nil"/>
              <w:bottom w:val="single" w:color="auto" w:sz="4" w:space="0"/>
              <w:right w:val="single" w:color="auto" w:sz="4" w:space="0"/>
              <w:tl2br w:val="nil"/>
              <w:tr2bl w:val="nil"/>
            </w:tcBorders>
            <w:noWrap/>
            <w:vAlign w:val="center"/>
          </w:tcPr>
          <w:p>
            <w:pPr>
              <w:adjustRightInd w:val="0"/>
              <w:snapToGrid w:val="0"/>
              <w:spacing w:line="460" w:lineRule="exact"/>
              <w:jc w:val="right"/>
              <w:rPr>
                <w:rFonts w:hint="default" w:ascii="Times New Roman" w:hAnsi="Times New Roman" w:eastAsia="宋体" w:cs="Times New Roman"/>
                <w:color w:val="auto"/>
              </w:rPr>
            </w:pPr>
            <w:r>
              <w:rPr>
                <w:rFonts w:hint="default" w:ascii="Times New Roman" w:hAnsi="Times New Roman" w:eastAsia="宋体" w:cs="Times New Roman"/>
                <w:color w:val="auto"/>
              </w:rPr>
              <w:t>项目类别</w:t>
            </w:r>
          </w:p>
          <w:p>
            <w:pPr>
              <w:adjustRightInd w:val="0"/>
              <w:snapToGrid w:val="0"/>
              <w:spacing w:line="460" w:lineRule="exact"/>
              <w:jc w:val="left"/>
              <w:rPr>
                <w:rFonts w:hint="default" w:ascii="Times New Roman" w:hAnsi="Times New Roman" w:eastAsia="宋体" w:cs="Times New Roman"/>
                <w:color w:val="auto"/>
              </w:rPr>
            </w:pPr>
            <w:r>
              <w:rPr>
                <w:rFonts w:hint="default" w:ascii="Times New Roman" w:hAnsi="Times New Roman" w:eastAsia="宋体" w:cs="Times New Roman"/>
                <w:color w:val="auto"/>
              </w:rPr>
              <w:t>环境敏感程度</w:t>
            </w:r>
          </w:p>
        </w:tc>
        <w:tc>
          <w:tcPr>
            <w:tcW w:w="1720" w:type="dxa"/>
            <w:tcBorders>
              <w:top w:val="single" w:color="auto" w:sz="4" w:space="0"/>
              <w:left w:val="single" w:color="auto" w:sz="4" w:space="0"/>
              <w:bottom w:val="single" w:color="auto" w:sz="4" w:space="0"/>
              <w:right w:val="single" w:color="auto" w:sz="4" w:space="0"/>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Ⅰ类</w:t>
            </w:r>
          </w:p>
        </w:tc>
        <w:tc>
          <w:tcPr>
            <w:tcW w:w="2200" w:type="dxa"/>
            <w:tcBorders>
              <w:top w:val="single" w:color="auto" w:sz="4" w:space="0"/>
              <w:left w:val="single" w:color="auto" w:sz="4" w:space="0"/>
              <w:bottom w:val="single" w:color="auto" w:sz="4" w:space="0"/>
              <w:right w:val="single" w:color="auto" w:sz="4" w:space="0"/>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Ⅱ类</w:t>
            </w:r>
          </w:p>
        </w:tc>
        <w:tc>
          <w:tcPr>
            <w:tcW w:w="1726" w:type="dxa"/>
            <w:tcBorders>
              <w:top w:val="single" w:color="auto" w:sz="4" w:space="0"/>
              <w:left w:val="single" w:color="auto" w:sz="4" w:space="0"/>
              <w:bottom w:val="single" w:color="auto" w:sz="4" w:space="0"/>
              <w:right w:val="nil"/>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Ⅲ类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608" w:type="dxa"/>
            <w:tcBorders>
              <w:top w:val="single" w:color="auto" w:sz="4" w:space="0"/>
              <w:left w:val="nil"/>
              <w:bottom w:val="single" w:color="auto" w:sz="4" w:space="0"/>
              <w:right w:val="single" w:color="auto" w:sz="4" w:space="0"/>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敏感</w:t>
            </w:r>
          </w:p>
        </w:tc>
        <w:tc>
          <w:tcPr>
            <w:tcW w:w="1720" w:type="dxa"/>
            <w:tcBorders>
              <w:top w:val="single" w:color="auto" w:sz="4" w:space="0"/>
              <w:left w:val="single" w:color="auto" w:sz="4" w:space="0"/>
              <w:bottom w:val="single" w:color="auto" w:sz="4" w:space="0"/>
              <w:right w:val="single" w:color="auto" w:sz="4" w:space="0"/>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一</w:t>
            </w:r>
          </w:p>
        </w:tc>
        <w:tc>
          <w:tcPr>
            <w:tcW w:w="2200" w:type="dxa"/>
            <w:tcBorders>
              <w:top w:val="single" w:color="auto" w:sz="4" w:space="0"/>
              <w:left w:val="single" w:color="auto" w:sz="4" w:space="0"/>
              <w:bottom w:val="single" w:color="auto" w:sz="4" w:space="0"/>
              <w:right w:val="single" w:color="auto" w:sz="4" w:space="0"/>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一</w:t>
            </w:r>
          </w:p>
        </w:tc>
        <w:tc>
          <w:tcPr>
            <w:tcW w:w="1726" w:type="dxa"/>
            <w:tcBorders>
              <w:top w:val="single" w:color="auto" w:sz="4" w:space="0"/>
              <w:left w:val="single" w:color="auto" w:sz="4" w:space="0"/>
              <w:bottom w:val="single" w:color="auto" w:sz="4" w:space="0"/>
              <w:right w:val="nil"/>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二</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608" w:type="dxa"/>
            <w:tcBorders>
              <w:top w:val="single" w:color="auto" w:sz="4" w:space="0"/>
              <w:left w:val="nil"/>
              <w:bottom w:val="single" w:color="auto" w:sz="4" w:space="0"/>
              <w:right w:val="single" w:color="auto" w:sz="4" w:space="0"/>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较敏感</w:t>
            </w:r>
          </w:p>
        </w:tc>
        <w:tc>
          <w:tcPr>
            <w:tcW w:w="1720" w:type="dxa"/>
            <w:tcBorders>
              <w:top w:val="single" w:color="auto" w:sz="4" w:space="0"/>
              <w:left w:val="single" w:color="auto" w:sz="4" w:space="0"/>
              <w:bottom w:val="single" w:color="auto" w:sz="4" w:space="0"/>
              <w:right w:val="single" w:color="auto" w:sz="4" w:space="0"/>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一</w:t>
            </w:r>
          </w:p>
        </w:tc>
        <w:tc>
          <w:tcPr>
            <w:tcW w:w="2200" w:type="dxa"/>
            <w:tcBorders>
              <w:top w:val="single" w:color="auto" w:sz="4" w:space="0"/>
              <w:left w:val="single" w:color="auto" w:sz="4" w:space="0"/>
              <w:bottom w:val="single" w:color="auto" w:sz="4" w:space="0"/>
              <w:right w:val="single" w:color="auto" w:sz="4" w:space="0"/>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二</w:t>
            </w:r>
          </w:p>
        </w:tc>
        <w:tc>
          <w:tcPr>
            <w:tcW w:w="1726" w:type="dxa"/>
            <w:tcBorders>
              <w:top w:val="single" w:color="auto" w:sz="4" w:space="0"/>
              <w:left w:val="single" w:color="auto" w:sz="4" w:space="0"/>
              <w:bottom w:val="single" w:color="auto" w:sz="4" w:space="0"/>
              <w:right w:val="nil"/>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608" w:type="dxa"/>
            <w:tcBorders>
              <w:top w:val="single" w:color="auto" w:sz="4" w:space="0"/>
              <w:left w:val="nil"/>
              <w:bottom w:val="single" w:color="auto" w:sz="4" w:space="0"/>
              <w:right w:val="single" w:color="auto" w:sz="4" w:space="0"/>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不敏感</w:t>
            </w:r>
          </w:p>
        </w:tc>
        <w:tc>
          <w:tcPr>
            <w:tcW w:w="1720" w:type="dxa"/>
            <w:tcBorders>
              <w:top w:val="single" w:color="auto" w:sz="4" w:space="0"/>
              <w:left w:val="single" w:color="auto" w:sz="4" w:space="0"/>
              <w:bottom w:val="single" w:color="auto" w:sz="4" w:space="0"/>
              <w:right w:val="single" w:color="auto" w:sz="4" w:space="0"/>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二</w:t>
            </w:r>
          </w:p>
        </w:tc>
        <w:tc>
          <w:tcPr>
            <w:tcW w:w="2200" w:type="dxa"/>
            <w:tcBorders>
              <w:top w:val="single" w:color="auto" w:sz="4" w:space="0"/>
              <w:left w:val="single" w:color="auto" w:sz="4" w:space="0"/>
              <w:bottom w:val="single" w:color="auto" w:sz="4" w:space="0"/>
              <w:right w:val="single" w:color="auto" w:sz="4" w:space="0"/>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三</w:t>
            </w:r>
          </w:p>
        </w:tc>
        <w:tc>
          <w:tcPr>
            <w:tcW w:w="1726" w:type="dxa"/>
            <w:tcBorders>
              <w:top w:val="single" w:color="auto" w:sz="4" w:space="0"/>
              <w:left w:val="single" w:color="auto" w:sz="4" w:space="0"/>
              <w:bottom w:val="single" w:color="auto" w:sz="4" w:space="0"/>
              <w:right w:val="nil"/>
              <w:tl2br w:val="nil"/>
              <w:tr2bl w:val="nil"/>
            </w:tcBorders>
            <w:noWrap/>
            <w:vAlign w:val="center"/>
          </w:tcPr>
          <w:p>
            <w:pPr>
              <w:adjustRightInd w:val="0"/>
              <w:snapToGrid w:val="0"/>
              <w:spacing w:line="460" w:lineRule="exact"/>
              <w:jc w:val="center"/>
              <w:rPr>
                <w:rFonts w:hint="default" w:ascii="Times New Roman" w:hAnsi="Times New Roman" w:eastAsia="宋体" w:cs="Times New Roman"/>
                <w:color w:val="auto"/>
              </w:rPr>
            </w:pPr>
            <w:r>
              <w:rPr>
                <w:rFonts w:hint="default" w:ascii="Times New Roman" w:hAnsi="Times New Roman" w:eastAsia="宋体" w:cs="Times New Roman"/>
                <w:b/>
                <w:color w:val="auto"/>
              </w:rPr>
              <w:t>三</w:t>
            </w:r>
          </w:p>
        </w:tc>
      </w:tr>
    </w:tbl>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①项目类别</w:t>
      </w:r>
    </w:p>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根据</w:t>
      </w:r>
      <w:r>
        <w:rPr>
          <w:rFonts w:hint="default" w:ascii="Times New Roman" w:hAnsi="Times New Roman" w:eastAsia="宋体" w:cs="Times New Roman"/>
          <w:color w:val="auto"/>
          <w:sz w:val="24"/>
        </w:rPr>
        <w:t>《环境影响评价技术导则——地下水环境》（HJ610-2016）附录A</w:t>
      </w:r>
      <w:r>
        <w:rPr>
          <w:rFonts w:hint="default" w:ascii="Times New Roman" w:hAnsi="Times New Roman" w:eastAsia="宋体" w:cs="Times New Roman"/>
          <w:color w:val="auto"/>
          <w:sz w:val="24"/>
          <w:lang w:eastAsia="zh-CN"/>
        </w:rPr>
        <w:t>，本项目为铁矿选厂项目，不涉及尾矿库及排土场，地下水环境影响评价项目类别为II类项目</w:t>
      </w:r>
      <w:r>
        <w:rPr>
          <w:rFonts w:hint="default" w:ascii="Times New Roman" w:hAnsi="Times New Roman" w:eastAsia="宋体" w:cs="Times New Roman"/>
          <w:color w:val="auto"/>
          <w:sz w:val="24"/>
          <w:szCs w:val="24"/>
        </w:rPr>
        <w:t>。</w:t>
      </w:r>
    </w:p>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②环境敏感程度</w:t>
      </w:r>
    </w:p>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根据现场调查，</w:t>
      </w:r>
      <w:r>
        <w:rPr>
          <w:rFonts w:hint="default" w:ascii="Times New Roman" w:hAnsi="Times New Roman" w:eastAsia="宋体" w:cs="Times New Roman"/>
          <w:color w:val="auto"/>
          <w:sz w:val="24"/>
          <w:szCs w:val="24"/>
        </w:rPr>
        <w:t>项目所在地</w:t>
      </w:r>
      <w:r>
        <w:rPr>
          <w:rFonts w:hint="default" w:ascii="Times New Roman" w:hAnsi="Times New Roman" w:eastAsia="宋体" w:cs="Times New Roman"/>
          <w:color w:val="auto"/>
          <w:sz w:val="24"/>
          <w:szCs w:val="24"/>
          <w:lang w:val="en-US" w:eastAsia="zh-CN"/>
        </w:rPr>
        <w:t>范围存在</w:t>
      </w:r>
      <w:r>
        <w:rPr>
          <w:rFonts w:hint="default" w:ascii="Times New Roman" w:hAnsi="Times New Roman" w:eastAsia="宋体" w:cs="Times New Roman"/>
          <w:color w:val="auto"/>
          <w:sz w:val="24"/>
          <w:szCs w:val="24"/>
        </w:rPr>
        <w:t>分散式饮用水水源地，本建设项目的地下水环境敏感程度为“</w:t>
      </w:r>
      <w:r>
        <w:rPr>
          <w:rFonts w:hint="default" w:ascii="Times New Roman" w:hAnsi="Times New Roman" w:eastAsia="宋体" w:cs="Times New Roman"/>
          <w:color w:val="auto"/>
          <w:sz w:val="24"/>
          <w:szCs w:val="24"/>
          <w:lang w:val="en-US" w:eastAsia="zh-CN"/>
        </w:rPr>
        <w:t>较</w:t>
      </w:r>
      <w:r>
        <w:rPr>
          <w:rFonts w:hint="default" w:ascii="Times New Roman" w:hAnsi="Times New Roman" w:eastAsia="宋体" w:cs="Times New Roman"/>
          <w:color w:val="auto"/>
          <w:sz w:val="24"/>
          <w:szCs w:val="24"/>
        </w:rPr>
        <w:t>敏感”</w:t>
      </w:r>
      <w:r>
        <w:rPr>
          <w:rFonts w:hint="default" w:ascii="Times New Roman" w:hAnsi="Times New Roman" w:eastAsia="宋体" w:cs="Times New Roman"/>
          <w:color w:val="auto"/>
          <w:sz w:val="24"/>
        </w:rPr>
        <w:t>。</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表1.5-6                  地下水环境敏感程度分级表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3"/>
        <w:gridCol w:w="80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5" w:type="dxa"/>
            <w:tcBorders>
              <w:top w:val="single" w:color="auto" w:sz="12" w:space="0"/>
              <w:left w:val="nil"/>
              <w:bottom w:val="single" w:color="auto" w:sz="4" w:space="0"/>
              <w:right w:val="single" w:color="auto" w:sz="4" w:space="0"/>
              <w:tl2br w:val="nil"/>
              <w:tr2bl w:val="nil"/>
            </w:tcBorders>
            <w:noWrap/>
            <w:vAlign w:val="center"/>
          </w:tcPr>
          <w:p>
            <w:pPr>
              <w:pStyle w:val="497"/>
              <w:spacing w:line="360" w:lineRule="exact"/>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敏感程度</w:t>
            </w:r>
          </w:p>
        </w:tc>
        <w:tc>
          <w:tcPr>
            <w:tcW w:w="7220" w:type="dxa"/>
            <w:tcBorders>
              <w:top w:val="single" w:color="auto" w:sz="12" w:space="0"/>
              <w:left w:val="single" w:color="auto" w:sz="4" w:space="0"/>
              <w:bottom w:val="single" w:color="auto" w:sz="4" w:space="0"/>
              <w:right w:val="nil"/>
              <w:tl2br w:val="nil"/>
              <w:tr2bl w:val="nil"/>
            </w:tcBorders>
            <w:noWrap/>
            <w:vAlign w:val="center"/>
          </w:tcPr>
          <w:p>
            <w:pPr>
              <w:pStyle w:val="497"/>
              <w:spacing w:line="360" w:lineRule="exact"/>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地下水环境敏感特征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5" w:type="dxa"/>
            <w:tcBorders>
              <w:top w:val="single" w:color="auto" w:sz="4" w:space="0"/>
              <w:left w:val="nil"/>
              <w:bottom w:val="single" w:color="auto" w:sz="4" w:space="0"/>
              <w:right w:val="single" w:color="auto" w:sz="4" w:space="0"/>
              <w:tl2br w:val="nil"/>
              <w:tr2bl w:val="nil"/>
            </w:tcBorders>
            <w:noWrap/>
            <w:vAlign w:val="center"/>
          </w:tcPr>
          <w:p>
            <w:pPr>
              <w:pStyle w:val="497"/>
              <w:spacing w:line="360" w:lineRule="exact"/>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敏感</w:t>
            </w:r>
          </w:p>
        </w:tc>
        <w:tc>
          <w:tcPr>
            <w:tcW w:w="7220" w:type="dxa"/>
            <w:tcBorders>
              <w:top w:val="single" w:color="auto" w:sz="4" w:space="0"/>
              <w:left w:val="single" w:color="auto" w:sz="4" w:space="0"/>
              <w:bottom w:val="single" w:color="auto" w:sz="4" w:space="0"/>
              <w:right w:val="nil"/>
              <w:tl2br w:val="nil"/>
              <w:tr2bl w:val="nil"/>
            </w:tcBorders>
            <w:noWrap/>
            <w:vAlign w:val="center"/>
          </w:tcPr>
          <w:p>
            <w:pPr>
              <w:pStyle w:val="497"/>
              <w:spacing w:line="360" w:lineRule="exact"/>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5" w:type="dxa"/>
            <w:tcBorders>
              <w:top w:val="single" w:color="auto" w:sz="4" w:space="0"/>
              <w:left w:val="nil"/>
              <w:bottom w:val="single" w:color="auto" w:sz="4" w:space="0"/>
              <w:right w:val="single" w:color="auto" w:sz="4" w:space="0"/>
              <w:tl2br w:val="nil"/>
              <w:tr2bl w:val="nil"/>
            </w:tcBorders>
            <w:noWrap/>
            <w:vAlign w:val="center"/>
          </w:tcPr>
          <w:p>
            <w:pPr>
              <w:pStyle w:val="497"/>
              <w:spacing w:line="360" w:lineRule="exact"/>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较敏感</w:t>
            </w:r>
          </w:p>
        </w:tc>
        <w:tc>
          <w:tcPr>
            <w:tcW w:w="7220" w:type="dxa"/>
            <w:tcBorders>
              <w:top w:val="single" w:color="auto" w:sz="4" w:space="0"/>
              <w:left w:val="single" w:color="auto" w:sz="4" w:space="0"/>
              <w:bottom w:val="single" w:color="auto" w:sz="4" w:space="0"/>
              <w:right w:val="nil"/>
              <w:tl2br w:val="nil"/>
              <w:tr2bl w:val="nil"/>
            </w:tcBorders>
            <w:noWrap/>
            <w:vAlign w:val="center"/>
          </w:tcPr>
          <w:p>
            <w:pPr>
              <w:pStyle w:val="497"/>
              <w:spacing w:line="360" w:lineRule="exact"/>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5" w:type="dxa"/>
            <w:tcBorders>
              <w:top w:val="single" w:color="auto" w:sz="4" w:space="0"/>
              <w:left w:val="nil"/>
              <w:bottom w:val="single" w:color="auto" w:sz="12" w:space="0"/>
              <w:right w:val="single" w:color="auto" w:sz="4" w:space="0"/>
              <w:tl2br w:val="nil"/>
              <w:tr2bl w:val="nil"/>
            </w:tcBorders>
            <w:noWrap/>
            <w:vAlign w:val="center"/>
          </w:tcPr>
          <w:p>
            <w:pPr>
              <w:pStyle w:val="497"/>
              <w:spacing w:line="360" w:lineRule="exact"/>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不敏感</w:t>
            </w:r>
          </w:p>
        </w:tc>
        <w:tc>
          <w:tcPr>
            <w:tcW w:w="7220" w:type="dxa"/>
            <w:tcBorders>
              <w:top w:val="single" w:color="auto" w:sz="4" w:space="0"/>
              <w:left w:val="single" w:color="auto" w:sz="4" w:space="0"/>
              <w:bottom w:val="single" w:color="auto" w:sz="12" w:space="0"/>
              <w:right w:val="nil"/>
              <w:tl2br w:val="nil"/>
              <w:tr2bl w:val="nil"/>
            </w:tcBorders>
            <w:noWrap/>
            <w:vAlign w:val="center"/>
          </w:tcPr>
          <w:p>
            <w:pPr>
              <w:pStyle w:val="497"/>
              <w:spacing w:line="360" w:lineRule="exact"/>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上述地区之外的其它地区。</w:t>
            </w:r>
          </w:p>
        </w:tc>
      </w:tr>
    </w:tbl>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根据《环境影响评价技术导则——地下水环境》（HJ610-2016），本项目地下水环境影响评价工作等级为</w:t>
      </w:r>
      <w:r>
        <w:rPr>
          <w:rFonts w:hint="default" w:ascii="Times New Roman" w:hAnsi="Times New Roman" w:eastAsia="宋体" w:cs="Times New Roman"/>
          <w:color w:val="auto"/>
          <w:sz w:val="24"/>
          <w:lang w:eastAsia="zh-CN"/>
        </w:rPr>
        <w:t>二</w:t>
      </w:r>
      <w:r>
        <w:rPr>
          <w:rFonts w:hint="default" w:ascii="Times New Roman" w:hAnsi="Times New Roman" w:eastAsia="宋体" w:cs="Times New Roman"/>
          <w:color w:val="auto"/>
          <w:sz w:val="24"/>
        </w:rPr>
        <w:t>级。</w:t>
      </w:r>
    </w:p>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（4）声环境影响评价等级</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根据《环境影响评价技术导则  声环境》（HJ2.4-2009）中规定的声环境影响评价工作等级划分的基本原则：“建设项目所处的声环境功能区为GB3096规定的1类、2类地区，或建设项目建设前后评价范围内敏感目标噪声级增高量达3</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5dB（A）[含5dB（A）]，或受噪声影响的人口数量增加较多时，按二级评价。</w:t>
      </w:r>
      <w:r>
        <w:rPr>
          <w:rFonts w:hint="default" w:ascii="Times New Roman" w:hAnsi="Times New Roman" w:eastAsia="宋体" w:cs="Times New Roman"/>
          <w:sz w:val="24"/>
          <w:szCs w:val="24"/>
          <w:lang w:val="en-US" w:eastAsia="zh-CN"/>
        </w:rPr>
        <w:t>建设项目所处的声环境功能区为</w:t>
      </w:r>
      <w:r>
        <w:rPr>
          <w:rFonts w:hint="default" w:ascii="Times New Roman" w:hAnsi="Times New Roman" w:eastAsia="宋体" w:cs="Times New Roman"/>
          <w:sz w:val="24"/>
          <w:szCs w:val="24"/>
        </w:rPr>
        <w:t>GB3096</w:t>
      </w:r>
      <w:r>
        <w:rPr>
          <w:rFonts w:hint="default" w:ascii="Times New Roman" w:hAnsi="Times New Roman" w:eastAsia="宋体" w:cs="Times New Roman"/>
          <w:sz w:val="24"/>
          <w:szCs w:val="24"/>
          <w:lang w:val="en-US" w:eastAsia="zh-CN"/>
        </w:rPr>
        <w:t>规定的3类、4类地区，或建设项目建设前后评价范围内敏感目标噪声级增高量在3dB（A）以下[不含3dB（A）]，且受影响人口数量变化不大时，按三级评价</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。本项目位于声环境功能区1类区，噪声为二级评价。</w:t>
      </w:r>
    </w:p>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（5）土壤环境影响评价等级</w:t>
      </w:r>
    </w:p>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根据《环境影响评价技术导则—土壤环境（试行）》（HJ 964-2018）中：6.1土壤环境影响评价工作等级划分为一级、二级、和三级。本项目属于污染影响型建设项目，评价工作等级划分依据为占地规模、项目类别和敏感程度。建设项目评价等级划分见下表：</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表1.5-7                   污染影响型敏感程度分级表</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7"/>
        <w:gridCol w:w="804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noWrap/>
            <w:vAlign w:val="center"/>
          </w:tcPr>
          <w:p>
            <w:pPr>
              <w:jc w:val="center"/>
              <w:rPr>
                <w:rFonts w:hint="default" w:ascii="Times New Roman" w:hAnsi="Times New Roman" w:eastAsia="宋体" w:cs="Times New Roman"/>
                <w:color w:val="auto"/>
              </w:rPr>
            </w:pPr>
            <w:r>
              <w:rPr>
                <w:rFonts w:hint="default" w:ascii="Times New Roman" w:hAnsi="Times New Roman" w:eastAsia="宋体" w:cs="Times New Roman"/>
                <w:color w:val="auto"/>
                <w:szCs w:val="21"/>
              </w:rPr>
              <w:t>敏感程度</w:t>
            </w:r>
          </w:p>
        </w:tc>
        <w:tc>
          <w:tcPr>
            <w:tcW w:w="7220" w:type="dxa"/>
            <w:noWrap/>
            <w:vAlign w:val="center"/>
          </w:tcPr>
          <w:p>
            <w:pPr>
              <w:jc w:val="center"/>
              <w:rPr>
                <w:rFonts w:hint="default" w:ascii="Times New Roman" w:hAnsi="Times New Roman" w:eastAsia="宋体" w:cs="Times New Roman"/>
                <w:color w:val="auto"/>
              </w:rPr>
            </w:pPr>
            <w:r>
              <w:rPr>
                <w:rFonts w:hint="default" w:ascii="Times New Roman" w:hAnsi="Times New Roman" w:eastAsia="宋体" w:cs="Times New Roman"/>
                <w:color w:val="auto"/>
                <w:szCs w:val="21"/>
              </w:rPr>
              <w:t>判别依据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noWrap/>
            <w:vAlign w:val="center"/>
          </w:tcPr>
          <w:p>
            <w:pPr>
              <w:jc w:val="center"/>
              <w:rPr>
                <w:rFonts w:hint="default" w:ascii="Times New Roman" w:hAnsi="Times New Roman" w:eastAsia="宋体" w:cs="Times New Roman"/>
                <w:color w:val="auto"/>
              </w:rPr>
            </w:pPr>
            <w:r>
              <w:rPr>
                <w:rFonts w:hint="default" w:ascii="Times New Roman" w:hAnsi="Times New Roman" w:eastAsia="宋体" w:cs="Times New Roman"/>
                <w:color w:val="auto"/>
                <w:szCs w:val="21"/>
              </w:rPr>
              <w:t>敏感</w:t>
            </w:r>
          </w:p>
        </w:tc>
        <w:tc>
          <w:tcPr>
            <w:tcW w:w="7220" w:type="dxa"/>
            <w:noWrap/>
            <w:vAlign w:val="center"/>
          </w:tcPr>
          <w:p>
            <w:pPr>
              <w:jc w:val="center"/>
              <w:rPr>
                <w:rFonts w:hint="default" w:ascii="Times New Roman" w:hAnsi="Times New Roman" w:eastAsia="宋体" w:cs="Times New Roman"/>
                <w:color w:val="auto"/>
              </w:rPr>
            </w:pPr>
            <w:r>
              <w:rPr>
                <w:rFonts w:hint="default" w:ascii="Times New Roman" w:hAnsi="Times New Roman" w:eastAsia="宋体" w:cs="Times New Roman"/>
                <w:color w:val="auto"/>
                <w:szCs w:val="21"/>
              </w:rPr>
              <w:t>建设项目周边存在耕地、园地、牧草地、饮用水水源地或居民区、学校、医院、疗养院、养老院等土壤环境敏感目标的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noWrap/>
            <w:vAlign w:val="center"/>
          </w:tcPr>
          <w:p>
            <w:pPr>
              <w:jc w:val="center"/>
              <w:rPr>
                <w:rFonts w:hint="default" w:ascii="Times New Roman" w:hAnsi="Times New Roman" w:eastAsia="宋体" w:cs="Times New Roman"/>
                <w:color w:val="auto"/>
              </w:rPr>
            </w:pPr>
            <w:r>
              <w:rPr>
                <w:rFonts w:hint="default" w:ascii="Times New Roman" w:hAnsi="Times New Roman" w:eastAsia="宋体" w:cs="Times New Roman"/>
                <w:color w:val="auto"/>
                <w:szCs w:val="21"/>
              </w:rPr>
              <w:t>较敏感</w:t>
            </w:r>
          </w:p>
        </w:tc>
        <w:tc>
          <w:tcPr>
            <w:tcW w:w="7220" w:type="dxa"/>
            <w:noWrap/>
            <w:vAlign w:val="center"/>
          </w:tcPr>
          <w:p>
            <w:pPr>
              <w:jc w:val="center"/>
              <w:rPr>
                <w:rFonts w:hint="default" w:ascii="Times New Roman" w:hAnsi="Times New Roman" w:eastAsia="宋体" w:cs="Times New Roman"/>
                <w:color w:val="auto"/>
              </w:rPr>
            </w:pPr>
            <w:r>
              <w:rPr>
                <w:rFonts w:hint="default" w:ascii="Times New Roman" w:hAnsi="Times New Roman" w:eastAsia="宋体" w:cs="Times New Roman"/>
                <w:color w:val="auto"/>
                <w:szCs w:val="21"/>
              </w:rPr>
              <w:t>建设项目周边存在其他土壤环境敏感目标的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0" w:type="dxa"/>
            <w:noWrap/>
            <w:vAlign w:val="center"/>
          </w:tcPr>
          <w:p>
            <w:pPr>
              <w:jc w:val="center"/>
              <w:rPr>
                <w:rFonts w:hint="default" w:ascii="Times New Roman" w:hAnsi="Times New Roman" w:eastAsia="宋体" w:cs="Times New Roman"/>
                <w:color w:val="auto"/>
              </w:rPr>
            </w:pPr>
            <w:r>
              <w:rPr>
                <w:rFonts w:hint="default" w:ascii="Times New Roman" w:hAnsi="Times New Roman" w:eastAsia="宋体" w:cs="Times New Roman"/>
                <w:color w:val="auto"/>
                <w:szCs w:val="21"/>
              </w:rPr>
              <w:t>不敏感</w:t>
            </w:r>
          </w:p>
        </w:tc>
        <w:tc>
          <w:tcPr>
            <w:tcW w:w="7220" w:type="dxa"/>
            <w:noWrap/>
            <w:vAlign w:val="center"/>
          </w:tcPr>
          <w:p>
            <w:pPr>
              <w:jc w:val="center"/>
              <w:rPr>
                <w:rFonts w:hint="default" w:ascii="Times New Roman" w:hAnsi="Times New Roman" w:eastAsia="宋体" w:cs="Times New Roman"/>
                <w:color w:val="auto"/>
              </w:rPr>
            </w:pPr>
            <w:r>
              <w:rPr>
                <w:rFonts w:hint="default" w:ascii="Times New Roman" w:hAnsi="Times New Roman" w:eastAsia="宋体" w:cs="Times New Roman"/>
                <w:color w:val="auto"/>
                <w:szCs w:val="21"/>
              </w:rPr>
              <w:t>其他情况</w:t>
            </w:r>
          </w:p>
        </w:tc>
      </w:tr>
    </w:tbl>
    <w:p>
      <w:pPr>
        <w:rPr>
          <w:rFonts w:hint="default" w:ascii="Times New Roman" w:hAnsi="Times New Roman" w:eastAsia="宋体" w:cs="Times New Roman"/>
          <w:color w:val="auto"/>
        </w:rPr>
      </w:pPr>
    </w:p>
    <w:p>
      <w:pP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表1.5-8                  污染影响型评价工作等级划分表</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0"/>
        <w:gridCol w:w="952"/>
        <w:gridCol w:w="852"/>
        <w:gridCol w:w="920"/>
        <w:gridCol w:w="763"/>
        <w:gridCol w:w="830"/>
        <w:gridCol w:w="897"/>
        <w:gridCol w:w="807"/>
        <w:gridCol w:w="943"/>
        <w:gridCol w:w="94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31" w:type="dxa"/>
            <w:vMerge w:val="restart"/>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0"/>
              </w:rPr>
              <w:pict>
                <v:line id="_x0000_s2050" o:spid="_x0000_s2050" o:spt="20" style="position:absolute;left:0pt;margin-left:-2.7pt;margin-top:6.05pt;height:36.65pt;width:56.45pt;z-index:251660288;mso-width-relative:page;mso-height-relative:page;" filled="f" stroked="t" coordsize="21600,21600" o:gfxdata="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IH4kY1wAAAAkBAAAPAAAAAAAAAAEAIAAAACIAAABkcnMvZG93bnJldi54bWxQSwECFAAU&#10;AAAACACHTuJA2CG+SfIBAADuAwAADgAAAAAAAAABACAAAAAmAQAAZHJzL2Uyb0RvYy54bWxQSwUG&#10;AAAAAAYABgBZAQAAigUAAAAA&#10;">
                  <v:path arrowok="t"/>
                  <v:fill on="f" focussize="0,0"/>
                  <v:stroke color="#000000"/>
                  <v:imagedata o:title=""/>
                  <o:lock v:ext="edit" aspectratio="f"/>
                </v:line>
              </w:pict>
            </w:r>
            <w:r>
              <w:rPr>
                <w:rFonts w:hint="default" w:ascii="Times New Roman" w:hAnsi="Times New Roman" w:eastAsia="宋体" w:cs="Times New Roman"/>
                <w:color w:val="auto"/>
                <w:sz w:val="28"/>
              </w:rPr>
              <w:pict>
                <v:group id="_x0000_s2051" o:spid="_x0000_s2051" o:spt="203" style="position:absolute;left:0pt;margin-left:-6.35pt;margin-top:-0.4pt;height:54.1pt;width:95.15pt;z-index:251661312;mso-width-relative:page;mso-height-relative:page;" coordorigin="1574,378899" coordsize="1903,1082203203" o:gfxdata="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">
                  <o:lock v:ext="edit"/>
                  <v:shape id="文本框 1275" o:spid="_x0000_s2052" o:spt="202" type="#_x0000_t202" style="position:absolute;left:2397;top:378952;height:734;width:1080;" filled="f" stroked="f" coordsize="21600,21600" o:gfxdata="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9bbqvQAA&#10;ANsAAAAPAAAAAAAAAAEAIAAAACIAAABkcnMvZG93bnJldi54bWxQSwECFAAUAAAACACHTuJAMy8F&#10;njsAAAA5AAAAEAAAAAAAAAABACAAAAAMAQAAZHJzL3NoYXBleG1sLnhtbFBLBQYAAAAABgAGAFsB&#10;AAC2AwAAAAA=&#10;">
                    <v:path/>
                    <v:fill on="f" focussize="0,0"/>
                    <v:stroke on="f" joinstyle="miter"/>
                    <v:imagedata o:title=""/>
                    <o:lock v:ext="edit"/>
                    <v:textbox>
                      <w:txbxContent>
                        <w:p>
                          <w:pPr>
                            <w:rPr>
                              <w:rFonts w:ascii="宋体"/>
                              <w:sz w:val="18"/>
                              <w:szCs w:val="18"/>
                            </w:rPr>
                          </w:pPr>
                          <w:r>
                            <w:rPr>
                              <w:rFonts w:hint="eastAsia" w:ascii="宋体"/>
                              <w:sz w:val="18"/>
                              <w:szCs w:val="18"/>
                            </w:rPr>
                            <w:t>占地规模占地规模</w:t>
                          </w:r>
                        </w:p>
                      </w:txbxContent>
                    </v:textbox>
                  </v:shape>
                  <v:group id="组合 1280" o:spid="_x0000_s2053" o:spt="203" style="position:absolute;left:1574;top:378899;height:1082;width:1708;" coordorigin="1574,378899" coordsize="1708,1082" o:gfxdata="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pzpwq+AAAA2wAAAA8AAAAAAAAAAQAgAAAAIgAAAGRycy9kb3ducmV2Lnht&#10;bFBLAQIUABQAAAAIAIdO4kAzLwWeOwAAADkAAAAVAAAAAAAAAAEAIAAAAA0BAABkcnMvZ3JvdXBz&#10;aGFwZXhtbC54bWxQSwUGAAAAAAYABgBgAQAAygMAAAAA&#10;">
                    <o:lock v:ext="edit"/>
                    <v:shape id="文本框 1276" o:spid="_x0000_s2054" o:spt="202" type="#_x0000_t202" style="position:absolute;left:1574;top:379531;height:450;width:1080;" filled="f" stroked="f" coordsize="21600,21600" o:gfxdata="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CconbsAAADb&#10;AAAADwAAAAAAAAABACAAAAAiAAAAZHJzL2Rvd25yZXYueG1sUEsBAhQAFAAAAAgAh07iQDMvBZ47&#10;AAAAOQAAABAAAAAAAAAAAQAgAAAACgEAAGRycy9zaGFwZXhtbC54bWxQSwUGAAAAAAYABgBbAQAA&#10;tAMAAAAA&#10;">
                      <v:path/>
                      <v:fill on="f" focussize="0,0"/>
                      <v:stroke on="f" joinstyle="miter"/>
                      <v:imagedata o:title=""/>
                      <o:lock v:ext="edit"/>
                      <v:textbox>
                        <w:txbxContent>
                          <w:p>
                            <w:pPr>
                              <w:rPr>
                                <w:rFonts w:ascii="宋体"/>
                                <w:sz w:val="18"/>
                                <w:szCs w:val="18"/>
                              </w:rPr>
                            </w:pPr>
                            <w:r>
                              <w:rPr>
                                <w:rFonts w:hint="eastAsia" w:ascii="宋体"/>
                                <w:sz w:val="18"/>
                                <w:szCs w:val="18"/>
                              </w:rPr>
                              <w:t>敏感程度敏感程度</w:t>
                            </w:r>
                          </w:p>
                        </w:txbxContent>
                      </v:textbox>
                    </v:shape>
                    <v:shape id="文本框 1277" o:spid="_x0000_s2055" o:spt="202" type="#_x0000_t202" style="position:absolute;left:1634;top:378991;height:870;width:1380;" filled="f" stroked="f" coordsize="21600,21600" o:gfxdata="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trjQa8AAAA&#10;2wAAAA8AAAAAAAAAAQAgAAAAIgAAAGRycy9kb3ducmV2LnhtbFBLAQIUABQAAAAIAIdO4kAzLwWe&#10;OwAAADkAAAAQAAAAAAAAAAEAIAAAAAsBAABkcnMvc2hhcGV4bWwueG1sUEsFBgAAAAAGAAYAWwEA&#10;ALUDAAAAAA==&#10;">
                      <v:path/>
                      <v:fill on="f" focussize="0,0"/>
                      <v:stroke on="f" joinstyle="miter"/>
                      <v:imagedata o:title=""/>
                      <o:lock v:ext="edit"/>
                      <v:textbox>
                        <w:txbxContent>
                          <w:p>
                            <w:pPr>
                              <w:rPr>
                                <w:rFonts w:ascii="宋体"/>
                                <w:sz w:val="18"/>
                                <w:szCs w:val="18"/>
                              </w:rPr>
                            </w:pPr>
                            <w:r>
                              <w:rPr>
                                <w:rFonts w:hint="eastAsia" w:ascii="宋体"/>
                                <w:sz w:val="18"/>
                                <w:szCs w:val="18"/>
                              </w:rPr>
                              <w:t>评价工</w:t>
                            </w:r>
                          </w:p>
                          <w:p>
                            <w:pPr>
                              <w:rPr>
                                <w:rFonts w:ascii="宋体"/>
                                <w:sz w:val="18"/>
                                <w:szCs w:val="18"/>
                              </w:rPr>
                            </w:pPr>
                            <w:r>
                              <w:rPr>
                                <w:rFonts w:hint="eastAsia" w:ascii="宋体"/>
                                <w:sz w:val="18"/>
                                <w:szCs w:val="18"/>
                              </w:rPr>
                              <w:t>作等级评价工</w:t>
                            </w:r>
                          </w:p>
                          <w:p>
                            <w:pPr>
                              <w:rPr>
                                <w:rFonts w:ascii="宋体"/>
                                <w:sz w:val="18"/>
                                <w:szCs w:val="18"/>
                              </w:rPr>
                            </w:pPr>
                            <w:r>
                              <w:rPr>
                                <w:rFonts w:hint="eastAsia" w:ascii="宋体"/>
                                <w:sz w:val="18"/>
                                <w:szCs w:val="18"/>
                              </w:rPr>
                              <w:t>作等级</w:t>
                            </w:r>
                          </w:p>
                        </w:txbxContent>
                      </v:textbox>
                    </v:shape>
                    <v:line id="直线 1279" o:spid="_x0000_s2056" o:spt="20" style="position:absolute;left:1934;top:378899;height:945;width:1348;" coordsize="21600,21600" o:gfxdata="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NQyy8AAAA&#10;2wAAAA8AAAAAAAAAAQAgAAAAIgAAAGRycy9kb3ducmV2LnhtbFBLAQIUABQAAAAIAIdO4kAzLwWe&#10;OwAAADkAAAAQAAAAAAAAAAEAIAAAAAsBAABkcnMvc2hhcGV4bWwueG1sUEsFBgAAAAAGAAYAWwEA&#10;ALUDAAAAAA==&#10;">
                      <v:path arrowok="t"/>
                      <v:fill focussize="0,0"/>
                      <v:stroke/>
                      <v:imagedata o:title=""/>
                      <o:lock v:ext="edit"/>
                    </v:line>
                  </v:group>
                </v:group>
              </w:pict>
            </w:r>
          </w:p>
        </w:tc>
        <w:tc>
          <w:tcPr>
            <w:tcW w:w="2429" w:type="dxa"/>
            <w:gridSpan w:val="3"/>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Ⅰ类</w:t>
            </w:r>
          </w:p>
        </w:tc>
        <w:tc>
          <w:tcPr>
            <w:tcW w:w="2220" w:type="dxa"/>
            <w:gridSpan w:val="3"/>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Ⅱ类</w:t>
            </w:r>
          </w:p>
        </w:tc>
        <w:tc>
          <w:tcPr>
            <w:tcW w:w="2400" w:type="dxa"/>
            <w:gridSpan w:val="3"/>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Ⅲ类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31" w:type="dxa"/>
            <w:vMerge w:val="continue"/>
            <w:tcBorders>
              <w:tl2br w:val="nil"/>
              <w:tr2bl w:val="nil"/>
            </w:tcBorders>
            <w:noWrap/>
            <w:vAlign w:val="center"/>
          </w:tcPr>
          <w:p>
            <w:pPr>
              <w:jc w:val="center"/>
              <w:rPr>
                <w:rFonts w:hint="default" w:ascii="Times New Roman" w:hAnsi="Times New Roman" w:eastAsia="宋体" w:cs="Times New Roman"/>
                <w:color w:val="auto"/>
                <w:szCs w:val="21"/>
              </w:rPr>
            </w:pPr>
          </w:p>
        </w:tc>
        <w:tc>
          <w:tcPr>
            <w:tcW w:w="849"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大</w:t>
            </w:r>
          </w:p>
        </w:tc>
        <w:tc>
          <w:tcPr>
            <w:tcW w:w="76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中</w:t>
            </w:r>
          </w:p>
        </w:tc>
        <w:tc>
          <w:tcPr>
            <w:tcW w:w="82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小</w:t>
            </w:r>
          </w:p>
        </w:tc>
        <w:tc>
          <w:tcPr>
            <w:tcW w:w="68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大</w:t>
            </w:r>
          </w:p>
        </w:tc>
        <w:tc>
          <w:tcPr>
            <w:tcW w:w="74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中</w:t>
            </w:r>
          </w:p>
        </w:tc>
        <w:tc>
          <w:tcPr>
            <w:tcW w:w="80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小</w:t>
            </w:r>
          </w:p>
        </w:tc>
        <w:tc>
          <w:tcPr>
            <w:tcW w:w="72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大</w:t>
            </w:r>
          </w:p>
        </w:tc>
        <w:tc>
          <w:tcPr>
            <w:tcW w:w="84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中</w:t>
            </w:r>
          </w:p>
        </w:tc>
        <w:tc>
          <w:tcPr>
            <w:tcW w:w="84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31"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敏感</w:t>
            </w:r>
          </w:p>
        </w:tc>
        <w:tc>
          <w:tcPr>
            <w:tcW w:w="849"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一级</w:t>
            </w:r>
          </w:p>
        </w:tc>
        <w:tc>
          <w:tcPr>
            <w:tcW w:w="76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一级</w:t>
            </w:r>
          </w:p>
        </w:tc>
        <w:tc>
          <w:tcPr>
            <w:tcW w:w="82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一级</w:t>
            </w:r>
          </w:p>
        </w:tc>
        <w:tc>
          <w:tcPr>
            <w:tcW w:w="68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二级</w:t>
            </w:r>
          </w:p>
        </w:tc>
        <w:tc>
          <w:tcPr>
            <w:tcW w:w="74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二级</w:t>
            </w:r>
          </w:p>
        </w:tc>
        <w:tc>
          <w:tcPr>
            <w:tcW w:w="80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二级</w:t>
            </w:r>
          </w:p>
        </w:tc>
        <w:tc>
          <w:tcPr>
            <w:tcW w:w="72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三级</w:t>
            </w:r>
          </w:p>
        </w:tc>
        <w:tc>
          <w:tcPr>
            <w:tcW w:w="84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三级</w:t>
            </w:r>
          </w:p>
        </w:tc>
        <w:tc>
          <w:tcPr>
            <w:tcW w:w="84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三级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31"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较敏感</w:t>
            </w:r>
          </w:p>
        </w:tc>
        <w:tc>
          <w:tcPr>
            <w:tcW w:w="849"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一级</w:t>
            </w:r>
          </w:p>
        </w:tc>
        <w:tc>
          <w:tcPr>
            <w:tcW w:w="76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一级</w:t>
            </w:r>
          </w:p>
        </w:tc>
        <w:tc>
          <w:tcPr>
            <w:tcW w:w="82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二级</w:t>
            </w:r>
          </w:p>
        </w:tc>
        <w:tc>
          <w:tcPr>
            <w:tcW w:w="68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二级</w:t>
            </w:r>
          </w:p>
        </w:tc>
        <w:tc>
          <w:tcPr>
            <w:tcW w:w="74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二级</w:t>
            </w:r>
          </w:p>
        </w:tc>
        <w:tc>
          <w:tcPr>
            <w:tcW w:w="80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三级</w:t>
            </w:r>
          </w:p>
        </w:tc>
        <w:tc>
          <w:tcPr>
            <w:tcW w:w="72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三级</w:t>
            </w:r>
          </w:p>
        </w:tc>
        <w:tc>
          <w:tcPr>
            <w:tcW w:w="84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三级</w:t>
            </w:r>
          </w:p>
        </w:tc>
        <w:tc>
          <w:tcPr>
            <w:tcW w:w="84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31"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不敏感</w:t>
            </w:r>
          </w:p>
        </w:tc>
        <w:tc>
          <w:tcPr>
            <w:tcW w:w="849"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一级</w:t>
            </w:r>
          </w:p>
        </w:tc>
        <w:tc>
          <w:tcPr>
            <w:tcW w:w="76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二级</w:t>
            </w:r>
          </w:p>
        </w:tc>
        <w:tc>
          <w:tcPr>
            <w:tcW w:w="82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二级</w:t>
            </w:r>
          </w:p>
        </w:tc>
        <w:tc>
          <w:tcPr>
            <w:tcW w:w="68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二级</w:t>
            </w:r>
          </w:p>
        </w:tc>
        <w:tc>
          <w:tcPr>
            <w:tcW w:w="74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三级</w:t>
            </w:r>
          </w:p>
        </w:tc>
        <w:tc>
          <w:tcPr>
            <w:tcW w:w="80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三级</w:t>
            </w:r>
          </w:p>
        </w:tc>
        <w:tc>
          <w:tcPr>
            <w:tcW w:w="72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三级</w:t>
            </w:r>
          </w:p>
        </w:tc>
        <w:tc>
          <w:tcPr>
            <w:tcW w:w="84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84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280" w:type="dxa"/>
            <w:gridSpan w:val="10"/>
            <w:tcBorders>
              <w:tl2br w:val="nil"/>
              <w:tr2bl w:val="nil"/>
            </w:tcBorders>
            <w:noWrap/>
            <w:vAlign w:val="center"/>
          </w:tcPr>
          <w:p>
            <w:pPr>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注：“—”标识可不开展土壤环境影响评价工作</w:t>
            </w:r>
          </w:p>
        </w:tc>
      </w:tr>
    </w:tbl>
    <w:p>
      <w:pPr>
        <w:keepNext w:val="0"/>
        <w:keepLines w:val="0"/>
        <w:pageBreakBefore w:val="0"/>
        <w:widowControl w:val="0"/>
        <w:kinsoku/>
        <w:wordWrap/>
        <w:overflowPunct/>
        <w:topLinePunct w:val="0"/>
        <w:autoSpaceDE/>
        <w:autoSpaceDN/>
        <w:bidi w:val="0"/>
        <w:adjustRightInd/>
        <w:snapToGrid/>
        <w:spacing w:line="360" w:lineRule="auto"/>
        <w:ind w:right="105" w:rightChars="5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根据《环境影响评价技术导则——土壤环境（试行）》（HJ 964-2018）中附录A：根据行业特征工艺特点或规模大小等将建设项目分为Ⅰ类、Ⅱ类、Ⅲ类和Ⅳ类；</w:t>
      </w:r>
      <w:r>
        <w:rPr>
          <w:rFonts w:hint="default" w:ascii="Times New Roman" w:hAnsi="Times New Roman" w:eastAsia="宋体" w:cs="Times New Roman"/>
          <w:color w:val="auto"/>
          <w:sz w:val="24"/>
          <w:szCs w:val="24"/>
          <w:lang w:val="en-US" w:eastAsia="zh-CN"/>
        </w:rPr>
        <w:t>本项目属于采矿业中的金属矿选矿（不含开采），故属于</w:t>
      </w:r>
      <w:r>
        <w:rPr>
          <w:rFonts w:hint="default" w:ascii="Times New Roman" w:hAnsi="Times New Roman" w:eastAsia="宋体" w:cs="Times New Roman"/>
          <w:color w:val="auto"/>
          <w:sz w:val="24"/>
        </w:rPr>
        <w:t>Ⅲ类</w:t>
      </w:r>
      <w:r>
        <w:rPr>
          <w:rFonts w:hint="default" w:ascii="Times New Roman" w:hAnsi="Times New Roman" w:eastAsia="宋体" w:cs="Times New Roman"/>
          <w:color w:val="auto"/>
          <w:sz w:val="24"/>
          <w:lang w:eastAsia="zh-CN"/>
        </w:rPr>
        <w:t>项目。</w:t>
      </w:r>
    </w:p>
    <w:p>
      <w:pPr>
        <w:keepNext w:val="0"/>
        <w:keepLines w:val="0"/>
        <w:pageBreakBefore w:val="0"/>
        <w:widowControl w:val="0"/>
        <w:kinsoku/>
        <w:wordWrap/>
        <w:overflowPunct/>
        <w:topLinePunct w:val="0"/>
        <w:autoSpaceDE/>
        <w:autoSpaceDN/>
        <w:bidi w:val="0"/>
        <w:adjustRightInd/>
        <w:snapToGrid/>
        <w:spacing w:line="360" w:lineRule="auto"/>
        <w:ind w:right="105" w:rightChars="5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本项目为污染影响类项目，占地面积66552m</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color w:val="auto"/>
          <w:sz w:val="24"/>
          <w:lang w:val="en-US" w:eastAsia="zh-CN"/>
        </w:rPr>
        <w:t>，属于中型（5-50hm</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right="105" w:rightChars="5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w:t>
      </w:r>
      <w:r>
        <w:rPr>
          <w:rFonts w:hint="default" w:ascii="Times New Roman" w:hAnsi="Times New Roman" w:eastAsia="宋体" w:cs="Times New Roman"/>
          <w:bCs/>
          <w:sz w:val="24"/>
          <w:szCs w:val="20"/>
        </w:rPr>
        <w:t>周边存在耕地，土壤环境敏感程度为敏感</w:t>
      </w:r>
      <w:r>
        <w:rPr>
          <w:rFonts w:hint="default" w:ascii="Times New Roman" w:hAnsi="Times New Roman" w:eastAsia="宋体" w:cs="Times New Roman"/>
          <w:color w:val="auto"/>
          <w:sz w:val="24"/>
          <w:lang w:val="en-US" w:eastAsia="zh-CN"/>
        </w:rPr>
        <w:t>。</w:t>
      </w:r>
    </w:p>
    <w:p>
      <w:pPr>
        <w:spacing w:beforeLines="20" w:afterLines="20"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综上判定：本项目土壤环境评价等级为“三级”。</w:t>
      </w:r>
    </w:p>
    <w:p>
      <w:pPr>
        <w:spacing w:beforeLines="20" w:afterLines="20"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（6）环境风险评价等级</w:t>
      </w:r>
    </w:p>
    <w:p>
      <w:pPr>
        <w:pStyle w:val="475"/>
        <w:spacing w:beforeLines="50" w:line="360" w:lineRule="auto"/>
        <w:ind w:firstLine="480"/>
        <w:rPr>
          <w:rFonts w:hint="default" w:ascii="Times New Roman" w:hAnsi="Times New Roman" w:eastAsia="宋体" w:cs="Times New Roman"/>
        </w:rPr>
      </w:pPr>
      <w:bookmarkStart w:id="85" w:name="_Toc272060391"/>
      <w:bookmarkStart w:id="86" w:name="_Toc174806199"/>
      <w:bookmarkStart w:id="87" w:name="_Toc400617538"/>
      <w:bookmarkStart w:id="88" w:name="_Toc355284840"/>
      <w:bookmarkStart w:id="89" w:name="_Toc476224977"/>
      <w:r>
        <w:rPr>
          <w:rFonts w:hint="default" w:ascii="Times New Roman" w:hAnsi="Times New Roman" w:eastAsia="宋体" w:cs="Times New Roman"/>
        </w:rPr>
        <w:t>根据《建设项目环境风险评价技术导则》（HJ169-2018）中关于环境风险潜势初判方式首先按下式计算物质总量与临界量比值（Q）</w:t>
      </w:r>
    </w:p>
    <w:p>
      <w:pPr>
        <w:pStyle w:val="475"/>
        <w:spacing w:beforeLines="50" w:line="360" w:lineRule="auto"/>
        <w:ind w:firstLine="480"/>
        <w:jc w:val="center"/>
        <w:rPr>
          <w:rFonts w:hint="default" w:ascii="Times New Roman" w:hAnsi="Times New Roman" w:eastAsia="宋体" w:cs="Times New Roman"/>
        </w:rPr>
      </w:pPr>
      <w:r>
        <w:rPr>
          <w:rFonts w:hint="default" w:ascii="Times New Roman" w:hAnsi="Times New Roman" w:eastAsia="宋体" w:cs="Times New Roman"/>
          <w:position w:val="-30"/>
        </w:rPr>
        <w:object>
          <v:shape id="_x0000_i1027" o:spt="75" type="#_x0000_t75" style="height:35.25pt;width:126.75pt;" o:ole="t" filled="f" o:preferrelative="t" stroked="f" coordsize="21600,21600">
            <v:path/>
            <v:fill on="f" focussize="0,0"/>
            <v:stroke on="f" joinstyle="miter"/>
            <v:imagedata r:id="rId24" o:title=""/>
            <o:lock v:ext="edit" aspectratio="t"/>
            <w10:wrap type="none"/>
            <w10:anchorlock/>
          </v:shape>
          <o:OLEObject Type="Embed" ProgID="Equations" ShapeID="_x0000_i1027" DrawAspect="Content" ObjectID="_1468075727" r:id="rId23">
            <o:LockedField>false</o:LockedField>
          </o:OLEObject>
        </w:object>
      </w:r>
    </w:p>
    <w:p>
      <w:pPr>
        <w:pStyle w:val="475"/>
        <w:spacing w:beforeLines="50" w:line="360" w:lineRule="auto"/>
        <w:ind w:firstLine="480"/>
        <w:rPr>
          <w:rFonts w:hint="default" w:ascii="Times New Roman" w:hAnsi="Times New Roman" w:eastAsia="宋体" w:cs="Times New Roman"/>
        </w:rPr>
      </w:pPr>
      <w:r>
        <w:rPr>
          <w:rFonts w:hint="default" w:ascii="Times New Roman" w:hAnsi="Times New Roman" w:eastAsia="宋体" w:cs="Times New Roman"/>
        </w:rPr>
        <w:t>式中：q</w:t>
      </w:r>
      <w:r>
        <w:rPr>
          <w:rFonts w:hint="default" w:ascii="Times New Roman" w:hAnsi="Times New Roman" w:eastAsia="宋体" w:cs="Times New Roman"/>
          <w:vertAlign w:val="subscript"/>
        </w:rPr>
        <w:t>1</w:t>
      </w:r>
      <w:r>
        <w:rPr>
          <w:rFonts w:hint="default" w:ascii="Times New Roman" w:hAnsi="Times New Roman" w:eastAsia="宋体" w:cs="Times New Roman"/>
        </w:rPr>
        <w:t>,q</w:t>
      </w:r>
      <w:r>
        <w:rPr>
          <w:rFonts w:hint="default" w:ascii="Times New Roman" w:hAnsi="Times New Roman" w:eastAsia="宋体" w:cs="Times New Roman"/>
          <w:vertAlign w:val="subscript"/>
        </w:rPr>
        <w:t>2</w:t>
      </w:r>
      <w:r>
        <w:rPr>
          <w:rFonts w:hint="default" w:ascii="Times New Roman" w:hAnsi="Times New Roman" w:eastAsia="宋体" w:cs="Times New Roman"/>
        </w:rPr>
        <w:t>,…,q</w:t>
      </w:r>
      <w:r>
        <w:rPr>
          <w:rFonts w:hint="default" w:ascii="Times New Roman" w:hAnsi="Times New Roman" w:eastAsia="宋体" w:cs="Times New Roman"/>
          <w:vertAlign w:val="subscript"/>
        </w:rPr>
        <w:t>n</w:t>
      </w:r>
      <w:r>
        <w:rPr>
          <w:rFonts w:hint="default" w:ascii="Times New Roman" w:hAnsi="Times New Roman" w:eastAsia="宋体" w:cs="Times New Roman"/>
        </w:rPr>
        <w:t>——每种危险物质的最大存在总量，t；</w:t>
      </w:r>
    </w:p>
    <w:p>
      <w:pPr>
        <w:pStyle w:val="475"/>
        <w:spacing w:beforeLines="50" w:line="360" w:lineRule="auto"/>
        <w:ind w:firstLine="480"/>
        <w:rPr>
          <w:rFonts w:hint="default" w:ascii="Times New Roman" w:hAnsi="Times New Roman" w:eastAsia="宋体" w:cs="Times New Roman"/>
        </w:rPr>
      </w:pPr>
      <w:r>
        <w:rPr>
          <w:rFonts w:hint="default" w:ascii="Times New Roman" w:hAnsi="Times New Roman" w:eastAsia="宋体" w:cs="Times New Roman"/>
        </w:rPr>
        <w:t>Q</w:t>
      </w:r>
      <w:r>
        <w:rPr>
          <w:rFonts w:hint="default" w:ascii="Times New Roman" w:hAnsi="Times New Roman" w:eastAsia="宋体" w:cs="Times New Roman"/>
          <w:vertAlign w:val="subscript"/>
        </w:rPr>
        <w:t>1</w:t>
      </w:r>
      <w:r>
        <w:rPr>
          <w:rFonts w:hint="default" w:ascii="Times New Roman" w:hAnsi="Times New Roman" w:eastAsia="宋体" w:cs="Times New Roman"/>
        </w:rPr>
        <w:t>,Q</w:t>
      </w:r>
      <w:r>
        <w:rPr>
          <w:rFonts w:hint="default" w:ascii="Times New Roman" w:hAnsi="Times New Roman" w:eastAsia="宋体" w:cs="Times New Roman"/>
          <w:vertAlign w:val="subscript"/>
        </w:rPr>
        <w:t>2</w:t>
      </w:r>
      <w:r>
        <w:rPr>
          <w:rFonts w:hint="default" w:ascii="Times New Roman" w:hAnsi="Times New Roman" w:eastAsia="宋体" w:cs="Times New Roman"/>
        </w:rPr>
        <w:t>,…,Q</w:t>
      </w:r>
      <w:r>
        <w:rPr>
          <w:rFonts w:hint="default" w:ascii="Times New Roman" w:hAnsi="Times New Roman" w:eastAsia="宋体" w:cs="Times New Roman"/>
          <w:vertAlign w:val="subscript"/>
        </w:rPr>
        <w:t>n</w:t>
      </w:r>
      <w:r>
        <w:rPr>
          <w:rFonts w:hint="default" w:ascii="Times New Roman" w:hAnsi="Times New Roman" w:eastAsia="宋体" w:cs="Times New Roman"/>
        </w:rPr>
        <w:t>——每种危险物质的临界量，t。</w:t>
      </w:r>
    </w:p>
    <w:p>
      <w:pPr>
        <w:pStyle w:val="475"/>
        <w:spacing w:beforeLines="50" w:line="360" w:lineRule="auto"/>
        <w:ind w:firstLine="480"/>
        <w:rPr>
          <w:rFonts w:hint="default" w:ascii="Times New Roman" w:hAnsi="Times New Roman" w:eastAsia="宋体" w:cs="Times New Roman"/>
        </w:rPr>
      </w:pPr>
      <w:r>
        <w:rPr>
          <w:rFonts w:hint="default" w:ascii="Times New Roman" w:hAnsi="Times New Roman" w:eastAsia="宋体" w:cs="Times New Roman"/>
        </w:rPr>
        <w:t>当Q&lt;1时，该项目环境风险潜势为Ⅰ</w:t>
      </w:r>
    </w:p>
    <w:p>
      <w:pPr>
        <w:pStyle w:val="475"/>
        <w:spacing w:beforeLines="50" w:line="360" w:lineRule="auto"/>
        <w:ind w:firstLine="480"/>
        <w:rPr>
          <w:rFonts w:hint="default" w:ascii="Times New Roman" w:hAnsi="Times New Roman" w:eastAsia="宋体" w:cs="Times New Roman"/>
        </w:rPr>
      </w:pPr>
      <w:r>
        <w:rPr>
          <w:rFonts w:hint="default" w:ascii="Times New Roman" w:hAnsi="Times New Roman" w:eastAsia="宋体" w:cs="Times New Roman"/>
        </w:rPr>
        <w:t>当Q≥1时，将Q值划分为：（1）1≤Q&lt;10；（2）10≤Q&lt;100；（3）Q≥100。</w:t>
      </w:r>
    </w:p>
    <w:p>
      <w:pPr>
        <w:pStyle w:val="475"/>
        <w:spacing w:beforeLines="50" w:line="360" w:lineRule="auto"/>
        <w:ind w:firstLine="480" w:firstLineChars="200"/>
        <w:rPr>
          <w:rFonts w:hint="default" w:ascii="Times New Roman" w:hAnsi="Times New Roman" w:eastAsia="宋体" w:cs="Times New Roman"/>
        </w:rPr>
      </w:pPr>
      <w:r>
        <w:rPr>
          <w:rFonts w:hint="default" w:ascii="Times New Roman" w:hAnsi="Times New Roman" w:eastAsia="宋体" w:cs="Times New Roman"/>
        </w:rPr>
        <w:t>根据《建设项目环境风险评价技术导则》（HJ/T169-2018）的环境风险评价等级确定方法，对本项目装置区物料进行风险潜势初判，项目主要风险物质为废机油，因此确定本项目危险物质主要为废机油。</w:t>
      </w:r>
    </w:p>
    <w:p>
      <w:pPr>
        <w:pStyle w:val="475"/>
        <w:spacing w:beforeLines="50" w:line="480" w:lineRule="exact"/>
        <w:ind w:firstLine="0" w:firstLineChars="0"/>
        <w:rPr>
          <w:rFonts w:hint="default" w:ascii="Times New Roman" w:hAnsi="Times New Roman" w:eastAsia="宋体" w:cs="Times New Roman"/>
        </w:rPr>
      </w:pPr>
      <w:r>
        <w:rPr>
          <w:rFonts w:hint="default" w:ascii="Times New Roman" w:hAnsi="Times New Roman" w:eastAsia="宋体" w:cs="Times New Roman"/>
        </w:rPr>
        <w:t>表1.</w:t>
      </w:r>
      <w:r>
        <w:rPr>
          <w:rFonts w:hint="default" w:ascii="Times New Roman" w:hAnsi="Times New Roman" w:eastAsia="宋体" w:cs="Times New Roman"/>
          <w:lang w:val="en-US" w:eastAsia="zh-CN"/>
        </w:rPr>
        <w:t>5-9</w:t>
      </w:r>
      <w:r>
        <w:rPr>
          <w:rFonts w:hint="default" w:ascii="Times New Roman" w:hAnsi="Times New Roman" w:eastAsia="宋体" w:cs="Times New Roman"/>
        </w:rPr>
        <w:t xml:space="preserve">                </w:t>
      </w:r>
      <w:r>
        <w:rPr>
          <w:rFonts w:hint="eastAsia" w:ascii="Times New Roman" w:hAnsi="Times New Roman" w:eastAsia="宋体" w:cs="Times New Roman"/>
          <w:lang w:val="en-US" w:eastAsia="zh-CN"/>
        </w:rPr>
        <w:t xml:space="preserve">     </w:t>
      </w:r>
      <w:r>
        <w:rPr>
          <w:rFonts w:hint="default" w:ascii="Times New Roman" w:hAnsi="Times New Roman" w:eastAsia="宋体" w:cs="Times New Roman"/>
        </w:rPr>
        <w:t xml:space="preserve">  建设项目Q值确定表</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9"/>
        <w:gridCol w:w="1700"/>
        <w:gridCol w:w="1112"/>
        <w:gridCol w:w="2114"/>
        <w:gridCol w:w="1570"/>
        <w:gridCol w:w="207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454" w:hRule="atLeast"/>
        </w:trPr>
        <w:tc>
          <w:tcPr>
            <w:tcW w:w="660"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序号</w:t>
            </w:r>
          </w:p>
        </w:tc>
        <w:tc>
          <w:tcPr>
            <w:tcW w:w="1560"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危险物质名称</w:t>
            </w:r>
          </w:p>
        </w:tc>
        <w:tc>
          <w:tcPr>
            <w:tcW w:w="1020"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CAS号</w:t>
            </w:r>
          </w:p>
        </w:tc>
        <w:tc>
          <w:tcPr>
            <w:tcW w:w="1940"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最大存在总量qn/t</w:t>
            </w:r>
          </w:p>
        </w:tc>
        <w:tc>
          <w:tcPr>
            <w:tcW w:w="1440"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临界量Qn/t</w:t>
            </w:r>
          </w:p>
        </w:tc>
        <w:tc>
          <w:tcPr>
            <w:tcW w:w="1902"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该种危险物质Q值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0"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1</w:t>
            </w:r>
          </w:p>
        </w:tc>
        <w:tc>
          <w:tcPr>
            <w:tcW w:w="1560"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废机油</w:t>
            </w:r>
          </w:p>
        </w:tc>
        <w:tc>
          <w:tcPr>
            <w:tcW w:w="1020" w:type="dxa"/>
            <w:tcBorders>
              <w:tl2br w:val="nil"/>
              <w:tr2bl w:val="nil"/>
            </w:tcBorders>
            <w:vAlign w:val="center"/>
          </w:tcPr>
          <w:p>
            <w:pPr>
              <w:adjustRightInd w:val="0"/>
              <w:snapToGrid w:val="0"/>
              <w:jc w:val="center"/>
              <w:rPr>
                <w:rFonts w:hint="default" w:ascii="Times New Roman" w:hAnsi="Times New Roman" w:eastAsia="宋体" w:cs="Times New Roman"/>
                <w:szCs w:val="22"/>
              </w:rPr>
            </w:pPr>
            <w:r>
              <w:rPr>
                <w:rFonts w:hint="default" w:ascii="Times New Roman" w:hAnsi="Times New Roman" w:eastAsia="宋体" w:cs="Times New Roman"/>
                <w:szCs w:val="22"/>
              </w:rPr>
              <w:t>/</w:t>
            </w:r>
          </w:p>
        </w:tc>
        <w:tc>
          <w:tcPr>
            <w:tcW w:w="1940"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0.5</w:t>
            </w:r>
          </w:p>
        </w:tc>
        <w:tc>
          <w:tcPr>
            <w:tcW w:w="1440"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2500</w:t>
            </w:r>
          </w:p>
        </w:tc>
        <w:tc>
          <w:tcPr>
            <w:tcW w:w="1902"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0.0002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20" w:type="dxa"/>
            <w:gridSpan w:val="5"/>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项目Q值∑</w:t>
            </w:r>
          </w:p>
        </w:tc>
        <w:tc>
          <w:tcPr>
            <w:tcW w:w="1902"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0.0002</w:t>
            </w:r>
          </w:p>
        </w:tc>
      </w:tr>
    </w:tbl>
    <w:p>
      <w:pPr>
        <w:pStyle w:val="475"/>
        <w:spacing w:beforeLines="50" w:line="360" w:lineRule="auto"/>
        <w:ind w:firstLine="480"/>
        <w:rPr>
          <w:rFonts w:hint="default" w:ascii="Times New Roman" w:hAnsi="Times New Roman" w:eastAsia="宋体" w:cs="Times New Roman"/>
        </w:rPr>
      </w:pPr>
      <w:r>
        <w:rPr>
          <w:rFonts w:hint="default" w:ascii="Times New Roman" w:hAnsi="Times New Roman" w:eastAsia="宋体" w:cs="Times New Roman"/>
        </w:rPr>
        <w:t>本项目危险物质Q值&lt;1，则本项目环境风险潜势为Ⅰ。</w:t>
      </w:r>
    </w:p>
    <w:p>
      <w:pPr>
        <w:pStyle w:val="475"/>
        <w:spacing w:beforeLines="50" w:line="480" w:lineRule="exact"/>
        <w:ind w:firstLine="0" w:firstLineChars="0"/>
        <w:rPr>
          <w:rFonts w:hint="default" w:ascii="Times New Roman" w:hAnsi="Times New Roman" w:eastAsia="宋体" w:cs="Times New Roman"/>
        </w:rPr>
      </w:pPr>
      <w:r>
        <w:rPr>
          <w:rFonts w:hint="default" w:ascii="Times New Roman" w:hAnsi="Times New Roman" w:eastAsia="宋体" w:cs="Times New Roman"/>
        </w:rPr>
        <w:t>表1.</w:t>
      </w:r>
      <w:r>
        <w:rPr>
          <w:rFonts w:hint="default" w:ascii="Times New Roman" w:hAnsi="Times New Roman" w:eastAsia="宋体" w:cs="Times New Roman"/>
          <w:lang w:val="en-US" w:eastAsia="zh-CN"/>
        </w:rPr>
        <w:t>5-10</w:t>
      </w:r>
      <w:r>
        <w:rPr>
          <w:rFonts w:hint="default" w:ascii="Times New Roman" w:hAnsi="Times New Roman" w:eastAsia="宋体" w:cs="Times New Roman"/>
        </w:rPr>
        <w:t xml:space="preserve">            </w:t>
      </w:r>
      <w:r>
        <w:rPr>
          <w:rFonts w:hint="eastAsia" w:ascii="Times New Roman" w:hAnsi="Times New Roman" w:eastAsia="宋体" w:cs="Times New Roman"/>
          <w:lang w:val="en-US" w:eastAsia="zh-CN"/>
        </w:rPr>
        <w:t xml:space="preserve">   </w:t>
      </w:r>
      <w:r>
        <w:rPr>
          <w:rFonts w:hint="default" w:ascii="Times New Roman" w:hAnsi="Times New Roman" w:eastAsia="宋体" w:cs="Times New Roman"/>
        </w:rPr>
        <w:t xml:space="preserve"> </w:t>
      </w:r>
      <w:r>
        <w:rPr>
          <w:rFonts w:hint="eastAsia" w:ascii="Times New Roman" w:hAnsi="Times New Roman" w:eastAsia="宋体" w:cs="Times New Roman"/>
          <w:lang w:val="en-US" w:eastAsia="zh-CN"/>
        </w:rPr>
        <w:t xml:space="preserve"> </w:t>
      </w:r>
      <w:r>
        <w:rPr>
          <w:rFonts w:hint="default" w:ascii="Times New Roman" w:hAnsi="Times New Roman" w:eastAsia="宋体" w:cs="Times New Roman"/>
        </w:rPr>
        <w:t xml:space="preserve">   环境风险评价工作级别</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61"/>
        <w:gridCol w:w="1821"/>
        <w:gridCol w:w="1985"/>
        <w:gridCol w:w="1913"/>
        <w:gridCol w:w="190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24"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环境风险潜势</w:t>
            </w:r>
          </w:p>
        </w:tc>
        <w:tc>
          <w:tcPr>
            <w:tcW w:w="1671"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Ⅳ、Ⅳ</w:t>
            </w:r>
            <w:r>
              <w:rPr>
                <w:rFonts w:hint="default" w:ascii="Times New Roman" w:hAnsi="Times New Roman" w:eastAsia="宋体" w:cs="Times New Roman"/>
                <w:szCs w:val="21"/>
                <w:vertAlign w:val="superscript"/>
              </w:rPr>
              <w:t>+</w:t>
            </w:r>
          </w:p>
        </w:tc>
        <w:tc>
          <w:tcPr>
            <w:tcW w:w="1821"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Ⅲ</w:t>
            </w:r>
          </w:p>
        </w:tc>
        <w:tc>
          <w:tcPr>
            <w:tcW w:w="1754"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Ⅱ</w:t>
            </w:r>
          </w:p>
        </w:tc>
        <w:tc>
          <w:tcPr>
            <w:tcW w:w="1750"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24"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评价工作等级</w:t>
            </w:r>
          </w:p>
        </w:tc>
        <w:tc>
          <w:tcPr>
            <w:tcW w:w="1671"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一</w:t>
            </w:r>
          </w:p>
        </w:tc>
        <w:tc>
          <w:tcPr>
            <w:tcW w:w="1821"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二</w:t>
            </w:r>
          </w:p>
        </w:tc>
        <w:tc>
          <w:tcPr>
            <w:tcW w:w="1754"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三</w:t>
            </w:r>
          </w:p>
        </w:tc>
        <w:tc>
          <w:tcPr>
            <w:tcW w:w="1750"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简单评价</w:t>
            </w:r>
          </w:p>
        </w:tc>
      </w:tr>
    </w:tbl>
    <w:p>
      <w:pPr>
        <w:spacing w:beforeLines="50"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综上所述，本项目</w:t>
      </w:r>
      <w:bookmarkStart w:id="90" w:name="_Hlk39045440"/>
      <w:r>
        <w:rPr>
          <w:rFonts w:hint="default" w:ascii="Times New Roman" w:hAnsi="Times New Roman" w:eastAsia="宋体" w:cs="Times New Roman"/>
          <w:color w:val="auto"/>
          <w:kern w:val="2"/>
          <w:sz w:val="24"/>
          <w:szCs w:val="24"/>
          <w:lang w:val="en-US" w:eastAsia="zh-CN" w:bidi="ar-SA"/>
        </w:rPr>
        <w:t>环境风险评价等级</w:t>
      </w:r>
      <w:bookmarkEnd w:id="90"/>
      <w:r>
        <w:rPr>
          <w:rFonts w:hint="default" w:ascii="Times New Roman" w:hAnsi="Times New Roman" w:eastAsia="宋体" w:cs="Times New Roman"/>
          <w:color w:val="auto"/>
          <w:kern w:val="2"/>
          <w:sz w:val="24"/>
          <w:szCs w:val="24"/>
          <w:lang w:val="en-US" w:eastAsia="zh-CN" w:bidi="ar-SA"/>
        </w:rPr>
        <w:t>为简单评价。</w:t>
      </w:r>
    </w:p>
    <w:p>
      <w:pPr>
        <w:spacing w:beforeLines="50" w:line="360" w:lineRule="auto"/>
        <w:ind w:firstLine="480" w:firstLineChars="200"/>
        <w:rPr>
          <w:rFonts w:hint="default" w:ascii="Times New Roman" w:hAnsi="Times New Roman" w:eastAsia="宋体" w:cs="Times New Roman"/>
          <w:sz w:val="24"/>
          <w:szCs w:val="20"/>
        </w:rPr>
      </w:pPr>
      <w:r>
        <w:rPr>
          <w:rFonts w:hint="default" w:ascii="Times New Roman" w:hAnsi="Times New Roman" w:eastAsia="宋体" w:cs="Times New Roman"/>
          <w:sz w:val="24"/>
          <w:szCs w:val="20"/>
        </w:rPr>
        <w:t>（</w:t>
      </w:r>
      <w:r>
        <w:rPr>
          <w:rFonts w:hint="default" w:ascii="Times New Roman" w:hAnsi="Times New Roman" w:eastAsia="宋体" w:cs="Times New Roman"/>
          <w:sz w:val="24"/>
          <w:szCs w:val="20"/>
          <w:lang w:val="en-US" w:eastAsia="zh-CN"/>
        </w:rPr>
        <w:t>7</w:t>
      </w:r>
      <w:r>
        <w:rPr>
          <w:rFonts w:hint="default" w:ascii="Times New Roman" w:hAnsi="Times New Roman" w:eastAsia="宋体" w:cs="Times New Roman"/>
          <w:sz w:val="24"/>
          <w:szCs w:val="20"/>
        </w:rPr>
        <w:t>）生态环境影响评价等级</w:t>
      </w:r>
    </w:p>
    <w:p>
      <w:pPr>
        <w:spacing w:beforeLines="50" w:line="360" w:lineRule="auto"/>
        <w:ind w:firstLine="480" w:firstLineChars="200"/>
        <w:rPr>
          <w:rFonts w:hint="default" w:ascii="Times New Roman" w:hAnsi="Times New Roman" w:eastAsia="宋体" w:cs="Times New Roman"/>
          <w:sz w:val="24"/>
          <w:szCs w:val="20"/>
        </w:rPr>
      </w:pPr>
      <w:r>
        <w:rPr>
          <w:rFonts w:hint="default" w:ascii="Times New Roman" w:hAnsi="Times New Roman" w:eastAsia="宋体" w:cs="Times New Roman"/>
          <w:sz w:val="24"/>
          <w:szCs w:val="20"/>
        </w:rPr>
        <w:t>本项目占地</w:t>
      </w:r>
      <w:r>
        <w:rPr>
          <w:rFonts w:hint="default" w:ascii="Times New Roman" w:hAnsi="Times New Roman" w:eastAsia="宋体" w:cs="Times New Roman"/>
          <w:color w:val="auto"/>
          <w:sz w:val="24"/>
          <w:lang w:val="en-US" w:eastAsia="zh-CN"/>
        </w:rPr>
        <w:t>面积66552m</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sz w:val="24"/>
          <w:szCs w:val="20"/>
        </w:rPr>
        <w:t>，小于2km</w:t>
      </w:r>
      <w:r>
        <w:rPr>
          <w:rFonts w:hint="default" w:ascii="Times New Roman" w:hAnsi="Times New Roman" w:eastAsia="宋体" w:cs="Times New Roman"/>
          <w:sz w:val="24"/>
          <w:szCs w:val="20"/>
          <w:vertAlign w:val="superscript"/>
        </w:rPr>
        <w:t>2</w:t>
      </w:r>
      <w:r>
        <w:rPr>
          <w:rFonts w:hint="default" w:ascii="Times New Roman" w:hAnsi="Times New Roman" w:eastAsia="宋体" w:cs="Times New Roman"/>
          <w:sz w:val="24"/>
          <w:szCs w:val="20"/>
        </w:rPr>
        <w:t>，经现场调查和资料收集，本项目影响区域不涉及特殊和重要生态敏感区，生态环境敏感程度一般，根据《环境影响评价技术导则-生态影响》（HJ19-2011），生态影响评价工作等级为三级。</w:t>
      </w:r>
    </w:p>
    <w:p>
      <w:pPr>
        <w:pStyle w:val="73"/>
        <w:spacing w:beforeLines="20" w:afterLines="20"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sz w:val="28"/>
          <w:szCs w:val="28"/>
        </w:rPr>
        <w:t>1.5.2评价时段</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根据项目特点和环境管理部门的要求，本次评价时段为施工期及运营期，重点为运营期。</w:t>
      </w:r>
    </w:p>
    <w:p>
      <w:pPr>
        <w:pStyle w:val="73"/>
        <w:spacing w:beforeLines="20" w:afterLines="20"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sz w:val="28"/>
          <w:szCs w:val="28"/>
        </w:rPr>
        <w:t>1.5.3评价重点</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根据项目排放污染因子以及项目建设特点、规模及周围环境，提出合理的环保措施，并重点评价建设项目排放的废气对周边环境的影响，确定总量控制因子和总量控制目标，提出相应的污染防治对策以及保护措施，合理确定本项目应执行的卫生防护距离。</w:t>
      </w:r>
    </w:p>
    <w:p>
      <w:pPr>
        <w:pStyle w:val="73"/>
        <w:spacing w:beforeLines="50" w:line="360" w:lineRule="auto"/>
        <w:outlineLvl w:val="1"/>
        <w:rPr>
          <w:rFonts w:hint="default" w:ascii="Times New Roman" w:hAnsi="Times New Roman" w:eastAsia="宋体" w:cs="Times New Roman"/>
          <w:color w:val="auto"/>
          <w:sz w:val="28"/>
          <w:szCs w:val="28"/>
        </w:rPr>
      </w:pPr>
      <w:bookmarkStart w:id="91" w:name="_Toc31187"/>
      <w:r>
        <w:rPr>
          <w:rFonts w:hint="default" w:ascii="Times New Roman" w:hAnsi="Times New Roman" w:eastAsia="宋体" w:cs="Times New Roman"/>
          <w:color w:val="auto"/>
          <w:sz w:val="28"/>
          <w:szCs w:val="28"/>
        </w:rPr>
        <w:t>1.6评价范围</w:t>
      </w:r>
      <w:bookmarkEnd w:id="85"/>
      <w:bookmarkEnd w:id="86"/>
      <w:bookmarkEnd w:id="87"/>
      <w:bookmarkEnd w:id="88"/>
      <w:bookmarkEnd w:id="89"/>
      <w:r>
        <w:rPr>
          <w:rFonts w:hint="default" w:ascii="Times New Roman" w:hAnsi="Times New Roman" w:eastAsia="宋体" w:cs="Times New Roman"/>
          <w:color w:val="auto"/>
          <w:sz w:val="28"/>
          <w:szCs w:val="28"/>
        </w:rPr>
        <w:t>及环境保护目标</w:t>
      </w:r>
      <w:bookmarkEnd w:id="91"/>
    </w:p>
    <w:p>
      <w:pPr>
        <w:pStyle w:val="73"/>
        <w:spacing w:beforeLines="20" w:afterLines="20" w:line="360"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1.6.1评价范围</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根据各专题评价工作等级，结合当地气象、水文、地质条件和建设项目“三废”排放情况及场址周围企事业单位、居民分布特点，本次评价范围见表1.6-1。</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表1.6-1                         评价范围表</w:t>
      </w:r>
    </w:p>
    <w:tbl>
      <w:tblPr>
        <w:tblStyle w:val="51"/>
        <w:tblW w:w="5005"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17"/>
        <w:gridCol w:w="2006"/>
        <w:gridCol w:w="527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51"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项目</w:t>
            </w:r>
          </w:p>
        </w:tc>
        <w:tc>
          <w:tcPr>
            <w:tcW w:w="1840"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评价等级</w:t>
            </w:r>
          </w:p>
        </w:tc>
        <w:tc>
          <w:tcPr>
            <w:tcW w:w="4840"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评价范围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51"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环境空气</w:t>
            </w:r>
          </w:p>
        </w:tc>
        <w:tc>
          <w:tcPr>
            <w:tcW w:w="1840"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二级</w:t>
            </w:r>
          </w:p>
        </w:tc>
        <w:tc>
          <w:tcPr>
            <w:tcW w:w="4840"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lang w:eastAsia="zh-CN"/>
              </w:rPr>
              <w:t>厂界外延</w:t>
            </w:r>
            <w:r>
              <w:rPr>
                <w:rFonts w:hint="default" w:ascii="Times New Roman" w:hAnsi="Times New Roman" w:eastAsia="宋体" w:cs="Times New Roman"/>
                <w:b w:val="0"/>
                <w:bCs w:val="0"/>
                <w:color w:val="auto"/>
                <w:szCs w:val="21"/>
                <w:lang w:val="en-US" w:eastAsia="zh-CN"/>
              </w:rPr>
              <w:t>2.5</w:t>
            </w:r>
            <w:r>
              <w:rPr>
                <w:rFonts w:hint="default" w:ascii="Times New Roman" w:hAnsi="Times New Roman" w:eastAsia="宋体" w:cs="Times New Roman"/>
                <w:b w:val="0"/>
                <w:bCs w:val="0"/>
                <w:color w:val="auto"/>
                <w:szCs w:val="21"/>
              </w:rPr>
              <w:t>km的矩形</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51"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声环境</w:t>
            </w:r>
          </w:p>
        </w:tc>
        <w:tc>
          <w:tcPr>
            <w:tcW w:w="1840"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lang w:eastAsia="zh-CN"/>
              </w:rPr>
              <w:t>二</w:t>
            </w:r>
            <w:r>
              <w:rPr>
                <w:rFonts w:hint="default" w:ascii="Times New Roman" w:hAnsi="Times New Roman" w:eastAsia="宋体" w:cs="Times New Roman"/>
                <w:b w:val="0"/>
                <w:bCs w:val="0"/>
                <w:color w:val="auto"/>
                <w:szCs w:val="21"/>
              </w:rPr>
              <w:t>级</w:t>
            </w:r>
          </w:p>
        </w:tc>
        <w:tc>
          <w:tcPr>
            <w:tcW w:w="4840"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厂界外200m以内的区域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51"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地表水环境</w:t>
            </w:r>
          </w:p>
        </w:tc>
        <w:tc>
          <w:tcPr>
            <w:tcW w:w="1840"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三级B</w:t>
            </w:r>
          </w:p>
        </w:tc>
        <w:tc>
          <w:tcPr>
            <w:tcW w:w="4840"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lang w:eastAsia="zh-CN"/>
              </w:rPr>
            </w:pPr>
            <w:r>
              <w:rPr>
                <w:rFonts w:hint="default" w:ascii="Times New Roman" w:hAnsi="Times New Roman" w:eastAsia="宋体" w:cs="Times New Roman"/>
                <w:b w:val="0"/>
                <w:bCs w:val="0"/>
                <w:color w:val="auto"/>
                <w:szCs w:val="21"/>
                <w:lang w:eastAsia="zh-CN"/>
              </w:rPr>
              <w:t>不设评价范围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51"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地下水环境</w:t>
            </w:r>
          </w:p>
        </w:tc>
        <w:tc>
          <w:tcPr>
            <w:tcW w:w="1840"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lang w:eastAsia="zh-CN"/>
              </w:rPr>
              <w:t>二</w:t>
            </w:r>
            <w:r>
              <w:rPr>
                <w:rFonts w:hint="default" w:ascii="Times New Roman" w:hAnsi="Times New Roman" w:eastAsia="宋体" w:cs="Times New Roman"/>
                <w:b w:val="0"/>
                <w:bCs w:val="0"/>
                <w:color w:val="auto"/>
                <w:szCs w:val="21"/>
              </w:rPr>
              <w:t>级</w:t>
            </w:r>
          </w:p>
        </w:tc>
        <w:tc>
          <w:tcPr>
            <w:tcW w:w="4840"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szCs w:val="21"/>
              </w:rPr>
              <w:t>项目所在区水文地质单元</w:t>
            </w:r>
            <w:r>
              <w:rPr>
                <w:rFonts w:hint="default" w:ascii="Times New Roman" w:hAnsi="Times New Roman" w:eastAsia="宋体" w:cs="Times New Roman"/>
                <w:szCs w:val="21"/>
                <w:lang w:val="en-US" w:eastAsia="zh-CN"/>
              </w:rPr>
              <w:t>6-</w:t>
            </w:r>
            <w:r>
              <w:rPr>
                <w:rFonts w:hint="default" w:ascii="Times New Roman" w:hAnsi="Times New Roman" w:eastAsia="宋体" w:cs="Times New Roman"/>
                <w:b w:val="0"/>
                <w:bCs w:val="0"/>
                <w:color w:val="auto"/>
                <w:szCs w:val="21"/>
                <w:lang w:val="en-US" w:eastAsia="zh-CN"/>
              </w:rPr>
              <w:t>20</w:t>
            </w:r>
            <w:r>
              <w:rPr>
                <w:rFonts w:hint="default" w:ascii="Times New Roman" w:hAnsi="Times New Roman" w:eastAsia="宋体" w:cs="Times New Roman"/>
                <w:b w:val="0"/>
                <w:bCs w:val="0"/>
                <w:color w:val="auto"/>
                <w:szCs w:val="21"/>
              </w:rPr>
              <w:t>km</w:t>
            </w:r>
            <w:r>
              <w:rPr>
                <w:rFonts w:hint="default" w:ascii="Times New Roman" w:hAnsi="Times New Roman" w:eastAsia="宋体" w:cs="Times New Roman"/>
                <w:b w:val="0"/>
                <w:bCs w:val="0"/>
                <w:color w:val="auto"/>
                <w:sz w:val="21"/>
                <w:szCs w:val="21"/>
                <w:vertAlign w:val="superscript"/>
              </w:rPr>
              <w:t>2</w:t>
            </w:r>
            <w:r>
              <w:rPr>
                <w:rFonts w:hint="default" w:ascii="Times New Roman" w:hAnsi="Times New Roman" w:eastAsia="宋体" w:cs="Times New Roman"/>
                <w:b w:val="0"/>
                <w:bCs w:val="0"/>
                <w:color w:val="auto"/>
                <w:szCs w:val="21"/>
              </w:rPr>
              <w:t>范围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51"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土壤环境</w:t>
            </w:r>
          </w:p>
        </w:tc>
        <w:tc>
          <w:tcPr>
            <w:tcW w:w="1840"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lang w:eastAsia="zh-CN"/>
              </w:rPr>
              <w:t>三</w:t>
            </w:r>
            <w:r>
              <w:rPr>
                <w:rFonts w:hint="default" w:ascii="Times New Roman" w:hAnsi="Times New Roman" w:eastAsia="宋体" w:cs="Times New Roman"/>
                <w:b w:val="0"/>
                <w:bCs w:val="0"/>
                <w:color w:val="auto"/>
                <w:szCs w:val="21"/>
              </w:rPr>
              <w:t>级</w:t>
            </w:r>
          </w:p>
        </w:tc>
        <w:tc>
          <w:tcPr>
            <w:tcW w:w="4840"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建设项目边界外延</w:t>
            </w:r>
            <w:r>
              <w:rPr>
                <w:rFonts w:hint="default" w:ascii="Times New Roman" w:hAnsi="Times New Roman" w:eastAsia="宋体" w:cs="Times New Roman"/>
                <w:b w:val="0"/>
                <w:bCs w:val="0"/>
                <w:color w:val="auto"/>
                <w:szCs w:val="21"/>
                <w:lang w:val="en-US" w:eastAsia="zh-CN"/>
              </w:rPr>
              <w:t>5</w:t>
            </w:r>
            <w:r>
              <w:rPr>
                <w:rFonts w:hint="default" w:ascii="Times New Roman" w:hAnsi="Times New Roman" w:eastAsia="宋体" w:cs="Times New Roman"/>
                <w:b w:val="0"/>
                <w:bCs w:val="0"/>
                <w:color w:val="auto"/>
                <w:szCs w:val="21"/>
              </w:rPr>
              <w:t>0m范围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51"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lang w:val="en-US" w:eastAsia="zh-CN"/>
              </w:rPr>
            </w:pPr>
            <w:bookmarkStart w:id="92" w:name="_Toc400617541"/>
            <w:bookmarkStart w:id="93" w:name="_Toc174806208"/>
            <w:bookmarkStart w:id="94" w:name="_Toc476224979"/>
            <w:bookmarkStart w:id="95" w:name="_Toc272060394"/>
            <w:bookmarkStart w:id="96" w:name="_Toc355284843"/>
            <w:r>
              <w:rPr>
                <w:rFonts w:hint="default" w:ascii="Times New Roman" w:hAnsi="Times New Roman" w:eastAsia="宋体" w:cs="Times New Roman"/>
                <w:b w:val="0"/>
                <w:bCs w:val="0"/>
                <w:color w:val="auto"/>
                <w:szCs w:val="21"/>
              </w:rPr>
              <w:t>环境风险</w:t>
            </w:r>
          </w:p>
        </w:tc>
        <w:tc>
          <w:tcPr>
            <w:tcW w:w="1840" w:type="dxa"/>
            <w:tcBorders>
              <w:tl2br w:val="nil"/>
              <w:tr2bl w:val="nil"/>
            </w:tcBorders>
            <w:noWrap/>
            <w:vAlign w:val="center"/>
          </w:tcPr>
          <w:p>
            <w:pPr>
              <w:adjustRightInd w:val="0"/>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简单分析</w:t>
            </w:r>
          </w:p>
        </w:tc>
        <w:tc>
          <w:tcPr>
            <w:tcW w:w="4840"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51"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lang w:eastAsia="zh-CN"/>
              </w:rPr>
            </w:pPr>
            <w:r>
              <w:rPr>
                <w:rFonts w:hint="default" w:ascii="Times New Roman" w:hAnsi="Times New Roman" w:eastAsia="宋体" w:cs="Times New Roman"/>
                <w:b w:val="0"/>
                <w:bCs w:val="0"/>
                <w:color w:val="auto"/>
                <w:szCs w:val="21"/>
                <w:lang w:eastAsia="zh-CN"/>
              </w:rPr>
              <w:t>生态环境</w:t>
            </w:r>
          </w:p>
        </w:tc>
        <w:tc>
          <w:tcPr>
            <w:tcW w:w="1840"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lang w:eastAsia="zh-CN"/>
              </w:rPr>
            </w:pPr>
            <w:r>
              <w:rPr>
                <w:rFonts w:hint="default" w:ascii="Times New Roman" w:hAnsi="Times New Roman" w:eastAsia="宋体" w:cs="Times New Roman"/>
                <w:b w:val="0"/>
                <w:bCs w:val="0"/>
                <w:color w:val="auto"/>
                <w:szCs w:val="21"/>
                <w:lang w:eastAsia="zh-CN"/>
              </w:rPr>
              <w:t>三</w:t>
            </w:r>
            <w:r>
              <w:rPr>
                <w:rFonts w:hint="default" w:ascii="Times New Roman" w:hAnsi="Times New Roman" w:eastAsia="宋体" w:cs="Times New Roman"/>
                <w:b w:val="0"/>
                <w:bCs w:val="0"/>
                <w:color w:val="auto"/>
                <w:szCs w:val="21"/>
              </w:rPr>
              <w:t>级</w:t>
            </w:r>
          </w:p>
        </w:tc>
        <w:tc>
          <w:tcPr>
            <w:tcW w:w="4840" w:type="dxa"/>
            <w:tcBorders>
              <w:tl2br w:val="nil"/>
              <w:tr2bl w:val="nil"/>
            </w:tcBorders>
            <w:noWrap/>
            <w:vAlign w:val="center"/>
          </w:tcPr>
          <w:p>
            <w:pPr>
              <w:adjustRightInd w:val="0"/>
              <w:jc w:val="center"/>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区域外延200m</w:t>
            </w:r>
          </w:p>
        </w:tc>
      </w:tr>
    </w:tbl>
    <w:p>
      <w:pPr>
        <w:pStyle w:val="73"/>
        <w:spacing w:beforeLines="50" w:line="360"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1.6.2环境保护目标</w:t>
      </w:r>
      <w:bookmarkEnd w:id="92"/>
      <w:bookmarkEnd w:id="93"/>
      <w:bookmarkEnd w:id="94"/>
      <w:bookmarkEnd w:id="95"/>
      <w:bookmarkEnd w:id="96"/>
    </w:p>
    <w:p>
      <w:pPr>
        <w:pStyle w:val="475"/>
        <w:spacing w:beforeLines="50"/>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根据评价范围，本次评价重点调查了场址周围的环境敏感目标，调查内容主要包括人口集中居住区等敏感目标。本次评价范围内重点环境保护敏感目标见表1.6-2和图1.6-1</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1.6-2、1.6-3</w:t>
      </w:r>
      <w:r>
        <w:rPr>
          <w:rFonts w:hint="default" w:ascii="Times New Roman" w:hAnsi="Times New Roman" w:eastAsia="宋体" w:cs="Times New Roman"/>
          <w:color w:val="auto"/>
        </w:rPr>
        <w:t>。</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 xml:space="preserve">表1.6-2                 </w:t>
      </w:r>
      <w:r>
        <w:rPr>
          <w:rFonts w:hint="eastAsia" w:ascii="Times New Roman" w:hAnsi="Times New Roman" w:eastAsia="宋体" w:cs="Times New Roman"/>
          <w:color w:val="auto"/>
          <w:sz w:val="24"/>
          <w:szCs w:val="22"/>
          <w:lang w:val="en-US" w:eastAsia="zh-CN"/>
        </w:rPr>
        <w:t xml:space="preserve"> </w:t>
      </w:r>
      <w:r>
        <w:rPr>
          <w:rFonts w:hint="default" w:ascii="Times New Roman" w:hAnsi="Times New Roman" w:eastAsia="宋体" w:cs="Times New Roman"/>
          <w:color w:val="auto"/>
          <w:sz w:val="24"/>
          <w:szCs w:val="22"/>
          <w:lang w:val="en-US" w:eastAsia="zh-CN"/>
        </w:rPr>
        <w:t xml:space="preserve">  项目区周围主要敏感目标</w:t>
      </w:r>
    </w:p>
    <w:tbl>
      <w:tblPr>
        <w:tblStyle w:val="51"/>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5"/>
        <w:gridCol w:w="1334"/>
        <w:gridCol w:w="1215"/>
        <w:gridCol w:w="8"/>
        <w:gridCol w:w="1292"/>
        <w:gridCol w:w="760"/>
        <w:gridCol w:w="820"/>
        <w:gridCol w:w="1080"/>
        <w:gridCol w:w="980"/>
        <w:gridCol w:w="99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restart"/>
            <w:tcBorders>
              <w:tl2br w:val="nil"/>
              <w:tr2bl w:val="nil"/>
            </w:tcBorders>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环境要素</w:t>
            </w:r>
          </w:p>
        </w:tc>
        <w:tc>
          <w:tcPr>
            <w:tcW w:w="1334" w:type="dxa"/>
            <w:vMerge w:val="restart"/>
            <w:tcBorders>
              <w:tl2br w:val="nil"/>
              <w:tr2bl w:val="nil"/>
            </w:tcBorders>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名称</w:t>
            </w:r>
          </w:p>
        </w:tc>
        <w:tc>
          <w:tcPr>
            <w:tcW w:w="2515" w:type="dxa"/>
            <w:gridSpan w:val="3"/>
            <w:tcBorders>
              <w:tl2br w:val="nil"/>
              <w:tr2bl w:val="nil"/>
            </w:tcBorders>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坐标</w:t>
            </w:r>
          </w:p>
        </w:tc>
        <w:tc>
          <w:tcPr>
            <w:tcW w:w="760" w:type="dxa"/>
            <w:vMerge w:val="restart"/>
            <w:tcBorders>
              <w:tl2br w:val="nil"/>
              <w:tr2bl w:val="nil"/>
            </w:tcBorders>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保护对象</w:t>
            </w:r>
          </w:p>
        </w:tc>
        <w:tc>
          <w:tcPr>
            <w:tcW w:w="820" w:type="dxa"/>
            <w:vMerge w:val="restart"/>
            <w:tcBorders>
              <w:tl2br w:val="nil"/>
              <w:tr2bl w:val="nil"/>
            </w:tcBorders>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保护</w:t>
            </w:r>
          </w:p>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内容</w:t>
            </w:r>
          </w:p>
        </w:tc>
        <w:tc>
          <w:tcPr>
            <w:tcW w:w="1080" w:type="dxa"/>
            <w:vMerge w:val="restart"/>
            <w:tcBorders>
              <w:tl2br w:val="nil"/>
              <w:tr2bl w:val="nil"/>
            </w:tcBorders>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环境功能区</w:t>
            </w:r>
          </w:p>
        </w:tc>
        <w:tc>
          <w:tcPr>
            <w:tcW w:w="980" w:type="dxa"/>
            <w:vMerge w:val="restart"/>
            <w:tcBorders>
              <w:tl2br w:val="nil"/>
              <w:tr2bl w:val="nil"/>
            </w:tcBorders>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相对厂址方位</w:t>
            </w:r>
          </w:p>
        </w:tc>
        <w:tc>
          <w:tcPr>
            <w:tcW w:w="993" w:type="dxa"/>
            <w:vMerge w:val="restart"/>
            <w:tcBorders>
              <w:tl2br w:val="nil"/>
              <w:tr2bl w:val="nil"/>
            </w:tcBorders>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相对厂界距离m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1334"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1215" w:type="dxa"/>
            <w:tcBorders>
              <w:tl2br w:val="nil"/>
              <w:tr2bl w:val="nil"/>
            </w:tcBorders>
            <w:noWrap w:val="0"/>
            <w:vAlign w:val="center"/>
          </w:tcPr>
          <w:p>
            <w:pPr>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东经</w:t>
            </w:r>
          </w:p>
        </w:tc>
        <w:tc>
          <w:tcPr>
            <w:tcW w:w="1300" w:type="dxa"/>
            <w:gridSpan w:val="2"/>
            <w:tcBorders>
              <w:tl2br w:val="nil"/>
              <w:tr2bl w:val="nil"/>
            </w:tcBorders>
            <w:noWrap w:val="0"/>
            <w:vAlign w:val="center"/>
          </w:tcPr>
          <w:p>
            <w:pPr>
              <w:jc w:val="center"/>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北纬</w:t>
            </w:r>
          </w:p>
        </w:tc>
        <w:tc>
          <w:tcPr>
            <w:tcW w:w="760"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820"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1080"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980"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993" w:type="dxa"/>
            <w:vMerge w:val="continue"/>
            <w:tcBorders>
              <w:tl2br w:val="nil"/>
              <w:tr2bl w:val="nil"/>
            </w:tcBorders>
            <w:noWrap w:val="0"/>
            <w:vAlign w:val="center"/>
          </w:tcPr>
          <w:p>
            <w:pPr>
              <w:ind w:firstLine="420" w:firstLineChars="200"/>
              <w:rPr>
                <w:rFonts w:hint="default" w:ascii="Times New Roman" w:hAnsi="Times New Roman" w:eastAsia="宋体" w:cs="Times New Roman"/>
                <w:b w:val="0"/>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restart"/>
            <w:tcBorders>
              <w:tl2br w:val="nil"/>
              <w:tr2bl w:val="nil"/>
            </w:tcBorders>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大气</w:t>
            </w:r>
          </w:p>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环境</w:t>
            </w:r>
          </w:p>
        </w:tc>
        <w:tc>
          <w:tcPr>
            <w:tcW w:w="13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喇嘛洞</w:t>
            </w:r>
          </w:p>
        </w:tc>
        <w:tc>
          <w:tcPr>
            <w:tcW w:w="12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rPr>
            </w:pPr>
            <w:r>
              <w:rPr>
                <w:rFonts w:hint="default" w:ascii="Times New Roman" w:hAnsi="Times New Roman" w:eastAsia="宋体" w:cs="Times New Roman"/>
                <w:b w:val="0"/>
                <w:bCs/>
                <w:color w:val="auto"/>
                <w:szCs w:val="21"/>
                <w:lang w:val="en-US" w:eastAsia="zh-CN"/>
              </w:rPr>
              <w:t>120.589027</w:t>
            </w:r>
          </w:p>
        </w:tc>
        <w:tc>
          <w:tcPr>
            <w:tcW w:w="130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rPr>
            </w:pPr>
            <w:r>
              <w:rPr>
                <w:rFonts w:hint="default" w:ascii="Times New Roman" w:hAnsi="Times New Roman" w:eastAsia="宋体" w:cs="Times New Roman"/>
                <w:b w:val="0"/>
                <w:bCs/>
                <w:color w:val="auto"/>
                <w:szCs w:val="21"/>
                <w:lang w:val="en-US" w:eastAsia="zh-CN"/>
              </w:rPr>
              <w:t>41.969988</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kern w:val="0"/>
                <w:szCs w:val="21"/>
                <w:lang w:val="en-US" w:eastAsia="zh-CN"/>
              </w:rPr>
              <w:t>居民</w:t>
            </w:r>
          </w:p>
        </w:tc>
        <w:tc>
          <w:tcPr>
            <w:tcW w:w="820" w:type="dxa"/>
            <w:tcBorders>
              <w:tl2br w:val="nil"/>
              <w:tr2bl w:val="nil"/>
            </w:tcBorders>
            <w:noWrap w:val="0"/>
            <w:vAlign w:val="center"/>
          </w:tcPr>
          <w:p>
            <w:pPr>
              <w:pStyle w:val="3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lang w:val="en-US" w:eastAsia="zh-CN"/>
              </w:rPr>
              <w:t>45人</w:t>
            </w:r>
          </w:p>
        </w:tc>
        <w:tc>
          <w:tcPr>
            <w:tcW w:w="108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环境空气</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二类区</w:t>
            </w: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lang w:val="en-US" w:eastAsia="zh-CN"/>
              </w:rPr>
              <w:t>西南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rPr>
            </w:pPr>
            <w:r>
              <w:rPr>
                <w:rFonts w:hint="default" w:ascii="Times New Roman" w:hAnsi="Times New Roman" w:eastAsia="宋体" w:cs="Times New Roman"/>
                <w:b w:val="0"/>
                <w:bCs/>
                <w:color w:val="auto"/>
                <w:szCs w:val="21"/>
                <w:lang w:val="en-US" w:eastAsia="zh-CN"/>
              </w:rPr>
              <w:t>650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13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小巴沟河东</w:t>
            </w:r>
          </w:p>
        </w:tc>
        <w:tc>
          <w:tcPr>
            <w:tcW w:w="12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rPr>
            </w:pPr>
            <w:r>
              <w:rPr>
                <w:rFonts w:hint="default" w:ascii="Times New Roman" w:hAnsi="Times New Roman" w:eastAsia="宋体" w:cs="Times New Roman"/>
                <w:b w:val="0"/>
                <w:bCs/>
                <w:color w:val="auto"/>
                <w:szCs w:val="21"/>
                <w:lang w:val="en-US" w:eastAsia="zh-CN"/>
              </w:rPr>
              <w:t>120.567441</w:t>
            </w:r>
          </w:p>
        </w:tc>
        <w:tc>
          <w:tcPr>
            <w:tcW w:w="130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rPr>
            </w:pPr>
            <w:r>
              <w:rPr>
                <w:rFonts w:hint="default" w:ascii="Times New Roman" w:hAnsi="Times New Roman" w:eastAsia="宋体" w:cs="Times New Roman"/>
                <w:b w:val="0"/>
                <w:bCs/>
                <w:color w:val="auto"/>
                <w:szCs w:val="21"/>
                <w:lang w:val="en-US" w:eastAsia="zh-CN"/>
              </w:rPr>
              <w:t>41.979337</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居民</w:t>
            </w:r>
          </w:p>
        </w:tc>
        <w:tc>
          <w:tcPr>
            <w:tcW w:w="820" w:type="dxa"/>
            <w:tcBorders>
              <w:tl2br w:val="nil"/>
              <w:tr2bl w:val="nil"/>
            </w:tcBorders>
            <w:noWrap w:val="0"/>
            <w:vAlign w:val="center"/>
          </w:tcPr>
          <w:p>
            <w:pPr>
              <w:pStyle w:val="3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654人</w:t>
            </w:r>
          </w:p>
        </w:tc>
        <w:tc>
          <w:tcPr>
            <w:tcW w:w="10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lang w:val="en-US" w:eastAsia="zh-CN"/>
              </w:rPr>
              <w:t>西北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rPr>
            </w:pPr>
            <w:r>
              <w:rPr>
                <w:rFonts w:hint="default" w:ascii="Times New Roman" w:hAnsi="Times New Roman" w:eastAsia="宋体" w:cs="Times New Roman"/>
                <w:b w:val="0"/>
                <w:bCs/>
                <w:color w:val="auto"/>
                <w:szCs w:val="21"/>
                <w:lang w:val="en-US" w:eastAsia="zh-CN"/>
              </w:rPr>
              <w:t>1890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13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 w:val="21"/>
                <w:szCs w:val="21"/>
                <w:lang w:val="en-US" w:eastAsia="zh-CN"/>
              </w:rPr>
              <w:t>下洼</w:t>
            </w:r>
          </w:p>
        </w:tc>
        <w:tc>
          <w:tcPr>
            <w:tcW w:w="12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 w:val="21"/>
                <w:szCs w:val="21"/>
                <w:lang w:val="en-US" w:eastAsia="zh-CN"/>
              </w:rPr>
              <w:t>120.573149</w:t>
            </w:r>
          </w:p>
        </w:tc>
        <w:tc>
          <w:tcPr>
            <w:tcW w:w="130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 w:val="21"/>
                <w:szCs w:val="21"/>
                <w:lang w:val="en-US" w:eastAsia="zh-CN"/>
              </w:rPr>
              <w:t>41.965106</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Cs w:val="21"/>
                <w:lang w:val="en-US" w:eastAsia="zh-CN"/>
              </w:rPr>
            </w:pPr>
            <w:r>
              <w:rPr>
                <w:rFonts w:hint="default" w:ascii="Times New Roman" w:hAnsi="Times New Roman" w:eastAsia="宋体" w:cs="Times New Roman"/>
                <w:b w:val="0"/>
                <w:bCs/>
                <w:color w:val="auto"/>
                <w:kern w:val="0"/>
                <w:sz w:val="21"/>
                <w:szCs w:val="21"/>
                <w:lang w:val="en-US" w:eastAsia="zh-CN"/>
              </w:rPr>
              <w:t>居民</w:t>
            </w:r>
          </w:p>
        </w:tc>
        <w:tc>
          <w:tcPr>
            <w:tcW w:w="820" w:type="dxa"/>
            <w:tcBorders>
              <w:tl2br w:val="nil"/>
              <w:tr2bl w:val="nil"/>
            </w:tcBorders>
            <w:noWrap w:val="0"/>
            <w:vAlign w:val="center"/>
          </w:tcPr>
          <w:p>
            <w:pPr>
              <w:pStyle w:val="3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 w:val="21"/>
                <w:szCs w:val="21"/>
                <w:lang w:val="en-US" w:eastAsia="zh-CN"/>
              </w:rPr>
              <w:t>336人</w:t>
            </w:r>
          </w:p>
        </w:tc>
        <w:tc>
          <w:tcPr>
            <w:tcW w:w="10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西南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1917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13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树林子</w:t>
            </w:r>
          </w:p>
        </w:tc>
        <w:tc>
          <w:tcPr>
            <w:tcW w:w="12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Cs w:val="21"/>
                <w:lang w:val="en-US" w:eastAsia="zh-CN"/>
              </w:rPr>
              <w:t>120.583706</w:t>
            </w:r>
          </w:p>
        </w:tc>
        <w:tc>
          <w:tcPr>
            <w:tcW w:w="130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Cs w:val="21"/>
                <w:lang w:val="en-US" w:eastAsia="zh-CN"/>
              </w:rPr>
              <w:t>41.998986</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居民</w:t>
            </w:r>
          </w:p>
        </w:tc>
        <w:tc>
          <w:tcPr>
            <w:tcW w:w="820" w:type="dxa"/>
            <w:tcBorders>
              <w:tl2br w:val="nil"/>
              <w:tr2bl w:val="nil"/>
            </w:tcBorders>
            <w:noWrap w:val="0"/>
            <w:vAlign w:val="center"/>
          </w:tcPr>
          <w:p>
            <w:pPr>
              <w:pStyle w:val="3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kern w:val="0"/>
                <w:sz w:val="21"/>
                <w:szCs w:val="21"/>
                <w:lang w:val="en-US" w:eastAsia="zh-CN" w:bidi="ar-SA"/>
              </w:rPr>
              <w:t>61人</w:t>
            </w:r>
          </w:p>
        </w:tc>
        <w:tc>
          <w:tcPr>
            <w:tcW w:w="10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西北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2271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13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大杖子</w:t>
            </w:r>
          </w:p>
        </w:tc>
        <w:tc>
          <w:tcPr>
            <w:tcW w:w="12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120.593619</w:t>
            </w:r>
          </w:p>
        </w:tc>
        <w:tc>
          <w:tcPr>
            <w:tcW w:w="130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41.995733</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Cs w:val="21"/>
                <w:lang w:val="en-US" w:eastAsia="zh-CN"/>
              </w:rPr>
            </w:pPr>
            <w:r>
              <w:rPr>
                <w:rFonts w:hint="default" w:ascii="Times New Roman" w:hAnsi="Times New Roman" w:eastAsia="宋体" w:cs="Times New Roman"/>
                <w:b w:val="0"/>
                <w:bCs/>
                <w:color w:val="auto"/>
                <w:kern w:val="0"/>
                <w:sz w:val="21"/>
                <w:szCs w:val="21"/>
                <w:lang w:val="en-US" w:eastAsia="zh-CN"/>
              </w:rPr>
              <w:t>居民</w:t>
            </w:r>
          </w:p>
        </w:tc>
        <w:tc>
          <w:tcPr>
            <w:tcW w:w="820" w:type="dxa"/>
            <w:tcBorders>
              <w:tl2br w:val="nil"/>
              <w:tr2bl w:val="nil"/>
            </w:tcBorders>
            <w:noWrap w:val="0"/>
            <w:vAlign w:val="center"/>
          </w:tcPr>
          <w:p>
            <w:pPr>
              <w:pStyle w:val="3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bidi="ar-SA"/>
              </w:rPr>
              <w:t>107人</w:t>
            </w:r>
          </w:p>
        </w:tc>
        <w:tc>
          <w:tcPr>
            <w:tcW w:w="10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1818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13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薛台子</w:t>
            </w:r>
          </w:p>
        </w:tc>
        <w:tc>
          <w:tcPr>
            <w:tcW w:w="12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120.601945</w:t>
            </w:r>
          </w:p>
        </w:tc>
        <w:tc>
          <w:tcPr>
            <w:tcW w:w="130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41.989800</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Cs w:val="21"/>
                <w:lang w:val="en-US" w:eastAsia="zh-CN"/>
              </w:rPr>
            </w:pPr>
            <w:r>
              <w:rPr>
                <w:rFonts w:hint="default" w:ascii="Times New Roman" w:hAnsi="Times New Roman" w:eastAsia="宋体" w:cs="Times New Roman"/>
                <w:b w:val="0"/>
                <w:bCs/>
                <w:color w:val="auto"/>
                <w:kern w:val="0"/>
                <w:sz w:val="21"/>
                <w:szCs w:val="21"/>
                <w:lang w:val="en-US" w:eastAsia="zh-CN"/>
              </w:rPr>
              <w:t>居民</w:t>
            </w:r>
          </w:p>
        </w:tc>
        <w:tc>
          <w:tcPr>
            <w:tcW w:w="820" w:type="dxa"/>
            <w:tcBorders>
              <w:tl2br w:val="nil"/>
              <w:tr2bl w:val="nil"/>
            </w:tcBorders>
            <w:noWrap w:val="0"/>
            <w:vAlign w:val="center"/>
          </w:tcPr>
          <w:p>
            <w:pPr>
              <w:pStyle w:val="3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szCs w:val="21"/>
                <w:lang w:val="en-US" w:eastAsia="zh-CN"/>
              </w:rPr>
              <w:t>110人</w:t>
            </w:r>
          </w:p>
        </w:tc>
        <w:tc>
          <w:tcPr>
            <w:tcW w:w="10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东北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1345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13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邱家沟</w:t>
            </w:r>
          </w:p>
        </w:tc>
        <w:tc>
          <w:tcPr>
            <w:tcW w:w="12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120.611558</w:t>
            </w:r>
          </w:p>
        </w:tc>
        <w:tc>
          <w:tcPr>
            <w:tcW w:w="130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41.990438</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居民</w:t>
            </w:r>
          </w:p>
        </w:tc>
        <w:tc>
          <w:tcPr>
            <w:tcW w:w="820" w:type="dxa"/>
            <w:tcBorders>
              <w:tl2br w:val="nil"/>
              <w:tr2bl w:val="nil"/>
            </w:tcBorders>
            <w:noWrap w:val="0"/>
            <w:vAlign w:val="center"/>
          </w:tcPr>
          <w:p>
            <w:pPr>
              <w:pStyle w:val="3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szCs w:val="21"/>
                <w:lang w:val="en-US" w:eastAsia="zh-CN"/>
              </w:rPr>
              <w:t>55人</w:t>
            </w:r>
          </w:p>
        </w:tc>
        <w:tc>
          <w:tcPr>
            <w:tcW w:w="10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东北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1926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13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卧风翱</w:t>
            </w:r>
          </w:p>
        </w:tc>
        <w:tc>
          <w:tcPr>
            <w:tcW w:w="12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120.621386</w:t>
            </w:r>
          </w:p>
        </w:tc>
        <w:tc>
          <w:tcPr>
            <w:tcW w:w="130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41.984377</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居民</w:t>
            </w:r>
          </w:p>
        </w:tc>
        <w:tc>
          <w:tcPr>
            <w:tcW w:w="820" w:type="dxa"/>
            <w:tcBorders>
              <w:tl2br w:val="nil"/>
              <w:tr2bl w:val="nil"/>
            </w:tcBorders>
            <w:noWrap w:val="0"/>
            <w:vAlign w:val="center"/>
          </w:tcPr>
          <w:p>
            <w:pPr>
              <w:pStyle w:val="3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szCs w:val="21"/>
                <w:lang w:val="en-US" w:eastAsia="zh-CN"/>
              </w:rPr>
              <w:t>84人</w:t>
            </w:r>
          </w:p>
        </w:tc>
        <w:tc>
          <w:tcPr>
            <w:tcW w:w="10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东北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2257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13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color w:val="auto"/>
                <w:sz w:val="21"/>
                <w:szCs w:val="21"/>
                <w:shd w:val="clear" w:color="auto" w:fill="auto"/>
                <w:lang w:val="en-US" w:eastAsia="zh-CN"/>
              </w:rPr>
              <w:t>上丁杖子</w:t>
            </w:r>
          </w:p>
        </w:tc>
        <w:tc>
          <w:tcPr>
            <w:tcW w:w="12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120.603318</w:t>
            </w:r>
          </w:p>
        </w:tc>
        <w:tc>
          <w:tcPr>
            <w:tcW w:w="130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41.970244</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居民</w:t>
            </w:r>
          </w:p>
        </w:tc>
        <w:tc>
          <w:tcPr>
            <w:tcW w:w="820" w:type="dxa"/>
            <w:tcBorders>
              <w:tl2br w:val="nil"/>
              <w:tr2bl w:val="nil"/>
            </w:tcBorders>
            <w:noWrap w:val="0"/>
            <w:vAlign w:val="center"/>
          </w:tcPr>
          <w:p>
            <w:pPr>
              <w:pStyle w:val="3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kern w:val="0"/>
                <w:sz w:val="21"/>
                <w:szCs w:val="21"/>
                <w:lang w:val="en-US" w:eastAsia="zh-CN" w:bidi="ar-SA"/>
              </w:rPr>
              <w:t>279人</w:t>
            </w:r>
          </w:p>
        </w:tc>
        <w:tc>
          <w:tcPr>
            <w:tcW w:w="10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东南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836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13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黄古屯村</w:t>
            </w:r>
          </w:p>
        </w:tc>
        <w:tc>
          <w:tcPr>
            <w:tcW w:w="12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120.624132</w:t>
            </w:r>
          </w:p>
        </w:tc>
        <w:tc>
          <w:tcPr>
            <w:tcW w:w="130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41.966957</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Cs w:val="21"/>
                <w:lang w:val="en-US" w:eastAsia="zh-CN"/>
              </w:rPr>
            </w:pPr>
            <w:r>
              <w:rPr>
                <w:rFonts w:hint="default" w:ascii="Times New Roman" w:hAnsi="Times New Roman" w:eastAsia="宋体" w:cs="Times New Roman"/>
                <w:b w:val="0"/>
                <w:bCs/>
                <w:color w:val="auto"/>
                <w:kern w:val="0"/>
                <w:szCs w:val="21"/>
                <w:lang w:val="en-US" w:eastAsia="zh-CN"/>
              </w:rPr>
              <w:t>居民</w:t>
            </w:r>
          </w:p>
        </w:tc>
        <w:tc>
          <w:tcPr>
            <w:tcW w:w="820" w:type="dxa"/>
            <w:tcBorders>
              <w:tl2br w:val="nil"/>
              <w:tr2bl w:val="nil"/>
            </w:tcBorders>
            <w:noWrap w:val="0"/>
            <w:vAlign w:val="center"/>
          </w:tcPr>
          <w:p>
            <w:pPr>
              <w:pStyle w:val="3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szCs w:val="21"/>
                <w:lang w:val="en-US" w:eastAsia="zh-CN"/>
              </w:rPr>
              <w:t>484人</w:t>
            </w:r>
          </w:p>
        </w:tc>
        <w:tc>
          <w:tcPr>
            <w:tcW w:w="10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东南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2269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13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szCs w:val="21"/>
                <w:lang w:val="en-US" w:eastAsia="zh-CN"/>
              </w:rPr>
              <w:t>东洼</w:t>
            </w:r>
          </w:p>
        </w:tc>
        <w:tc>
          <w:tcPr>
            <w:tcW w:w="12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120.610099</w:t>
            </w:r>
          </w:p>
        </w:tc>
        <w:tc>
          <w:tcPr>
            <w:tcW w:w="130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41.968680</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Cs w:val="21"/>
                <w:lang w:val="en-US" w:eastAsia="zh-CN"/>
              </w:rPr>
              <w:t>居民</w:t>
            </w:r>
          </w:p>
        </w:tc>
        <w:tc>
          <w:tcPr>
            <w:tcW w:w="8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bidi="ar-SA"/>
              </w:rPr>
              <w:t>173人</w:t>
            </w:r>
          </w:p>
        </w:tc>
        <w:tc>
          <w:tcPr>
            <w:tcW w:w="10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东南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1292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13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 w:val="21"/>
                <w:szCs w:val="21"/>
                <w:lang w:val="en-US" w:eastAsia="zh-CN"/>
              </w:rPr>
              <w:t>上窝堡</w:t>
            </w:r>
          </w:p>
        </w:tc>
        <w:tc>
          <w:tcPr>
            <w:tcW w:w="12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120.613146</w:t>
            </w:r>
          </w:p>
        </w:tc>
        <w:tc>
          <w:tcPr>
            <w:tcW w:w="130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41.959969</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居民</w:t>
            </w:r>
          </w:p>
        </w:tc>
        <w:tc>
          <w:tcPr>
            <w:tcW w:w="8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bidi="ar-SA"/>
              </w:rPr>
              <w:t>65人</w:t>
            </w:r>
          </w:p>
        </w:tc>
        <w:tc>
          <w:tcPr>
            <w:tcW w:w="10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东南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2333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13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五家子</w:t>
            </w:r>
          </w:p>
        </w:tc>
        <w:tc>
          <w:tcPr>
            <w:tcW w:w="12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120.606194</w:t>
            </w:r>
          </w:p>
        </w:tc>
        <w:tc>
          <w:tcPr>
            <w:tcW w:w="130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41.956682</w:t>
            </w:r>
          </w:p>
        </w:tc>
        <w:tc>
          <w:tcPr>
            <w:tcW w:w="7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Cs w:val="21"/>
                <w:lang w:val="en-US" w:eastAsia="zh-CN"/>
              </w:rPr>
              <w:t>居民</w:t>
            </w:r>
          </w:p>
        </w:tc>
        <w:tc>
          <w:tcPr>
            <w:tcW w:w="8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val="en-US" w:eastAsia="zh-CN" w:bidi="ar-SA"/>
              </w:rPr>
              <w:t>101人</w:t>
            </w:r>
          </w:p>
        </w:tc>
        <w:tc>
          <w:tcPr>
            <w:tcW w:w="10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东南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2326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restart"/>
            <w:tcBorders>
              <w:tl2br w:val="nil"/>
              <w:tr2bl w:val="nil"/>
            </w:tcBorders>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地下水</w:t>
            </w:r>
          </w:p>
        </w:tc>
        <w:tc>
          <w:tcPr>
            <w:tcW w:w="2549" w:type="dxa"/>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该区域潜水含水层地下水及其有开发利用价值的饮用水含水层</w:t>
            </w:r>
            <w:r>
              <w:rPr>
                <w:rFonts w:hint="default" w:ascii="Times New Roman" w:hAnsi="Times New Roman" w:eastAsia="宋体" w:cs="Times New Roman"/>
                <w:b w:val="0"/>
                <w:bCs/>
                <w:color w:val="auto"/>
                <w:sz w:val="21"/>
                <w:szCs w:val="21"/>
                <w:lang w:eastAsia="zh-CN"/>
              </w:rPr>
              <w:t>及评价范围内分散式地下水饮用水水源</w:t>
            </w:r>
          </w:p>
        </w:tc>
        <w:tc>
          <w:tcPr>
            <w:tcW w:w="288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yellow"/>
              </w:rPr>
            </w:pPr>
            <w:r>
              <w:rPr>
                <w:rFonts w:hint="default" w:ascii="Times New Roman" w:hAnsi="Times New Roman" w:eastAsia="宋体" w:cs="Times New Roman"/>
                <w:b w:val="0"/>
                <w:bCs/>
                <w:color w:val="auto"/>
                <w:szCs w:val="21"/>
                <w:lang w:val="en-US" w:eastAsia="zh-CN"/>
              </w:rPr>
              <w:t>喇嘛洞</w:t>
            </w:r>
          </w:p>
        </w:tc>
        <w:tc>
          <w:tcPr>
            <w:tcW w:w="108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kern w:val="0"/>
                <w:szCs w:val="21"/>
              </w:rPr>
              <w:t>GB/T14848-2017Ⅲ类</w:t>
            </w: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西南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650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2549" w:type="dxa"/>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rPr>
            </w:pPr>
          </w:p>
        </w:tc>
        <w:tc>
          <w:tcPr>
            <w:tcW w:w="288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highlight w:val="yellow"/>
                <w:lang w:val="en-US" w:eastAsia="zh-CN" w:bidi="ar-SA"/>
              </w:rPr>
            </w:pPr>
            <w:r>
              <w:rPr>
                <w:rFonts w:hint="default" w:ascii="Times New Roman" w:hAnsi="Times New Roman" w:eastAsia="宋体" w:cs="Times New Roman"/>
                <w:color w:val="auto"/>
                <w:sz w:val="21"/>
                <w:szCs w:val="21"/>
                <w:shd w:val="clear" w:color="auto" w:fill="auto"/>
                <w:lang w:val="en-US" w:eastAsia="zh-CN"/>
              </w:rPr>
              <w:t>上丁杖子</w:t>
            </w:r>
          </w:p>
        </w:tc>
        <w:tc>
          <w:tcPr>
            <w:tcW w:w="10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Cs w:val="21"/>
              </w:rPr>
            </w:pP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东南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836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2549" w:type="dxa"/>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rPr>
            </w:pPr>
          </w:p>
        </w:tc>
        <w:tc>
          <w:tcPr>
            <w:tcW w:w="288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4"/>
                <w:lang w:val="en-US" w:eastAsia="zh-CN" w:bidi="ar-SA"/>
              </w:rPr>
            </w:pPr>
            <w:r>
              <w:rPr>
                <w:rFonts w:hint="default" w:ascii="Times New Roman" w:hAnsi="Times New Roman" w:eastAsia="宋体" w:cs="Times New Roman"/>
                <w:b w:val="0"/>
                <w:bCs/>
                <w:color w:val="auto"/>
                <w:szCs w:val="21"/>
                <w:lang w:val="en-US" w:eastAsia="zh-CN"/>
              </w:rPr>
              <w:t>东洼</w:t>
            </w:r>
          </w:p>
        </w:tc>
        <w:tc>
          <w:tcPr>
            <w:tcW w:w="10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东南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1292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2549" w:type="dxa"/>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rPr>
            </w:pPr>
          </w:p>
        </w:tc>
        <w:tc>
          <w:tcPr>
            <w:tcW w:w="288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上窝堡</w:t>
            </w:r>
          </w:p>
        </w:tc>
        <w:tc>
          <w:tcPr>
            <w:tcW w:w="10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Cs w:val="21"/>
              </w:rPr>
            </w:pP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东南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2333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tcBorders>
              <w:tl2br w:val="nil"/>
              <w:tr2bl w:val="nil"/>
            </w:tcBorders>
            <w:noWrap w:val="0"/>
            <w:vAlign w:val="center"/>
          </w:tcPr>
          <w:p>
            <w:pPr>
              <w:jc w:val="center"/>
              <w:rPr>
                <w:rFonts w:hint="default" w:ascii="Times New Roman" w:hAnsi="Times New Roman" w:eastAsia="宋体" w:cs="Times New Roman"/>
                <w:b w:val="0"/>
                <w:bCs/>
                <w:color w:val="auto"/>
                <w:szCs w:val="21"/>
              </w:rPr>
            </w:pPr>
          </w:p>
        </w:tc>
        <w:tc>
          <w:tcPr>
            <w:tcW w:w="2549" w:type="dxa"/>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rPr>
            </w:pPr>
          </w:p>
        </w:tc>
        <w:tc>
          <w:tcPr>
            <w:tcW w:w="288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highlight w:val="yellow"/>
                <w:lang w:val="en-US" w:eastAsia="zh-CN"/>
              </w:rPr>
            </w:pPr>
            <w:r>
              <w:rPr>
                <w:rFonts w:hint="default" w:ascii="Times New Roman" w:hAnsi="Times New Roman" w:eastAsia="宋体" w:cs="Times New Roman"/>
                <w:b w:val="0"/>
                <w:bCs/>
                <w:color w:val="auto"/>
                <w:sz w:val="21"/>
                <w:szCs w:val="21"/>
                <w:lang w:val="en-US" w:eastAsia="zh-CN"/>
              </w:rPr>
              <w:t>五家子</w:t>
            </w:r>
          </w:p>
        </w:tc>
        <w:tc>
          <w:tcPr>
            <w:tcW w:w="10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Cs w:val="21"/>
              </w:rPr>
            </w:pP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东南</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Cs w:val="21"/>
                <w:lang w:val="en-US" w:eastAsia="zh-CN"/>
              </w:rPr>
              <w:t>2326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tcBorders>
              <w:tl2br w:val="nil"/>
              <w:tr2bl w:val="nil"/>
            </w:tcBorders>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rPr>
              <w:t>地表水</w:t>
            </w:r>
          </w:p>
        </w:tc>
        <w:tc>
          <w:tcPr>
            <w:tcW w:w="5429" w:type="dxa"/>
            <w:gridSpan w:val="6"/>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东官</w:t>
            </w:r>
            <w:r>
              <w:rPr>
                <w:rFonts w:hint="default" w:ascii="Times New Roman" w:hAnsi="Times New Roman" w:eastAsia="宋体" w:cs="Times New Roman"/>
                <w:b w:val="0"/>
                <w:bCs/>
                <w:color w:val="auto"/>
                <w:szCs w:val="21"/>
              </w:rPr>
              <w:t>河</w:t>
            </w:r>
          </w:p>
        </w:tc>
        <w:tc>
          <w:tcPr>
            <w:tcW w:w="10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kern w:val="0"/>
                <w:szCs w:val="21"/>
              </w:rPr>
              <w:t>GB3838-2002Ⅳ类</w:t>
            </w: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西</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1373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tcBorders>
              <w:tl2br w:val="nil"/>
              <w:tr2bl w:val="nil"/>
            </w:tcBorders>
            <w:noWrap w:val="0"/>
            <w:vAlign w:val="center"/>
          </w:tcPr>
          <w:p>
            <w:pPr>
              <w:jc w:val="center"/>
              <w:rPr>
                <w:rFonts w:hint="default" w:ascii="Times New Roman" w:hAnsi="Times New Roman" w:eastAsia="宋体" w:cs="Times New Roman"/>
                <w:b w:val="0"/>
                <w:bCs/>
                <w:color w:val="auto"/>
                <w:szCs w:val="21"/>
              </w:rPr>
            </w:pPr>
            <w:r>
              <w:rPr>
                <w:rFonts w:hint="default" w:ascii="Times New Roman" w:hAnsi="Times New Roman" w:eastAsia="宋体" w:cs="Times New Roman"/>
                <w:b w:val="0"/>
                <w:bCs/>
                <w:color w:val="auto"/>
                <w:szCs w:val="21"/>
                <w:lang w:val="en-US" w:eastAsia="zh-CN"/>
              </w:rPr>
              <w:t>土壤</w:t>
            </w:r>
          </w:p>
        </w:tc>
        <w:tc>
          <w:tcPr>
            <w:tcW w:w="2557"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 w:val="21"/>
                <w:szCs w:val="21"/>
              </w:rPr>
              <w:t>项目所在区域</w:t>
            </w:r>
            <w:r>
              <w:rPr>
                <w:rFonts w:hint="default" w:ascii="Times New Roman" w:hAnsi="Times New Roman" w:eastAsia="宋体" w:cs="Times New Roman"/>
                <w:b w:val="0"/>
                <w:bCs/>
                <w:color w:val="auto"/>
                <w:sz w:val="21"/>
                <w:szCs w:val="21"/>
                <w:lang w:val="en-US" w:eastAsia="zh-CN"/>
              </w:rPr>
              <w:t>土壤</w:t>
            </w:r>
            <w:r>
              <w:rPr>
                <w:rFonts w:hint="default" w:ascii="Times New Roman" w:hAnsi="Times New Roman" w:eastAsia="宋体" w:cs="Times New Roman"/>
                <w:b w:val="0"/>
                <w:bCs/>
                <w:color w:val="auto"/>
                <w:sz w:val="21"/>
                <w:szCs w:val="21"/>
              </w:rPr>
              <w:t>（建设项目厂</w:t>
            </w:r>
            <w:r>
              <w:rPr>
                <w:rFonts w:hint="default" w:ascii="Times New Roman" w:hAnsi="Times New Roman" w:eastAsia="宋体" w:cs="Times New Roman"/>
                <w:b w:val="0"/>
                <w:bCs/>
                <w:color w:val="auto"/>
                <w:sz w:val="21"/>
                <w:szCs w:val="21"/>
                <w:lang w:val="en-US" w:eastAsia="zh-CN"/>
              </w:rPr>
              <w:t>界</w:t>
            </w:r>
            <w:r>
              <w:rPr>
                <w:rFonts w:hint="default" w:ascii="Times New Roman" w:hAnsi="Times New Roman" w:eastAsia="宋体" w:cs="Times New Roman"/>
                <w:b w:val="0"/>
                <w:bCs/>
                <w:color w:val="auto"/>
                <w:sz w:val="21"/>
                <w:szCs w:val="21"/>
              </w:rPr>
              <w:t>，</w:t>
            </w:r>
            <w:r>
              <w:rPr>
                <w:rFonts w:hint="default" w:ascii="Times New Roman" w:hAnsi="Times New Roman" w:eastAsia="宋体" w:cs="Times New Roman"/>
                <w:b w:val="0"/>
                <w:bCs/>
                <w:color w:val="auto"/>
                <w:sz w:val="21"/>
                <w:szCs w:val="21"/>
                <w:lang w:val="en-US" w:eastAsia="zh-CN"/>
              </w:rPr>
              <w:t>50</w:t>
            </w:r>
            <w:r>
              <w:rPr>
                <w:rFonts w:hint="default" w:ascii="Times New Roman" w:hAnsi="Times New Roman" w:eastAsia="宋体" w:cs="Times New Roman"/>
                <w:b w:val="0"/>
                <w:bCs/>
                <w:color w:val="auto"/>
                <w:sz w:val="21"/>
                <w:szCs w:val="21"/>
              </w:rPr>
              <w:t>m范围）</w:t>
            </w:r>
          </w:p>
        </w:tc>
        <w:tc>
          <w:tcPr>
            <w:tcW w:w="2872"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Cs w:val="21"/>
                <w:lang w:val="en-US" w:eastAsia="zh-CN"/>
              </w:rPr>
              <w:t>小巴沟农田</w:t>
            </w:r>
          </w:p>
        </w:tc>
        <w:tc>
          <w:tcPr>
            <w:tcW w:w="10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Cs w:val="21"/>
              </w:rPr>
            </w:pPr>
            <w:r>
              <w:rPr>
                <w:rFonts w:hint="default" w:ascii="Times New Roman" w:hAnsi="Times New Roman" w:eastAsia="宋体" w:cs="Times New Roman"/>
                <w:b w:val="0"/>
                <w:bCs/>
                <w:color w:val="auto"/>
                <w:sz w:val="21"/>
                <w:szCs w:val="21"/>
                <w:lang w:val="en-US" w:eastAsia="zh-CN"/>
              </w:rPr>
              <w:t>GB36600—2018中的第二类用地土壤污染风险筛选值</w:t>
            </w:r>
          </w:p>
        </w:tc>
        <w:tc>
          <w:tcPr>
            <w:tcW w:w="9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w:t>
            </w:r>
          </w:p>
        </w:tc>
        <w:tc>
          <w:tcPr>
            <w:tcW w:w="9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Cs w:val="21"/>
                <w:lang w:val="en-US" w:eastAsia="zh-CN"/>
              </w:rPr>
            </w:pPr>
            <w:r>
              <w:rPr>
                <w:rFonts w:hint="default" w:ascii="Times New Roman" w:hAnsi="Times New Roman" w:eastAsia="宋体" w:cs="Times New Roman"/>
                <w:b w:val="0"/>
                <w:bCs/>
                <w:color w:val="auto"/>
                <w:szCs w:val="21"/>
                <w:lang w:val="en-US" w:eastAsia="zh-CN"/>
              </w:rPr>
              <w:t>/</w:t>
            </w:r>
          </w:p>
        </w:tc>
      </w:tr>
    </w:tbl>
    <w:p>
      <w:pPr>
        <w:pStyle w:val="475"/>
        <w:spacing w:beforeLines="50" w:line="480" w:lineRule="exact"/>
        <w:ind w:firstLine="480"/>
        <w:rPr>
          <w:rFonts w:hint="default" w:ascii="Times New Roman" w:hAnsi="Times New Roman" w:eastAsia="宋体" w:cs="Times New Roman"/>
          <w:highlight w:val="none"/>
        </w:rPr>
      </w:pPr>
      <w:r>
        <w:rPr>
          <w:rFonts w:hint="default" w:ascii="Times New Roman" w:hAnsi="Times New Roman" w:eastAsia="宋体" w:cs="Times New Roman"/>
          <w:highlight w:val="none"/>
        </w:rPr>
        <w:t>本项目铁矿石原矿</w:t>
      </w:r>
      <w:r>
        <w:rPr>
          <w:rFonts w:hint="default" w:ascii="Times New Roman" w:hAnsi="Times New Roman" w:eastAsia="宋体" w:cs="Times New Roman"/>
          <w:highlight w:val="none"/>
          <w:lang w:eastAsia="zh-CN"/>
        </w:rPr>
        <w:t>来自自有矿山</w:t>
      </w:r>
      <w:r>
        <w:rPr>
          <w:rFonts w:hint="default" w:ascii="Times New Roman" w:hAnsi="Times New Roman" w:eastAsia="宋体" w:cs="Times New Roman"/>
          <w:highlight w:val="none"/>
        </w:rPr>
        <w:t>，</w:t>
      </w:r>
      <w:r>
        <w:rPr>
          <w:rFonts w:hint="default" w:ascii="Times New Roman" w:hAnsi="Times New Roman" w:eastAsia="宋体" w:cs="Times New Roman"/>
          <w:highlight w:val="none"/>
          <w:lang w:eastAsia="zh-CN"/>
        </w:rPr>
        <w:t>位于黄古屯大西山，采矿证见附件，</w:t>
      </w:r>
      <w:r>
        <w:rPr>
          <w:rFonts w:hint="default" w:ascii="Times New Roman" w:hAnsi="Times New Roman" w:eastAsia="宋体" w:cs="Times New Roman"/>
          <w:highlight w:val="none"/>
        </w:rPr>
        <w:t>原矿石</w:t>
      </w:r>
      <w:r>
        <w:rPr>
          <w:rFonts w:hint="default" w:ascii="Times New Roman" w:hAnsi="Times New Roman" w:eastAsia="宋体" w:cs="Times New Roman"/>
          <w:highlight w:val="none"/>
          <w:lang w:eastAsia="zh-CN"/>
        </w:rPr>
        <w:t>运输途径</w:t>
      </w:r>
      <w:r>
        <w:rPr>
          <w:rFonts w:hint="default" w:ascii="Times New Roman" w:hAnsi="Times New Roman" w:eastAsia="宋体" w:cs="Times New Roman"/>
          <w:b w:val="0"/>
          <w:bCs/>
          <w:color w:val="auto"/>
          <w:szCs w:val="21"/>
          <w:lang w:val="en-US" w:eastAsia="zh-CN"/>
        </w:rPr>
        <w:t>黄古屯村、东洼、上丁杖子</w:t>
      </w:r>
      <w:r>
        <w:rPr>
          <w:rFonts w:hint="default" w:ascii="Times New Roman" w:hAnsi="Times New Roman" w:eastAsia="宋体" w:cs="Times New Roman"/>
          <w:highlight w:val="none"/>
        </w:rPr>
        <w:t>，</w:t>
      </w:r>
      <w:r>
        <w:rPr>
          <w:rFonts w:hint="default" w:ascii="Times New Roman" w:hAnsi="Times New Roman" w:eastAsia="宋体" w:cs="Times New Roman"/>
          <w:highlight w:val="none"/>
          <w:lang w:val="en-US" w:eastAsia="zh-CN"/>
        </w:rPr>
        <w:t>全程约3.5km。</w:t>
      </w:r>
      <w:r>
        <w:rPr>
          <w:rFonts w:hint="default" w:ascii="Times New Roman" w:hAnsi="Times New Roman" w:eastAsia="宋体" w:cs="Times New Roman"/>
          <w:highlight w:val="none"/>
        </w:rPr>
        <w:t>沿线交通主要声环境保护目标见表1.</w:t>
      </w:r>
      <w:r>
        <w:rPr>
          <w:rFonts w:hint="default" w:ascii="Times New Roman" w:hAnsi="Times New Roman" w:eastAsia="宋体" w:cs="Times New Roman"/>
          <w:highlight w:val="none"/>
          <w:lang w:val="en-US" w:eastAsia="zh-CN"/>
        </w:rPr>
        <w:t>6-3</w:t>
      </w:r>
      <w:r>
        <w:rPr>
          <w:rFonts w:hint="default" w:ascii="Times New Roman" w:hAnsi="Times New Roman" w:eastAsia="宋体" w:cs="Times New Roman"/>
          <w:highlight w:val="none"/>
        </w:rPr>
        <w:t>。</w:t>
      </w:r>
    </w:p>
    <w:p>
      <w:pPr>
        <w:pStyle w:val="475"/>
        <w:spacing w:beforeLines="50" w:line="480" w:lineRule="exact"/>
        <w:ind w:firstLine="0" w:firstLineChars="0"/>
        <w:rPr>
          <w:rFonts w:hint="default" w:ascii="Times New Roman" w:hAnsi="Times New Roman" w:eastAsia="宋体" w:cs="Times New Roman"/>
          <w:highlight w:val="none"/>
        </w:rPr>
      </w:pPr>
      <w:r>
        <w:rPr>
          <w:rFonts w:hint="default" w:ascii="Times New Roman" w:hAnsi="Times New Roman" w:eastAsia="宋体" w:cs="Times New Roman"/>
          <w:highlight w:val="none"/>
        </w:rPr>
        <w:t>表1.</w:t>
      </w:r>
      <w:r>
        <w:rPr>
          <w:rFonts w:hint="default" w:ascii="Times New Roman" w:hAnsi="Times New Roman" w:eastAsia="宋体" w:cs="Times New Roman"/>
          <w:highlight w:val="none"/>
          <w:lang w:val="en-US" w:eastAsia="zh-CN"/>
        </w:rPr>
        <w:t>6-3</w:t>
      </w:r>
      <w:r>
        <w:rPr>
          <w:rFonts w:hint="default" w:ascii="Times New Roman" w:hAnsi="Times New Roman" w:eastAsia="宋体" w:cs="Times New Roman"/>
          <w:highlight w:val="none"/>
        </w:rPr>
        <w:t xml:space="preserve">            </w:t>
      </w:r>
      <w:r>
        <w:rPr>
          <w:rFonts w:hint="default" w:ascii="Times New Roman" w:hAnsi="Times New Roman" w:eastAsia="宋体" w:cs="Times New Roman"/>
          <w:highlight w:val="none"/>
          <w:lang w:val="en-US" w:eastAsia="zh-CN"/>
        </w:rPr>
        <w:t xml:space="preserve"> </w:t>
      </w:r>
      <w:r>
        <w:rPr>
          <w:rFonts w:hint="eastAsia" w:ascii="Times New Roman" w:hAnsi="Times New Roman" w:eastAsia="宋体" w:cs="Times New Roman"/>
          <w:highlight w:val="none"/>
          <w:lang w:val="en-US" w:eastAsia="zh-CN"/>
        </w:rPr>
        <w:t xml:space="preserve">  </w:t>
      </w:r>
      <w:r>
        <w:rPr>
          <w:rFonts w:hint="default" w:ascii="Times New Roman" w:hAnsi="Times New Roman" w:eastAsia="宋体" w:cs="Times New Roman"/>
          <w:highlight w:val="none"/>
          <w:lang w:val="en-US" w:eastAsia="zh-CN"/>
        </w:rPr>
        <w:t xml:space="preserve"> </w:t>
      </w:r>
      <w:r>
        <w:rPr>
          <w:rFonts w:hint="default" w:ascii="Times New Roman" w:hAnsi="Times New Roman" w:eastAsia="宋体" w:cs="Times New Roman"/>
          <w:highlight w:val="none"/>
        </w:rPr>
        <w:t xml:space="preserve">   沿线交通声环境敏感保护目标</w:t>
      </w:r>
    </w:p>
    <w:tbl>
      <w:tblPr>
        <w:tblStyle w:val="51"/>
        <w:tblW w:w="5224"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7"/>
        <w:gridCol w:w="1234"/>
        <w:gridCol w:w="1505"/>
        <w:gridCol w:w="1692"/>
        <w:gridCol w:w="1923"/>
        <w:gridCol w:w="217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环境要素</w:t>
            </w:r>
          </w:p>
        </w:tc>
        <w:tc>
          <w:tcPr>
            <w:tcW w:w="1227"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名称</w:t>
            </w:r>
          </w:p>
        </w:tc>
        <w:tc>
          <w:tcPr>
            <w:tcW w:w="1497"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相对道路方位</w:t>
            </w:r>
          </w:p>
        </w:tc>
        <w:tc>
          <w:tcPr>
            <w:tcW w:w="1683"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相对道路中心线距离（m）</w:t>
            </w:r>
          </w:p>
        </w:tc>
        <w:tc>
          <w:tcPr>
            <w:tcW w:w="1912"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200m内居民户数调查</w:t>
            </w:r>
          </w:p>
        </w:tc>
        <w:tc>
          <w:tcPr>
            <w:tcW w:w="2158" w:type="dxa"/>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保护目标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121" w:type="dxa"/>
            <w:vMerge w:val="restart"/>
            <w:tcMar>
              <w:top w:w="57" w:type="dxa"/>
              <w:left w:w="57" w:type="dxa"/>
              <w:bottom w:w="57" w:type="dxa"/>
              <w:right w:w="57" w:type="dxa"/>
            </w:tcMar>
            <w:vAlign w:val="center"/>
          </w:tcPr>
          <w:p>
            <w:pPr>
              <w:spacing w:beforeLines="5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声环境</w:t>
            </w:r>
          </w:p>
        </w:tc>
        <w:tc>
          <w:tcPr>
            <w:tcW w:w="1227"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b w:val="0"/>
                <w:bCs/>
                <w:color w:val="auto"/>
                <w:szCs w:val="21"/>
                <w:lang w:val="en-US" w:eastAsia="zh-CN"/>
              </w:rPr>
              <w:t>黄古屯村</w:t>
            </w:r>
          </w:p>
        </w:tc>
        <w:tc>
          <w:tcPr>
            <w:tcW w:w="1497"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南</w:t>
            </w:r>
          </w:p>
        </w:tc>
        <w:tc>
          <w:tcPr>
            <w:tcW w:w="1683"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10</w:t>
            </w:r>
          </w:p>
        </w:tc>
        <w:tc>
          <w:tcPr>
            <w:tcW w:w="1912"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484人</w:t>
            </w:r>
          </w:p>
        </w:tc>
        <w:tc>
          <w:tcPr>
            <w:tcW w:w="2158" w:type="dxa"/>
            <w:vMerge w:val="restart"/>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《声环境质量标准》（GB3096-2008）</w:t>
            </w:r>
            <w:r>
              <w:rPr>
                <w:rFonts w:hint="default" w:ascii="Times New Roman" w:hAnsi="Times New Roman" w:eastAsia="宋体" w:cs="Times New Roman"/>
                <w:sz w:val="21"/>
                <w:szCs w:val="21"/>
                <w:highlight w:val="none"/>
                <w:lang w:val="en-US" w:eastAsia="zh-CN"/>
              </w:rPr>
              <w:t>1</w:t>
            </w:r>
            <w:r>
              <w:rPr>
                <w:rFonts w:hint="default" w:ascii="Times New Roman" w:hAnsi="Times New Roman" w:eastAsia="宋体" w:cs="Times New Roman"/>
                <w:sz w:val="21"/>
                <w:szCs w:val="21"/>
                <w:highlight w:val="none"/>
              </w:rPr>
              <w:t>类标准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121" w:type="dxa"/>
            <w:vMerge w:val="continue"/>
            <w:tcMar>
              <w:top w:w="57" w:type="dxa"/>
              <w:left w:w="57" w:type="dxa"/>
              <w:bottom w:w="57" w:type="dxa"/>
              <w:right w:w="57" w:type="dxa"/>
            </w:tcMar>
            <w:vAlign w:val="center"/>
          </w:tcPr>
          <w:p>
            <w:pPr>
              <w:spacing w:beforeLines="50"/>
              <w:jc w:val="center"/>
              <w:rPr>
                <w:rFonts w:hint="default" w:ascii="Times New Roman" w:hAnsi="Times New Roman" w:eastAsia="宋体" w:cs="Times New Roman"/>
                <w:sz w:val="21"/>
                <w:szCs w:val="21"/>
                <w:highlight w:val="none"/>
              </w:rPr>
            </w:pPr>
          </w:p>
        </w:tc>
        <w:tc>
          <w:tcPr>
            <w:tcW w:w="1227"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b w:val="0"/>
                <w:bCs/>
                <w:color w:val="auto"/>
                <w:szCs w:val="21"/>
                <w:lang w:val="en-US" w:eastAsia="zh-CN"/>
              </w:rPr>
              <w:t>东洼</w:t>
            </w:r>
          </w:p>
        </w:tc>
        <w:tc>
          <w:tcPr>
            <w:tcW w:w="1497"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北</w:t>
            </w:r>
          </w:p>
        </w:tc>
        <w:tc>
          <w:tcPr>
            <w:tcW w:w="1683"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10</w:t>
            </w:r>
          </w:p>
        </w:tc>
        <w:tc>
          <w:tcPr>
            <w:tcW w:w="1912"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173人</w:t>
            </w:r>
          </w:p>
        </w:tc>
        <w:tc>
          <w:tcPr>
            <w:tcW w:w="2158" w:type="dxa"/>
            <w:vMerge w:val="continue"/>
            <w:vAlign w:val="center"/>
          </w:tcPr>
          <w:p>
            <w:pPr>
              <w:jc w:val="center"/>
              <w:rPr>
                <w:rFonts w:hint="default" w:ascii="Times New Roman" w:hAnsi="Times New Roman" w:eastAsia="宋体" w:cs="Times New Roman"/>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121" w:type="dxa"/>
            <w:vMerge w:val="continue"/>
            <w:tcMar>
              <w:top w:w="57" w:type="dxa"/>
              <w:left w:w="57" w:type="dxa"/>
              <w:bottom w:w="57" w:type="dxa"/>
              <w:right w:w="57" w:type="dxa"/>
            </w:tcMar>
            <w:vAlign w:val="center"/>
          </w:tcPr>
          <w:p>
            <w:pPr>
              <w:spacing w:beforeLines="50"/>
              <w:jc w:val="center"/>
              <w:rPr>
                <w:rFonts w:hint="default" w:ascii="Times New Roman" w:hAnsi="Times New Roman" w:eastAsia="宋体" w:cs="Times New Roman"/>
                <w:sz w:val="21"/>
                <w:szCs w:val="21"/>
                <w:highlight w:val="none"/>
              </w:rPr>
            </w:pPr>
          </w:p>
        </w:tc>
        <w:tc>
          <w:tcPr>
            <w:tcW w:w="1227"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b w:val="0"/>
                <w:bCs/>
                <w:color w:val="auto"/>
                <w:szCs w:val="21"/>
                <w:lang w:val="en-US" w:eastAsia="zh-CN"/>
              </w:rPr>
              <w:t>上丁杖子</w:t>
            </w:r>
          </w:p>
        </w:tc>
        <w:tc>
          <w:tcPr>
            <w:tcW w:w="1497"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北</w:t>
            </w:r>
          </w:p>
        </w:tc>
        <w:tc>
          <w:tcPr>
            <w:tcW w:w="1683"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10</w:t>
            </w:r>
          </w:p>
        </w:tc>
        <w:tc>
          <w:tcPr>
            <w:tcW w:w="1912"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279人</w:t>
            </w:r>
          </w:p>
        </w:tc>
        <w:tc>
          <w:tcPr>
            <w:tcW w:w="2158" w:type="dxa"/>
            <w:vMerge w:val="continue"/>
            <w:vAlign w:val="center"/>
          </w:tcPr>
          <w:p>
            <w:pPr>
              <w:jc w:val="center"/>
              <w:rPr>
                <w:rFonts w:hint="default" w:ascii="Times New Roman" w:hAnsi="Times New Roman" w:eastAsia="宋体" w:cs="Times New Roman"/>
                <w:sz w:val="21"/>
                <w:szCs w:val="21"/>
                <w:highlight w:val="none"/>
              </w:rPr>
            </w:pPr>
          </w:p>
        </w:tc>
      </w:tr>
    </w:tbl>
    <w:p>
      <w:pPr>
        <w:bidi w:val="0"/>
        <w:spacing w:line="360" w:lineRule="auto"/>
        <w:rPr>
          <w:rFonts w:hint="default" w:ascii="Times New Roman" w:hAnsi="Times New Roman" w:eastAsia="宋体" w:cs="Times New Roman"/>
          <w:sz w:val="24"/>
          <w:szCs w:val="24"/>
        </w:rPr>
      </w:pPr>
    </w:p>
    <w:p>
      <w:pPr>
        <w:pStyle w:val="517"/>
        <w:spacing w:line="360" w:lineRule="auto"/>
        <w:ind w:firstLine="480"/>
        <w:rPr>
          <w:rFonts w:hint="default" w:ascii="Times New Roman" w:hAnsi="Times New Roman" w:eastAsia="宋体" w:cs="Times New Roman"/>
          <w:color w:val="auto"/>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517"/>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sz w:val="21"/>
        </w:rPr>
        <w:pict>
          <v:rect id="_x0000_s2840" o:spid="_x0000_s2840" o:spt="1" style="position:absolute;left:0pt;margin-left:305.05pt;margin-top:238.85pt;height:21.7pt;width:46.45pt;z-index:251736064;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喇嘛洞</w:t>
                  </w:r>
                </w:p>
              </w:txbxContent>
            </v:textbox>
          </v:rect>
        </w:pict>
      </w:r>
      <w:r>
        <w:rPr>
          <w:rFonts w:hint="default" w:ascii="Times New Roman" w:hAnsi="Times New Roman" w:eastAsia="宋体" w:cs="Times New Roman"/>
          <w:color w:val="auto"/>
          <w:sz w:val="21"/>
        </w:rPr>
        <w:pict>
          <v:rect id="_x0000_s2855" o:spid="_x0000_s2855" o:spt="1" style="position:absolute;left:0pt;margin-left:279.2pt;margin-top:45.9pt;height:21.7pt;width:46.45pt;z-index:251743232;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eastAsia="宋体"/>
                      <w:b/>
                      <w:bCs/>
                      <w:color w:val="FF0000"/>
                      <w:lang w:val="en-US" w:eastAsia="zh-CN"/>
                    </w:rPr>
                    <w:t>树林子</w:t>
                  </w:r>
                </w:p>
              </w:txbxContent>
            </v:textbox>
          </v:rect>
        </w:pict>
      </w:r>
      <w:r>
        <w:rPr>
          <w:rFonts w:hint="default" w:ascii="Times New Roman" w:hAnsi="Times New Roman" w:eastAsia="宋体" w:cs="Times New Roman"/>
          <w:sz w:val="21"/>
        </w:rPr>
        <w:pict>
          <v:shape id="_x0000_s2854" o:spid="_x0000_s2854" style="position:absolute;left:0pt;margin-left:284.85pt;margin-top:25.65pt;height:22.9pt;width:22.5pt;z-index:251725824;mso-width-relative:page;mso-height-relative:page;" filled="f" stroked="t" coordsize="450,458" path="m0,0hbc20,15,70,48,109,87hbc148,126,179,153,197,197hbc215,241,173,266,197,305hbc221,344,271,365,317,393hbc363,421,402,458,426,447hbc450,436,450,382,437,338hbc424,294,382,273,360,229hbc338,185,341,164,328,120hbc315,76,301,30,295,10hbe">
            <v:path arrowok="t"/>
            <v:fill on="f" focussize="0,0"/>
            <v:stroke color="#FF0000"/>
            <v:imagedata o:title=""/>
            <o:lock v:ext="edit" aspectratio="f"/>
          </v:shape>
        </w:pict>
      </w:r>
      <w:r>
        <w:rPr>
          <w:rFonts w:hint="default" w:ascii="Times New Roman" w:hAnsi="Times New Roman" w:eastAsia="宋体" w:cs="Times New Roman"/>
          <w:color w:val="auto"/>
          <w:sz w:val="21"/>
        </w:rPr>
        <w:pict>
          <v:rect id="_x0000_s2853" o:spid="_x0000_s2853" o:spt="1" style="position:absolute;left:0pt;margin-left:463.65pt;margin-top:227.8pt;height:21.7pt;width:58.4pt;z-index:251742208;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eastAsia="宋体"/>
                      <w:b/>
                      <w:bCs/>
                      <w:color w:val="FF0000"/>
                      <w:lang w:val="en-US" w:eastAsia="zh-CN"/>
                    </w:rPr>
                    <w:t>黄古屯村</w:t>
                  </w:r>
                </w:p>
              </w:txbxContent>
            </v:textbox>
          </v:rect>
        </w:pict>
      </w:r>
      <w:r>
        <w:rPr>
          <w:rFonts w:hint="default" w:ascii="Times New Roman" w:hAnsi="Times New Roman" w:eastAsia="宋体" w:cs="Times New Roman"/>
          <w:sz w:val="21"/>
        </w:rPr>
        <w:pict>
          <v:shape id="_x0000_s2852" o:spid="_x0000_s2852" style="position:absolute;left:0pt;margin-left:493.1pt;margin-top:246pt;height:50.55pt;width:21.4pt;z-index:251725824;mso-width-relative:page;mso-height-relative:page;" filled="f" stroked="t" coordsize="428,1011" path="m428,175hbc408,164,363,141,319,110hbc275,79,254,40,210,22hbc166,4,140,0,101,22hbc62,44,26,87,13,131hbc0,175,20,196,35,240hbc50,284,75,306,90,350hbc105,394,86,432,112,458hbc138,484,177,460,221,480hbc265,500,319,520,330,557hbc341,594,295,622,275,666hbc255,710,254,732,232,775hbc210,818,194,839,166,883hbc138,927,83,975,90,993hbc97,1011,153,986,199,971hbc245,956,273,948,319,917hbc365,886,409,837,428,818hbe">
            <v:path arrowok="t"/>
            <v:fill on="f" focussize="0,0"/>
            <v:stroke color="#FF0000"/>
            <v:imagedata o:title=""/>
            <o:lock v:ext="edit" aspectratio="f"/>
          </v:shape>
        </w:pict>
      </w:r>
      <w:r>
        <w:rPr>
          <w:rFonts w:hint="default" w:ascii="Times New Roman" w:hAnsi="Times New Roman" w:eastAsia="宋体" w:cs="Times New Roman"/>
          <w:color w:val="auto"/>
          <w:sz w:val="21"/>
        </w:rPr>
        <w:pict>
          <v:rect id="_x0000_s2851" o:spid="_x0000_s2851" o:spt="1" style="position:absolute;left:0pt;margin-left:441.1pt;margin-top:293.35pt;height:21.7pt;width:46.45pt;z-index:251741184;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上窝堡</w:t>
                  </w:r>
                </w:p>
              </w:txbxContent>
            </v:textbox>
          </v:rect>
        </w:pict>
      </w:r>
      <w:r>
        <w:rPr>
          <w:rFonts w:hint="default" w:ascii="Times New Roman" w:hAnsi="Times New Roman" w:eastAsia="宋体" w:cs="Times New Roman"/>
          <w:sz w:val="21"/>
        </w:rPr>
        <w:pict>
          <v:shape id="_x0000_s2850" o:spid="_x0000_s2850" style="position:absolute;left:0pt;margin-left:456.5pt;margin-top:313pt;height:10.5pt;width:15.25pt;z-index:251725824;mso-width-relative:page;mso-height-relative:page;" filled="f" stroked="t" coordsize="305,210" path="m100,0hbc78,21,0,79,2,110hbc4,141,65,136,111,153hbc157,170,194,210,231,197hbc268,184,305,114,296,88hbc287,62,226,84,187,66hbc148,48,115,13,100,0hbxe">
            <v:fill on="f" focussize="0,0"/>
            <v:stroke color="#FF0000"/>
            <v:imagedata o:title=""/>
            <o:lock v:ext="edit" aspectratio="f"/>
          </v:shape>
        </w:pict>
      </w:r>
      <w:r>
        <w:rPr>
          <w:rFonts w:hint="default" w:ascii="Times New Roman" w:hAnsi="Times New Roman" w:eastAsia="宋体" w:cs="Times New Roman"/>
          <w:color w:val="auto"/>
          <w:sz w:val="21"/>
        </w:rPr>
        <w:pict>
          <v:rect id="_x0000_s2849" o:spid="_x0000_s2849" o:spt="1" style="position:absolute;left:0pt;margin-left:392.15pt;margin-top:312pt;height:21.7pt;width:46.45pt;z-index:251740160;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五家子</w:t>
                  </w:r>
                </w:p>
              </w:txbxContent>
            </v:textbox>
          </v:rect>
        </w:pict>
      </w:r>
      <w:r>
        <w:rPr>
          <w:rFonts w:hint="default" w:ascii="Times New Roman" w:hAnsi="Times New Roman" w:eastAsia="宋体" w:cs="Times New Roman"/>
          <w:sz w:val="21"/>
        </w:rPr>
        <w:pict>
          <v:shape id="_x0000_s2848" o:spid="_x0000_s2848" style="position:absolute;left:0pt;margin-left:419.4pt;margin-top:333.5pt;height:25.85pt;width:16.1pt;z-index:251725824;mso-width-relative:page;mso-height-relative:page;" filled="f" stroked="t" coordsize="322,517" path="m276,116hbc256,96,211,36,167,18hbc123,0,91,4,58,28hbc25,52,0,94,4,138hbc8,182,76,201,80,247hbc84,293,15,328,26,367hbc37,406,91,415,135,443hbc179,471,214,517,244,508hbc274,499,278,444,287,400hbc296,356,280,334,287,290hbc294,246,322,216,320,181hbc318,146,285,127,276,116hbxe">
            <v:fill on="f" focussize="0,0"/>
            <v:stroke color="#FF0000"/>
            <v:imagedata o:title=""/>
            <o:lock v:ext="edit" aspectratio="f"/>
          </v:shape>
        </w:pict>
      </w:r>
      <w:r>
        <w:rPr>
          <w:rFonts w:hint="default" w:ascii="Times New Roman" w:hAnsi="Times New Roman" w:eastAsia="宋体" w:cs="Times New Roman"/>
          <w:color w:val="auto"/>
          <w:sz w:val="21"/>
        </w:rPr>
        <w:pict>
          <v:rect id="_x0000_s2847" o:spid="_x0000_s2847" o:spt="1" style="position:absolute;left:0pt;margin-left:421.6pt;margin-top:254.75pt;height:21.7pt;width:46.45pt;z-index:251739136;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东洼</w:t>
                  </w:r>
                </w:p>
              </w:txbxContent>
            </v:textbox>
          </v:rect>
        </w:pict>
      </w:r>
      <w:r>
        <w:rPr>
          <w:rFonts w:hint="default" w:ascii="Times New Roman" w:hAnsi="Times New Roman" w:eastAsia="宋体" w:cs="Times New Roman"/>
          <w:sz w:val="21"/>
        </w:rPr>
        <w:pict>
          <v:shape id="_x0000_s2846" o:spid="_x0000_s2846" style="position:absolute;left:0pt;margin-left:422.3pt;margin-top:240.1pt;height:18.45pt;width:30.35pt;z-index:251726848;mso-width-relative:page;mso-height-relative:page;" filled="f" stroked="t" coordsize="607,369" path="m0,195hbc19,189,63,181,109,161hbc155,141,183,122,229,96hbc275,70,294,48,338,31hbc382,14,404,0,448,9hbc492,18,527,40,557,75hbc587,110,607,140,600,184hbc593,228,561,265,524,293hbc487,321,459,313,415,326hbc371,339,350,352,306,358hbc262,364,241,369,197,358hbc153,347,127,337,88,304hbc49,271,15,216,0,195hbxe">
            <v:fill on="f" focussize="0,0"/>
            <v:stroke color="#FF0000"/>
            <v:imagedata o:title=""/>
            <o:lock v:ext="edit" aspectratio="f"/>
          </v:shape>
        </w:pict>
      </w:r>
      <w:r>
        <w:rPr>
          <w:rFonts w:hint="default" w:ascii="Times New Roman" w:hAnsi="Times New Roman" w:eastAsia="宋体" w:cs="Times New Roman"/>
          <w:color w:val="auto"/>
          <w:sz w:val="21"/>
        </w:rPr>
        <w:pict>
          <v:rect id="_x0000_s2844" o:spid="_x0000_s2844" o:spt="1" style="position:absolute;left:0pt;margin-left:468.5pt;margin-top:143.5pt;height:21.7pt;width:46.45pt;z-index:251738112;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卧风翱</w:t>
                  </w:r>
                </w:p>
              </w:txbxContent>
            </v:textbox>
          </v:rect>
        </w:pict>
      </w:r>
      <w:r>
        <w:rPr>
          <w:rFonts w:hint="default" w:ascii="Times New Roman" w:hAnsi="Times New Roman" w:eastAsia="宋体" w:cs="Times New Roman"/>
          <w:sz w:val="21"/>
        </w:rPr>
        <w:pict>
          <v:shape id="_x0000_s2845" o:spid="_x0000_s2845" style="position:absolute;left:0pt;margin-left:494.55pt;margin-top:121.1pt;height:24.75pt;width:12.95pt;z-index:251725824;mso-width-relative:page;mso-height-relative:page;" filled="f" stroked="t" coordsize="259,495" path="m235,0hbc216,20,163,65,137,109hbc111,153,124,174,104,218hbc84,262,56,284,39,328hbc22,372,0,403,17,436hbc34,469,82,495,126,491hbc170,487,211,452,235,415hbc259,378,248,350,246,306hbc244,262,224,240,224,196hbc224,152,244,127,246,88hbc248,49,238,15,235,0hbxe">
            <v:fill on="f" focussize="0,0"/>
            <v:stroke color="#FF0000"/>
            <v:imagedata o:title=""/>
            <o:lock v:ext="edit" aspectratio="f"/>
          </v:shape>
        </w:pict>
      </w:r>
      <w:r>
        <w:rPr>
          <w:rFonts w:hint="default" w:ascii="Times New Roman" w:hAnsi="Times New Roman" w:eastAsia="宋体" w:cs="Times New Roman"/>
          <w:color w:val="auto"/>
          <w:sz w:val="21"/>
        </w:rPr>
        <w:pict>
          <v:rect id="矩形 1235" o:spid="_x0000_s2079" o:spt="1" style="position:absolute;left:0pt;margin-left:184.8pt;margin-top:115.7pt;height:21.7pt;width:69.3pt;z-index:251678720;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小巴沟河东</w:t>
                  </w:r>
                </w:p>
              </w:txbxContent>
            </v:textbox>
          </v:rect>
        </w:pict>
      </w:r>
      <w:r>
        <w:rPr>
          <w:rFonts w:hint="default" w:ascii="Times New Roman" w:hAnsi="Times New Roman" w:eastAsia="宋体" w:cs="Times New Roman"/>
          <w:color w:val="auto"/>
          <w:sz w:val="21"/>
        </w:rPr>
        <w:pict>
          <v:rect id="_x0000_s2836" o:spid="_x0000_s2836" o:spt="1" style="position:absolute;left:0pt;margin-left:208.9pt;margin-top:236.75pt;height:21.7pt;width:38.25pt;z-index:251734016;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下洼</w:t>
                  </w:r>
                </w:p>
              </w:txbxContent>
            </v:textbox>
          </v:rect>
        </w:pict>
      </w:r>
      <w:r>
        <w:rPr>
          <w:rFonts w:hint="default" w:ascii="Times New Roman" w:hAnsi="Times New Roman" w:eastAsia="宋体" w:cs="Times New Roman"/>
          <w:color w:val="auto"/>
          <w:sz w:val="21"/>
        </w:rPr>
        <w:pict>
          <v:rect id="_x0000_s2842" o:spid="_x0000_s2842" o:spt="1" style="position:absolute;left:0pt;margin-left:383.9pt;margin-top:182.1pt;height:21.7pt;width:59pt;z-index:251737088;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上丁杖子</w:t>
                  </w:r>
                </w:p>
              </w:txbxContent>
            </v:textbox>
          </v:rect>
        </w:pict>
      </w:r>
      <w:r>
        <w:rPr>
          <w:rFonts w:hint="default" w:ascii="Times New Roman" w:hAnsi="Times New Roman" w:eastAsia="宋体" w:cs="Times New Roman"/>
          <w:color w:val="auto"/>
          <w:sz w:val="21"/>
        </w:rPr>
        <w:pict>
          <v:rect id="_x0000_s2838" o:spid="_x0000_s2838" o:spt="1" style="position:absolute;left:0pt;margin-left:425.85pt;margin-top:65.15pt;height:21.7pt;width:46.45pt;z-index:251735040;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邱家沟</w:t>
                  </w:r>
                </w:p>
              </w:txbxContent>
            </v:textbox>
          </v:rect>
        </w:pict>
      </w:r>
      <w:r>
        <w:rPr>
          <w:rFonts w:hint="default" w:ascii="Times New Roman" w:hAnsi="Times New Roman" w:eastAsia="宋体" w:cs="Times New Roman"/>
          <w:color w:val="auto"/>
          <w:sz w:val="21"/>
        </w:rPr>
        <w:pict>
          <v:rect id="矩形 1247" o:spid="_x0000_s2067" o:spt="1" style="position:absolute;left:0pt;margin-left:376.75pt;margin-top:100.8pt;height:21.7pt;width:46.45pt;z-index:251679744;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薛台子</w:t>
                  </w:r>
                </w:p>
              </w:txbxContent>
            </v:textbox>
          </v:rect>
        </w:pict>
      </w:r>
      <w:r>
        <w:rPr>
          <w:rFonts w:hint="default" w:ascii="Times New Roman" w:hAnsi="Times New Roman" w:eastAsia="宋体" w:cs="Times New Roman"/>
          <w:color w:val="auto"/>
          <w:sz w:val="21"/>
        </w:rPr>
        <w:pict>
          <v:rect id="矩形 844" o:spid="_x0000_s2082" o:spt="1" style="position:absolute;left:0pt;margin-left:351.6pt;margin-top:44.65pt;height:21.7pt;width:48.6pt;z-index:251677696;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大杖子</w:t>
                  </w:r>
                </w:p>
              </w:txbxContent>
            </v:textbox>
          </v:rect>
        </w:pict>
      </w:r>
      <w:r>
        <w:rPr>
          <w:rFonts w:hint="default" w:ascii="Times New Roman" w:hAnsi="Times New Roman" w:eastAsia="宋体" w:cs="Times New Roman"/>
          <w:sz w:val="21"/>
        </w:rPr>
        <w:pict>
          <v:shape id="_x0000_s2843" o:spid="_x0000_s2843" style="position:absolute;left:0pt;margin-left:399.95pt;margin-top:204.35pt;height:55.1pt;width:20.4pt;z-index:251725824;mso-width-relative:page;mso-height-relative:page;" filled="f" stroked="t" coordsize="408,1102" path="m164,36hbc166,56,173,102,175,146hbc177,190,179,211,175,255hbc171,299,177,320,153,364hbc129,408,81,429,55,473hbc29,517,29,539,22,583hbc15,627,22,647,22,691hbc22,735,0,757,22,801hbc44,845,87,866,131,910hbc175,954,196,982,240,1019hbc284,1056,316,1102,349,1095hbc382,1088,408,1030,404,986hbc400,942,355,920,327,876hbc299,832,282,811,262,768hbc242,725,236,703,229,659hbc222,615,225,594,229,550hbc233,506,242,485,251,441hbc260,397,266,375,273,331hbc280,287,282,267,284,223hbc286,179,306,155,284,113hbc262,71,199,30,175,15hbc151,0,164,30,164,36hbxe">
            <v:fill on="f" focussize="0,0"/>
            <v:stroke color="#FF0000"/>
            <v:imagedata o:title=""/>
            <o:lock v:ext="edit" aspectratio="f"/>
          </v:shape>
        </w:pict>
      </w:r>
      <w:r>
        <w:rPr>
          <w:rFonts w:hint="default" w:ascii="Times New Roman" w:hAnsi="Times New Roman" w:eastAsia="宋体" w:cs="Times New Roman"/>
          <w:sz w:val="21"/>
        </w:rPr>
        <w:pict>
          <v:shape id="_x0000_s2841" o:spid="_x0000_s2841" style="position:absolute;left:0pt;margin-left:219.95pt;margin-top:254.65pt;height:33.15pt;width:37.1pt;z-index:251725824;mso-width-relative:page;mso-height-relative:page;" filled="f" stroked="t" coordsize="742,663" path="m98,0hbc117,14,161,44,207,77hbc253,110,281,134,327,165hbc373,196,403,195,436,230hbc469,265,467,295,491,339hbc515,383,521,409,556,448hbc591,487,630,496,665,535hbc700,574,742,627,731,645hbc720,663,657,632,611,623hbc565,614,548,611,502,600hbc456,589,417,596,382,568hbc347,540,355,505,327,459hbc299,413,279,372,240,339hbc201,306,175,312,131,295hbc87,278,44,282,22,252hbc0,222,13,187,22,143hbc31,99,50,63,65,34hbc80,5,92,5,98,0hbxe">
            <v:fill on="f" focussize="0,0"/>
            <v:stroke color="#FF0000"/>
            <v:imagedata o:title=""/>
            <o:lock v:ext="edit" aspectratio="f"/>
          </v:shape>
        </w:pict>
      </w:r>
      <w:r>
        <w:rPr>
          <w:rFonts w:hint="default" w:ascii="Times New Roman" w:hAnsi="Times New Roman" w:eastAsia="宋体" w:cs="Times New Roman"/>
          <w:color w:val="auto"/>
          <w:sz w:val="21"/>
        </w:rPr>
        <w:drawing>
          <wp:inline distT="0" distB="0" distL="114300" distR="114300">
            <wp:extent cx="7724140" cy="5271135"/>
            <wp:effectExtent l="0" t="0" r="2540" b="1905"/>
            <wp:docPr id="2" name="图片 2" descr="1636612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636612410(1)"/>
                    <pic:cNvPicPr>
                      <a:picLocks noChangeAspect="1"/>
                    </pic:cNvPicPr>
                  </pic:nvPicPr>
                  <pic:blipFill>
                    <a:blip r:embed="rId25"/>
                    <a:stretch>
                      <a:fillRect/>
                    </a:stretch>
                  </pic:blipFill>
                  <pic:spPr>
                    <a:xfrm>
                      <a:off x="0" y="0"/>
                      <a:ext cx="7724140" cy="5271135"/>
                    </a:xfrm>
                    <a:prstGeom prst="rect">
                      <a:avLst/>
                    </a:prstGeom>
                  </pic:spPr>
                </pic:pic>
              </a:graphicData>
            </a:graphic>
          </wp:inline>
        </w:drawing>
      </w:r>
      <w:r>
        <w:rPr>
          <w:rFonts w:hint="default" w:ascii="Times New Roman" w:hAnsi="Times New Roman" w:eastAsia="宋体" w:cs="Times New Roman"/>
          <w:sz w:val="21"/>
        </w:rPr>
        <w:pict>
          <v:shape id="_x0000_s2839" o:spid="_x0000_s2839" style="position:absolute;left:0pt;margin-left:318.7pt;margin-top:231.65pt;height:11.25pt;width:14.15pt;z-index:251725824;mso-width-relative:page;mso-height-relative:page;" filled="f" stroked="t" coordsize="283,225" path="m283,69hbc263,65,218,58,174,47hbc130,36,98,0,65,15hbc32,30,0,85,11,124hbc22,163,76,195,120,210hbc164,225,199,224,229,200hbc259,176,261,116,272,90hbc283,64,282,71,283,69hbxe">
            <v:fill on="f" focussize="0,0"/>
            <v:stroke color="#FF0000"/>
            <v:imagedata o:title=""/>
            <o:lock v:ext="edit" aspectratio="f"/>
          </v:shape>
        </w:pict>
      </w:r>
      <w:r>
        <w:rPr>
          <w:rFonts w:hint="default" w:ascii="Times New Roman" w:hAnsi="Times New Roman" w:eastAsia="宋体" w:cs="Times New Roman"/>
          <w:sz w:val="21"/>
        </w:rPr>
        <w:pict>
          <v:shape id="_x0000_s2837" o:spid="_x0000_s2837" style="position:absolute;left:0pt;margin-left:438.7pt;margin-top:82.25pt;height:15.6pt;width:18.75pt;z-index:251725824;mso-width-relative:page;mso-height-relative:page;" filled="f" stroked="t" coordsize="375,312" path="m218,35hbc198,55,153,103,109,145hbc65,187,0,210,0,243hbc0,276,65,304,109,308hbc153,312,174,285,218,265hbc262,245,299,243,327,210hbc355,177,375,140,360,101hbc345,62,278,26,250,13hbc222,0,222,29,218,35hbxe">
            <v:fill on="f" focussize="0,0"/>
            <v:stroke color="#FF0000"/>
            <v:imagedata o:title=""/>
            <o:lock v:ext="edit" aspectratio="f"/>
          </v:shape>
        </w:pict>
      </w:r>
      <w:r>
        <w:rPr>
          <w:rFonts w:hint="default" w:ascii="Times New Roman" w:hAnsi="Times New Roman" w:eastAsia="宋体" w:cs="Times New Roman"/>
          <w:sz w:val="21"/>
        </w:rPr>
        <w:pict>
          <v:shape id="_x0000_s2835" o:spid="_x0000_s2835" style="position:absolute;left:0pt;margin-left:384.05pt;margin-top:82.4pt;height:24.3pt;width:36.2pt;z-index:251725824;mso-width-relative:page;mso-height-relative:page;" filled="f" stroked="t" coordsize="724,486" path="m154,0hbc174,17,220,61,264,87hbc308,113,329,113,373,130hbc417,147,436,152,482,174hbc528,196,554,218,602,240hbc650,262,720,259,722,283hbc724,307,657,354,613,360hbc569,366,547,330,503,315hbc459,300,438,278,394,283hbc350,288,315,305,285,338hbc255,371,272,421,242,447hbc212,473,168,486,133,469hbc98,452,93,404,67,360hbc41,316,4,294,2,250hbc0,206,32,186,56,142hbc80,98,102,60,122,32hbc142,4,149,4,154,0hbxe">
            <v:fill on="f" focussize="0,0"/>
            <v:stroke color="#FF0000"/>
            <v:imagedata o:title=""/>
            <o:lock v:ext="edit" aspectratio="f"/>
          </v:shape>
        </w:pict>
      </w:r>
      <w:r>
        <w:rPr>
          <w:rFonts w:hint="default" w:ascii="Times New Roman" w:hAnsi="Times New Roman" w:eastAsia="宋体" w:cs="Times New Roman"/>
          <w:sz w:val="21"/>
        </w:rPr>
        <w:pict>
          <v:shape id="_x0000_s2834" o:spid="_x0000_s2834" style="position:absolute;left:0pt;margin-left:193.65pt;margin-top:134.15pt;height:57.6pt;width:28.3pt;z-index:251726848;mso-width-relative:page;mso-height-relative:page;" filled="f" stroked="t" coordsize="566,1152" path="m450,0hbc444,22,428,74,417,120hbc406,166,404,186,395,230hbc386,274,384,295,373,339hbc362,383,356,404,341,448hbc326,492,330,540,297,557hbc264,574,223,544,177,535hbc131,526,101,496,68,514hbc35,532,0,582,13,623hbc26,664,98,679,133,720hbc168,761,177,786,188,830hbc199,874,186,895,188,939hbc190,983,175,1009,199,1048hbc223,1087,264,1118,308,1135hbc352,1152,373,1137,417,1135hbc461,1133,502,1149,526,1125hbc550,1101,548,1059,537,1015hbc526,971,484,951,471,907hbc458,863,471,841,471,797hbc471,753,469,732,471,688hbc473,644,471,623,482,579hbc493,535,511,514,526,470hbc541,426,552,404,559,360hbc566,316,561,295,559,252hbc557,209,561,187,548,143hbc535,99,513,63,493,34hbc473,5,457,5,450,0hbxe">
            <v:fill on="f" focussize="0,0"/>
            <v:stroke color="#FF0000"/>
            <v:imagedata o:title=""/>
            <o:lock v:ext="edit" aspectratio="f"/>
          </v:shape>
        </w:pict>
      </w:r>
      <w:r>
        <w:rPr>
          <w:rFonts w:hint="default" w:ascii="Times New Roman" w:hAnsi="Times New Roman" w:eastAsia="宋体" w:cs="Times New Roman"/>
          <w:sz w:val="21"/>
        </w:rPr>
        <w:pict>
          <v:shape id="_x0000_s2833" o:spid="_x0000_s2833" style="position:absolute;left:0pt;margin-left:340.5pt;margin-top:27.3pt;height:37.4pt;width:24.2pt;z-index:251725824;mso-width-relative:page;mso-height-relative:page;" filled="f" stroked="t" coordsize="484,748" path="m393,0hbc387,20,373,66,360,109hbc347,152,342,173,327,217hbc312,261,306,283,284,327hbc262,371,253,397,218,436hbc183,475,153,496,109,524hbc65,552,0,549,0,577hbc0,605,65,641,109,665hbc153,689,174,684,218,697hbc262,710,307,748,327,731hbc347,714,303,661,316,611hbc329,561,369,530,393,480hbc417,430,423,406,436,360hbc449,314,451,295,458,251hbc465,207,467,186,469,142hbc471,98,484,60,469,32hbc454,4,408,4,393,0hbxe">
            <v:fill on="f" focussize="0,0"/>
            <v:stroke color="#FF0000"/>
            <v:imagedata o:title=""/>
            <o:lock v:ext="edit" aspectratio="f"/>
          </v:shape>
        </w:pict>
      </w:r>
      <w:r>
        <w:rPr>
          <w:rFonts w:hint="default" w:ascii="Times New Roman" w:hAnsi="Times New Roman" w:eastAsia="宋体" w:cs="Times New Roman"/>
          <w:color w:val="auto"/>
        </w:rPr>
        <w:pict>
          <v:rect id="矩形 7" o:spid="_x0000_s2057" o:spt="1" style="position:absolute;left:0pt;margin-left:540.35pt;margin-top:345.6pt;height:71.05pt;width:111.6pt;mso-wrap-distance-bottom:0pt;mso-wrap-distance-left:9pt;mso-wrap-distance-right:9pt;mso-wrap-distance-top:0pt;z-index:251673600;mso-width-relative:page;mso-height-relative:page;" fillcolor="#FFFFFF" filled="t" stroked="t" coordsize="21600,21600" o:gfxdata="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Zj&#10;NMTZAAAADQEAAA8AAAAAAAAAAQAgAAAAIgAAAGRycy9kb3ducmV2LnhtbFBLAQIUABQAAAAIAIdO&#10;4kAp9VWS6QEAANwDAAAOAAAAAAAAAAEAIAAAACgBAABkcnMvZTJvRG9jLnhtbFBLBQYAAAAABgAG&#10;AFkBAACDBQAAAAA=&#10;">
            <v:path/>
            <v:fill on="t" color2="#FFFFFF" focussize="0,0"/>
            <v:stroke color="#000000" joinstyle="miter"/>
            <v:imagedata o:title=""/>
            <o:lock v:ext="edit" aspectratio="f"/>
            <v:textbox>
              <w:txbxContent>
                <w:p>
                  <w:pPr>
                    <w:ind w:firstLine="1050" w:firstLineChars="500"/>
                    <w:rPr>
                      <w:rFonts w:hint="eastAsia"/>
                    </w:rPr>
                  </w:pPr>
                  <w:r>
                    <w:rPr>
                      <w:rFonts w:hint="eastAsia"/>
                    </w:rPr>
                    <w:t xml:space="preserve">图例 </w:t>
                  </w:r>
                </w:p>
                <w:p>
                  <w:pPr>
                    <w:ind w:firstLine="420" w:firstLineChars="200"/>
                    <w:rPr>
                      <w:rFonts w:hint="eastAsia"/>
                      <w:lang w:eastAsia="zh-CN"/>
                    </w:rPr>
                  </w:pPr>
                  <w:r>
                    <w:rPr>
                      <w:rFonts w:hint="eastAsia"/>
                      <w:lang w:eastAsia="zh-CN"/>
                    </w:rPr>
                    <w:t>项目所在地</w:t>
                  </w:r>
                </w:p>
                <w:p>
                  <w:pPr>
                    <w:ind w:firstLine="420" w:firstLineChars="200"/>
                    <w:rPr>
                      <w:rFonts w:hint="eastAsia"/>
                    </w:rPr>
                  </w:pPr>
                  <w:r>
                    <w:rPr>
                      <w:rFonts w:hint="eastAsia"/>
                    </w:rPr>
                    <w:t>大气评价范围</w:t>
                  </w:r>
                </w:p>
                <w:p>
                  <w:r>
                    <w:rPr>
                      <w:rFonts w:hint="eastAsia"/>
                    </w:rPr>
                    <w:t>比例尺1：</w:t>
                  </w:r>
                  <w:r>
                    <w:rPr>
                      <w:rFonts w:hint="eastAsia"/>
                      <w:lang w:val="en-US" w:eastAsia="zh-CN"/>
                    </w:rPr>
                    <w:t>7</w:t>
                  </w:r>
                  <w:r>
                    <w:rPr>
                      <w:rFonts w:hint="eastAsia"/>
                    </w:rPr>
                    <w:t>0000</w:t>
                  </w:r>
                </w:p>
                <w:p>
                  <w:pPr>
                    <w:ind w:firstLine="420" w:firstLineChars="200"/>
                    <w:rPr>
                      <w:rFonts w:hint="default" w:eastAsia="宋体"/>
                      <w:vertAlign w:val="baseline"/>
                      <w:lang w:val="en-US" w:eastAsia="zh-CN"/>
                    </w:rPr>
                  </w:pPr>
                </w:p>
              </w:txbxContent>
            </v:textbox>
            <w10:wrap type="square"/>
          </v:rect>
        </w:pict>
      </w:r>
      <w:r>
        <w:rPr>
          <w:rFonts w:hint="default" w:ascii="Times New Roman" w:hAnsi="Times New Roman" w:eastAsia="宋体" w:cs="Times New Roman"/>
          <w:color w:val="auto"/>
          <w:sz w:val="21"/>
        </w:rPr>
        <w:pict>
          <v:rect id="矩形 1230" o:spid="_x0000_s2084" o:spt="1" style="position:absolute;left:0pt;margin-left:174pt;margin-top:24pt;height:334.45pt;width:340.5pt;z-index:251676672;mso-width-relative:page;mso-height-relative:page;" filled="f" stroked="t" coordsize="21600,21600">
            <v:path/>
            <v:fill on="f" focussize="0,0"/>
            <v:stroke color="#92D050" joinstyle="miter"/>
            <v:imagedata o:title=""/>
            <o:lock v:ext="edit" aspectratio="f"/>
          </v:rect>
        </w:pict>
      </w:r>
      <w:r>
        <w:rPr>
          <w:rFonts w:hint="default" w:ascii="Times New Roman" w:hAnsi="Times New Roman" w:eastAsia="宋体" w:cs="Times New Roman"/>
          <w:sz w:val="21"/>
        </w:rPr>
        <w:pict>
          <v:shape id="_x0000_s2832" o:spid="_x0000_s2832" style="position:absolute;left:0pt;margin-left:552.45pt;margin-top:365.9pt;height:13.45pt;width:12.4pt;z-index:251732992;mso-width-relative:page;mso-height-relative:page;" filled="f" stroked="t" coordsize="356,410" path="m146,32hbc167,50,220,90,256,132hbc292,174,310,198,326,242hbc342,286,356,320,336,352hbc316,384,270,410,226,402hbc182,394,152,352,116,312hbc80,272,66,246,46,202hbc26,158,0,130,16,92hbc32,54,100,24,126,12hbc152,0,144,26,146,32hbxe">
            <v:fill on="f" focussize="0,0"/>
            <v:stroke color="#FFC000"/>
            <v:imagedata o:title=""/>
            <o:lock v:ext="edit" aspectratio="f"/>
          </v:shape>
        </w:pict>
      </w:r>
      <w:r>
        <w:rPr>
          <w:rFonts w:hint="default" w:ascii="Times New Roman" w:hAnsi="Times New Roman" w:eastAsia="宋体" w:cs="Times New Roman"/>
          <w:color w:val="auto"/>
          <w:sz w:val="21"/>
        </w:rPr>
        <w:pict>
          <v:rect id="矩形 417" o:spid="_x0000_s2102" o:spt="1" style="position:absolute;left:0pt;margin-left:552.1pt;margin-top:382.65pt;height:9.7pt;width:12pt;z-index:251675648;mso-width-relative:page;mso-height-relative:page;" fillcolor="#FFFFFF" filled="t" stroked="t" coordsize="21600,21600">
            <v:path/>
            <v:fill on="t" focussize="0,0"/>
            <v:stroke color="#92D050"/>
            <v:imagedata o:title=""/>
            <o:lock v:ext="edit" aspectratio="f"/>
          </v:rect>
        </w:pict>
      </w:r>
      <w:r>
        <w:rPr>
          <w:rFonts w:hint="default" w:ascii="Times New Roman" w:hAnsi="Times New Roman" w:eastAsia="宋体" w:cs="Times New Roman"/>
          <w:sz w:val="21"/>
        </w:rPr>
        <w:pict>
          <v:shape id="_x0000_s2831" o:spid="_x0000_s2831" style="position:absolute;left:0pt;margin-left:341.4pt;margin-top:179.9pt;height:20.5pt;width:17.8pt;z-index:251725824;mso-width-relative:page;mso-height-relative:page;" filled="f" stroked="t" coordsize="356,410" path="m146,32hbc167,50,220,90,256,132hbc292,174,310,198,326,242hbc342,286,356,320,336,352hbc316,384,270,410,226,402hbc182,394,152,352,116,312hbc80,272,66,246,46,202hbc26,158,0,130,16,92hbc32,54,100,24,126,12hbc152,0,144,26,146,32hbxe">
            <v:fill on="f" focussize="0,0"/>
            <v:stroke color="#FFC000"/>
            <v:imagedata o:title=""/>
            <o:lock v:ext="edit" aspectratio="f"/>
          </v:shape>
        </w:pict>
      </w:r>
      <w:r>
        <w:rPr>
          <w:rFonts w:hint="default" w:ascii="Times New Roman" w:hAnsi="Times New Roman" w:eastAsia="宋体" w:cs="Times New Roman"/>
          <w:color w:val="auto"/>
        </w:rPr>
        <w:drawing>
          <wp:anchor distT="0" distB="0" distL="114300" distR="114300" simplePos="0" relativeHeight="251674624" behindDoc="0" locked="0" layoutInCell="1" allowOverlap="1">
            <wp:simplePos x="0" y="0"/>
            <wp:positionH relativeFrom="column">
              <wp:posOffset>7651115</wp:posOffset>
            </wp:positionH>
            <wp:positionV relativeFrom="paragraph">
              <wp:posOffset>52070</wp:posOffset>
            </wp:positionV>
            <wp:extent cx="626745" cy="721995"/>
            <wp:effectExtent l="0" t="0" r="13335" b="9525"/>
            <wp:wrapNone/>
            <wp:docPr id="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
                    <pic:cNvPicPr>
                      <a:picLocks noChangeAspect="1"/>
                    </pic:cNvPicPr>
                  </pic:nvPicPr>
                  <pic:blipFill>
                    <a:blip r:embed="rId26"/>
                    <a:stretch>
                      <a:fillRect/>
                    </a:stretch>
                  </pic:blipFill>
                  <pic:spPr>
                    <a:xfrm>
                      <a:off x="0" y="0"/>
                      <a:ext cx="626745" cy="721995"/>
                    </a:xfrm>
                    <a:prstGeom prst="rect">
                      <a:avLst/>
                    </a:prstGeom>
                    <a:noFill/>
                    <a:ln>
                      <a:noFill/>
                    </a:ln>
                  </pic:spPr>
                </pic:pic>
              </a:graphicData>
            </a:graphic>
          </wp:anchor>
        </w:drawing>
      </w:r>
      <w:r>
        <w:rPr>
          <w:rFonts w:hint="default" w:ascii="Times New Roman" w:hAnsi="Times New Roman" w:eastAsia="宋体" w:cs="Times New Roman"/>
          <w:color w:val="auto"/>
          <w:sz w:val="21"/>
        </w:rPr>
        <w:pict>
          <v:rect id="_x0000_s2101" o:spid="_x0000_s2101" o:spt="1" style="position:absolute;left:0pt;margin-left:161.7pt;margin-top:414.8pt;height:35.7pt;width:418.15pt;z-index:251681792;mso-width-relative:page;mso-height-relative:page;" filled="f" stroked="f" coordsize="21600,21600">
            <v:path/>
            <v:fill on="f" focussize="0,0"/>
            <v:stroke on="f"/>
            <v:imagedata o:title=""/>
            <o:lock v:ext="edit" aspectratio="f"/>
            <v:textbox>
              <w:txbxContent>
                <w:p>
                  <w:pPr>
                    <w:rPr>
                      <w:rFonts w:hint="default"/>
                      <w:sz w:val="24"/>
                      <w:szCs w:val="24"/>
                      <w:lang w:val="en-US" w:eastAsia="zh-CN"/>
                    </w:rPr>
                  </w:pPr>
                  <w:r>
                    <w:rPr>
                      <w:rFonts w:hint="default" w:ascii="Times New Roman" w:hAnsi="Times New Roman" w:eastAsia="宋体" w:cs="Times New Roman"/>
                      <w:b/>
                      <w:bCs/>
                      <w:sz w:val="24"/>
                      <w:szCs w:val="24"/>
                    </w:rPr>
                    <w:t>图1.6-1  大气环境评价范围及环境保护目标分布图</w:t>
                  </w:r>
                </w:p>
              </w:txbxContent>
            </v:textbox>
          </v:rect>
        </w:pict>
      </w:r>
    </w:p>
    <w:p>
      <w:pPr>
        <w:pStyle w:val="517"/>
        <w:spacing w:line="240" w:lineRule="auto"/>
        <w:ind w:firstLine="0" w:firstLineChars="0"/>
        <w:jc w:val="center"/>
        <w:rPr>
          <w:rFonts w:hint="default" w:ascii="Times New Roman" w:hAnsi="Times New Roman" w:eastAsia="宋体" w:cs="Times New Roman"/>
          <w:color w:val="auto"/>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517"/>
        <w:spacing w:line="240" w:lineRule="auto"/>
        <w:ind w:firstLine="0" w:firstLineChars="0"/>
        <w:jc w:val="center"/>
        <w:rPr>
          <w:rFonts w:hint="default" w:ascii="Times New Roman" w:hAnsi="Times New Roman" w:eastAsia="宋体" w:cs="Times New Roman"/>
          <w:color w:val="auto"/>
          <w:w w:val="0"/>
          <w:sz w:val="16"/>
          <w:szCs w:val="0"/>
          <w:shd w:val="clear" w:color="000000" w:fill="000000"/>
        </w:rPr>
      </w:pPr>
      <w:r>
        <w:rPr>
          <w:rFonts w:hint="default" w:ascii="Times New Roman" w:hAnsi="Times New Roman" w:eastAsia="宋体" w:cs="Times New Roman"/>
          <w:color w:val="auto"/>
          <w:sz w:val="21"/>
        </w:rPr>
        <w:pict>
          <v:rect id="_x0000_s2981" o:spid="_x0000_s2981" o:spt="1" style="position:absolute;left:0pt;margin-left:422.7pt;margin-top:257.85pt;height:21.7pt;width:46.45pt;z-index:251872256;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东洼</w:t>
                  </w:r>
                </w:p>
              </w:txbxContent>
            </v:textbox>
          </v:rect>
        </w:pict>
      </w:r>
      <w:r>
        <w:rPr>
          <w:rFonts w:hint="default" w:ascii="Times New Roman" w:hAnsi="Times New Roman" w:eastAsia="宋体" w:cs="Times New Roman"/>
          <w:sz w:val="21"/>
        </w:rPr>
        <w:pict>
          <v:shape id="_x0000_s2971" o:spid="_x0000_s2971" style="position:absolute;left:0pt;margin-left:342.5pt;margin-top:178.85pt;height:20.5pt;width:17.8pt;z-index:251865088;mso-width-relative:page;mso-height-relative:page;" filled="f" stroked="t" coordsize="356,410" path="m146,32hbc167,50,220,90,256,132hbc292,174,310,198,326,242hbc342,286,356,320,336,352hbc316,384,270,410,226,402hbc182,394,152,352,116,312hbc80,272,66,246,46,202hbc26,158,0,130,16,92hbc32,54,100,24,126,12hbc152,0,144,26,146,32hbxe">
            <v:fill on="f" focussize="0,0"/>
            <v:stroke color="#FFC000"/>
            <v:imagedata o:title=""/>
            <o:lock v:ext="edit" aspectratio="f"/>
          </v:shape>
        </w:pict>
      </w:r>
      <w:r>
        <w:rPr>
          <w:rFonts w:hint="default" w:ascii="Times New Roman" w:hAnsi="Times New Roman" w:eastAsia="宋体" w:cs="Times New Roman"/>
          <w:sz w:val="21"/>
        </w:rPr>
        <w:pict>
          <v:shape id="_x0000_s2984" o:spid="_x0000_s2984" style="position:absolute;left:0pt;margin-left:420.5pt;margin-top:333.6pt;height:25.85pt;width:16.1pt;z-index:251875328;mso-width-relative:page;mso-height-relative:page;" filled="f" stroked="t" coordsize="322,517" path="m276,116hbc256,96,211,36,167,18hbc123,0,91,4,58,28hbc25,52,0,94,4,138hbc8,182,76,201,80,247hbc84,293,15,328,26,367hbc37,406,91,415,135,443hbc179,471,214,517,244,508hbc274,499,278,444,287,400hbc296,356,280,334,287,290hbc294,246,322,216,320,181hbc318,146,285,127,276,116hbxe">
            <v:fill on="f" focussize="0,0"/>
            <v:stroke color="#FF0000"/>
            <v:imagedata o:title=""/>
            <o:lock v:ext="edit" aspectratio="f"/>
          </v:shape>
        </w:pict>
      </w:r>
      <w:r>
        <w:rPr>
          <w:rFonts w:hint="default" w:ascii="Times New Roman" w:hAnsi="Times New Roman" w:eastAsia="宋体" w:cs="Times New Roman"/>
          <w:color w:val="auto"/>
          <w:sz w:val="21"/>
        </w:rPr>
        <w:pict>
          <v:rect id="_x0000_s2985" o:spid="_x0000_s2985" o:spt="1" style="position:absolute;left:0pt;margin-left:393.25pt;margin-top:309.1pt;height:21.7pt;width:46.45pt;z-index:251876352;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五家子</w:t>
                  </w:r>
                </w:p>
              </w:txbxContent>
            </v:textbox>
          </v:rect>
        </w:pict>
      </w:r>
      <w:r>
        <w:rPr>
          <w:rFonts w:hint="default" w:ascii="Times New Roman" w:hAnsi="Times New Roman" w:eastAsia="宋体" w:cs="Times New Roman"/>
          <w:sz w:val="21"/>
        </w:rPr>
        <w:pict>
          <v:shape id="_x0000_s2982" o:spid="_x0000_s2982" style="position:absolute;left:0pt;margin-left:457.6pt;margin-top:312.1pt;height:10.5pt;width:15.25pt;z-index:251873280;mso-width-relative:page;mso-height-relative:page;" filled="f" stroked="t" coordsize="305,210" path="m100,0hbc78,21,0,79,2,110hbc4,141,65,136,111,153hbc157,170,194,210,231,197hbc268,184,305,114,296,88hbc287,62,226,84,187,66hbc148,48,115,13,100,0hbxe">
            <v:fill on="f" focussize="0,0"/>
            <v:stroke color="#FF0000"/>
            <v:imagedata o:title=""/>
            <o:lock v:ext="edit" aspectratio="f"/>
          </v:shape>
        </w:pict>
      </w:r>
      <w:r>
        <w:rPr>
          <w:rFonts w:hint="default" w:ascii="Times New Roman" w:hAnsi="Times New Roman" w:eastAsia="宋体" w:cs="Times New Roman"/>
          <w:color w:val="auto"/>
          <w:sz w:val="21"/>
        </w:rPr>
        <w:pict>
          <v:rect id="_x0000_s2983" o:spid="_x0000_s2983" o:spt="1" style="position:absolute;left:0pt;margin-left:424.2pt;margin-top:289.45pt;height:21.7pt;width:46.45pt;z-index:251874304;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上窝堡</w:t>
                  </w:r>
                </w:p>
              </w:txbxContent>
            </v:textbox>
          </v:rect>
        </w:pict>
      </w:r>
      <w:r>
        <w:rPr>
          <w:rFonts w:hint="default" w:ascii="Times New Roman" w:hAnsi="Times New Roman" w:eastAsia="宋体" w:cs="Times New Roman"/>
          <w:sz w:val="21"/>
        </w:rPr>
        <w:pict>
          <v:shape id="_x0000_s2980" o:spid="_x0000_s2980" style="position:absolute;left:0pt;margin-left:423.4pt;margin-top:237.2pt;height:18.45pt;width:30.35pt;z-index:251871232;mso-width-relative:page;mso-height-relative:page;" filled="f" stroked="t" coordsize="607,369" path="m0,195hbc19,189,63,181,109,161hbc155,141,183,122,229,96hbc275,70,294,48,338,31hbc382,14,404,0,448,9hbc492,18,527,40,557,75hbc587,110,607,140,600,184hbc593,228,561,265,524,293hbc487,321,459,313,415,326hbc371,339,350,352,306,358hbc262,364,241,369,197,358hbc153,347,127,337,88,304hbc49,271,15,216,0,195hbxe">
            <v:fill on="f" focussize="0,0"/>
            <v:stroke color="#FF0000"/>
            <v:imagedata o:title=""/>
            <o:lock v:ext="edit" aspectratio="f"/>
          </v:shape>
        </w:pict>
      </w:r>
      <w:r>
        <w:rPr>
          <w:rFonts w:hint="default" w:ascii="Times New Roman" w:hAnsi="Times New Roman" w:eastAsia="宋体" w:cs="Times New Roman"/>
          <w:sz w:val="21"/>
        </w:rPr>
        <w:pict>
          <v:shape id="_x0000_s2977" o:spid="_x0000_s2977" style="position:absolute;left:0pt;margin-left:400.05pt;margin-top:207.45pt;height:55.1pt;width:20.4pt;z-index:251869184;mso-width-relative:page;mso-height-relative:page;" filled="f" stroked="t" coordsize="408,1102" path="m164,36hbc166,56,173,102,175,146hbc177,190,179,211,175,255hbc171,299,177,320,153,364hbc129,408,81,429,55,473hbc29,517,29,539,22,583hbc15,627,22,647,22,691hbc22,735,0,757,22,801hbc44,845,87,866,131,910hbc175,954,196,982,240,1019hbc284,1056,316,1102,349,1095hbc382,1088,408,1030,404,986hbc400,942,355,920,327,876hbc299,832,282,811,262,768hbc242,725,236,703,229,659hbc222,615,225,594,229,550hbc233,506,242,485,251,441hbc260,397,266,375,273,331hbc280,287,282,267,284,223hbc286,179,306,155,284,113hbc262,71,199,30,175,15hbc151,0,164,30,164,36hbxe">
            <v:fill on="f" focussize="0,0"/>
            <v:stroke color="#FF0000"/>
            <v:imagedata o:title=""/>
            <o:lock v:ext="edit" aspectratio="f"/>
          </v:shape>
        </w:pict>
      </w:r>
      <w:r>
        <w:rPr>
          <w:rFonts w:hint="default" w:ascii="Times New Roman" w:hAnsi="Times New Roman" w:eastAsia="宋体" w:cs="Times New Roman"/>
          <w:color w:val="auto"/>
          <w:sz w:val="21"/>
        </w:rPr>
        <w:pict>
          <v:rect id="_x0000_s2978" o:spid="_x0000_s2978" o:spt="1" style="position:absolute;left:0pt;margin-left:385pt;margin-top:191.2pt;height:21.7pt;width:59pt;z-index:251870208;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上丁杖子</w:t>
                  </w:r>
                </w:p>
              </w:txbxContent>
            </v:textbox>
          </v:rect>
        </w:pict>
      </w:r>
      <w:r>
        <w:rPr>
          <w:rFonts w:hint="default" w:ascii="Times New Roman" w:hAnsi="Times New Roman" w:eastAsia="宋体" w:cs="Times New Roman"/>
          <w:color w:val="auto"/>
          <w:sz w:val="21"/>
        </w:rPr>
        <w:pict>
          <v:rect id="_x0000_s2986" o:spid="_x0000_s2986" o:spt="1" style="position:absolute;left:0pt;margin-left:306.15pt;margin-top:246.95pt;height:21.7pt;width:46.45pt;z-index:251877376;mso-width-relative:page;mso-height-relative:page;" filled="f" stroked="f" coordsize="21600,21600">
            <v:path/>
            <v:fill on="f" focussize="0,0"/>
            <v:stroke on="f"/>
            <v:imagedata o:title=""/>
            <o:lock v:ext="edit" aspectratio="f"/>
            <v:textbox>
              <w:txbxContent>
                <w:p>
                  <w:pPr>
                    <w:rPr>
                      <w:rFonts w:hint="default" w:eastAsia="宋体"/>
                      <w:b/>
                      <w:bCs/>
                      <w:color w:val="FF0000"/>
                      <w:lang w:val="en-US" w:eastAsia="zh-CN"/>
                    </w:rPr>
                  </w:pPr>
                  <w:r>
                    <w:rPr>
                      <w:rFonts w:hint="eastAsia"/>
                      <w:b/>
                      <w:bCs/>
                      <w:color w:val="FF0000"/>
                      <w:lang w:val="en-US" w:eastAsia="zh-CN"/>
                    </w:rPr>
                    <w:t>喇嘛洞</w:t>
                  </w:r>
                </w:p>
              </w:txbxContent>
            </v:textbox>
          </v:rect>
        </w:pict>
      </w:r>
      <w:r>
        <w:rPr>
          <w:rFonts w:hint="default" w:ascii="Times New Roman" w:hAnsi="Times New Roman" w:eastAsia="宋体" w:cs="Times New Roman"/>
          <w:sz w:val="21"/>
        </w:rPr>
        <w:pict>
          <v:shape id="_x0000_s2987" o:spid="_x0000_s2987" style="position:absolute;left:0pt;margin-left:319.8pt;margin-top:230.75pt;height:11.25pt;width:14.15pt;z-index:251878400;mso-width-relative:page;mso-height-relative:page;" filled="f" stroked="t" coordsize="283,225" path="m283,69hbc263,65,218,58,174,47hbc130,36,98,0,65,15hbc32,30,0,85,11,124hbc22,163,76,195,120,210hbc164,225,199,224,229,200hbc259,176,261,116,272,90hbc283,64,282,71,283,69hbxe">
            <v:fill on="f" focussize="0,0"/>
            <v:stroke color="#FF0000"/>
            <v:imagedata o:title=""/>
            <o:lock v:ext="edit" aspectratio="f"/>
          </v:shape>
        </w:pict>
      </w:r>
      <w:r>
        <w:rPr>
          <w:rFonts w:hint="default" w:ascii="Times New Roman" w:hAnsi="Times New Roman" w:eastAsia="宋体" w:cs="Times New Roman"/>
          <w:sz w:val="21"/>
        </w:rPr>
        <w:pict>
          <v:shape id="_x0000_s2973" o:spid="_x0000_s2973" style="position:absolute;left:0pt;margin-left:550.55pt;margin-top:359pt;height:13.45pt;width:12.4pt;z-index:251867136;mso-width-relative:page;mso-height-relative:page;" filled="f" stroked="t" coordsize="356,410" path="m146,32hbc167,50,220,90,256,132hbc292,174,310,198,326,242hbc342,286,356,320,336,352hbc316,384,270,410,226,402hbc182,394,152,352,116,312hbc80,272,66,246,46,202hbc26,158,0,130,16,92hbc32,54,100,24,126,12hbc152,0,144,26,146,32hbxe">
            <v:fill on="f" focussize="0,0"/>
            <v:stroke color="#FFC000"/>
            <v:imagedata o:title=""/>
            <o:lock v:ext="edit" aspectratio="f"/>
          </v:shape>
        </w:pict>
      </w:r>
      <w:r>
        <w:rPr>
          <w:rFonts w:hint="default" w:ascii="Times New Roman" w:hAnsi="Times New Roman" w:eastAsia="宋体" w:cs="Times New Roman"/>
          <w:sz w:val="21"/>
        </w:rPr>
        <w:pict>
          <v:shape id="_x0000_s2976" o:spid="_x0000_s2976" style="position:absolute;left:0pt;margin-left:549.45pt;margin-top:375.3pt;height:16.15pt;width:15.4pt;z-index:251868160;mso-width-relative:page;mso-height-relative:page;" filled="f" stroked="t" coordsize="3768,5482" path="m3720,1388hbc3720,1407,3720,1451,3720,1497hbc3720,1543,3720,1571,3720,1617hbc3720,1663,3720,1682,3720,1726hbc3720,1770,3720,1792,3720,1835hbc3720,1878,3720,1897,3720,1943hbc3720,1989,3720,2017,3720,2063hbc3720,2109,3724,2129,3720,2173hbc3716,2217,3707,2239,3698,2283hbc3689,2327,3686,2348,3677,2392hbc3668,2436,3662,2457,3655,2501hbc3648,2545,3653,2567,3644,2610hbc3635,2653,3620,2674,3611,2718hbc3602,2762,3609,2784,3600,2828hbc3591,2872,3579,2891,3568,2937hbc3557,2983,3555,3011,3546,3057hbc3537,3103,3531,3122,3524,3166hbc3517,3210,3520,3232,3513,3275hbc3506,3318,3495,3337,3491,3383hbc3487,3429,3491,3457,3491,3503hbc3491,3549,3491,3569,3491,3613hbc3491,3657,3491,3679,3491,3723hbc3491,3767,3491,3788,3491,3832hbc3491,3876,3491,3897,3491,3941hbc3491,3985,3493,4007,3491,4050hbc3489,4093,3484,4114,3480,4158hbc3476,4202,3478,4224,3469,4268hbc3460,4312,3450,4333,3437,4377hbc3424,4421,3413,4442,3404,4486hbc3395,4530,3406,4552,3393,4595hbc3380,4638,3355,4659,3338,4703hbc3321,4747,3315,4769,3306,4813hbc3297,4857,3306,4879,3295,4923hbc3284,4967,3268,4986,3251,5032hbc3234,5078,3225,5106,3208,5152hbc3191,5198,3175,5217,3164,5261hbc3153,5305,3166,5327,3153,5370hbc3140,5413,3131,5474,3098,5478hbc3065,5482,3035,5429,2989,5392hbc2943,5355,2917,5335,2869,5293hbc2821,5251,2795,5213,2749,5183hbc2703,5153,2684,5160,2640,5141hbc2596,5122,2575,5110,2531,5086hbc2487,5062,2466,5056,2422,5021hbc2378,4986,2357,4952,2313,4912hbc2269,4872,2250,4860,2204,4823hbc2158,4786,2125,4767,2084,4726hbc2043,4685,2038,4659,1997,4617hbc1956,4575,1923,4555,1877,4518hbc1831,4481,1812,4471,1768,4432hbc1724,4393,1703,4367,1659,4323hbc1615,4279,1588,4257,1549,4213hbc1510,4169,1503,4144,1462,4103hbc1421,4062,1386,4047,1342,4006hbc1298,3965,1285,3939,1244,3897hbc1203,3855,1176,3839,1135,3798hbc1094,3757,1078,3731,1037,3690hbc996,3649,972,3629,928,3592hbc884,3555,863,3538,819,3503hbc775,3468,751,3458,709,3417hbc667,3376,652,3338,611,3297hbc570,3256,543,3251,502,3210hbc461,3169,443,3136,404,3090hbc365,3044,341,3025,306,2981hbc271,2937,257,2916,229,2872hbc201,2828,201,2800,164,2763hbc127,2726,77,2723,44,2686hbc11,2649,0,2621,0,2577hbc0,2533,26,2514,44,2468hbc62,2422,68,2396,88,2348hbc108,2300,122,2274,142,2228hbc162,2182,169,2162,186,2118hbc203,2074,209,2056,229,2010hbc249,1964,258,1936,284,1890hbc310,1844,329,1825,360,1781hbc391,1737,409,1716,437,1672hbc465,1628,476,1607,502,1563hbc528,1519,537,1499,568,1453hbc599,1407,616,1377,655,1333hbc694,1289,725,1279,764,1235hbc803,1191,812,1159,851,1115hbc890,1071,916,1058,960,1017hbc1004,976,1027,952,1069,908hbc1111,864,1135,844,1168,798hbc1201,752,1205,724,1233,678hbc1261,632,1278,613,1309,570hbc1340,527,1353,507,1386,461hbc1419,415,1436,387,1473,341hbc1510,295,1530,276,1571,232hbc1612,188,1636,158,1680,123hbc1724,88,1745,79,1789,57hbc1833,35,1875,0,1899,13hbc1923,26,1894,79,1909,123hbc1924,167,1951,186,1975,232hbc1999,278,2001,306,2029,352hbc2057,398,2080,417,2117,461hbc2154,505,2174,529,2215,570hbc2256,611,2280,631,2324,668hbc2368,705,2389,722,2433,755hbc2477,788,2498,799,2542,832hbc2586,865,2607,892,2651,918hbc2695,944,2716,937,2760,963hbc2804,989,2825,1020,2869,1050hbc2913,1080,2934,1089,2978,1115hbc3022,1141,3044,1161,3088,1181hbc3132,1201,3153,1200,3197,1213hbc3241,1226,3262,1231,3306,1246hbc3350,1261,3369,1271,3415,1290hbc3461,1309,3489,1326,3535,1343hbc3581,1360,3600,1366,3644,1377hbc3688,1388,3738,1396,3753,1398hbc3768,1400,3729,1390,3720,1388hbxe">
            <v:fill on="f" focussize="0,0"/>
            <v:stroke color="#FF0000"/>
            <v:imagedata o:title=""/>
            <o:lock v:ext="edit" aspectratio="f"/>
          </v:shape>
        </w:pict>
      </w:r>
      <w:r>
        <w:rPr>
          <w:rFonts w:hint="default" w:ascii="Times New Roman" w:hAnsi="Times New Roman" w:eastAsia="宋体" w:cs="Times New Roman"/>
          <w:sz w:val="21"/>
        </w:rPr>
        <w:pict>
          <v:shape id="_x0000_s2975" o:spid="_x0000_s2975" style="position:absolute;left:0pt;margin-left:291.45pt;margin-top:125.35pt;height:274.1pt;width:188.4pt;z-index:251725824;mso-width-relative:page;mso-height-relative:page;" filled="f" stroked="t" coordsize="3768,5482" path="m3720,1388hbc3720,1407,3720,1451,3720,1497hbc3720,1543,3720,1571,3720,1617hbc3720,1663,3720,1682,3720,1726hbc3720,1770,3720,1792,3720,1835hbc3720,1878,3720,1897,3720,1943hbc3720,1989,3720,2017,3720,2063hbc3720,2109,3724,2129,3720,2173hbc3716,2217,3707,2239,3698,2283hbc3689,2327,3686,2348,3677,2392hbc3668,2436,3662,2457,3655,2501hbc3648,2545,3653,2567,3644,2610hbc3635,2653,3620,2674,3611,2718hbc3602,2762,3609,2784,3600,2828hbc3591,2872,3579,2891,3568,2937hbc3557,2983,3555,3011,3546,3057hbc3537,3103,3531,3122,3524,3166hbc3517,3210,3520,3232,3513,3275hbc3506,3318,3495,3337,3491,3383hbc3487,3429,3491,3457,3491,3503hbc3491,3549,3491,3569,3491,3613hbc3491,3657,3491,3679,3491,3723hbc3491,3767,3491,3788,3491,3832hbc3491,3876,3491,3897,3491,3941hbc3491,3985,3493,4007,3491,4050hbc3489,4093,3484,4114,3480,4158hbc3476,4202,3478,4224,3469,4268hbc3460,4312,3450,4333,3437,4377hbc3424,4421,3413,4442,3404,4486hbc3395,4530,3406,4552,3393,4595hbc3380,4638,3355,4659,3338,4703hbc3321,4747,3315,4769,3306,4813hbc3297,4857,3306,4879,3295,4923hbc3284,4967,3268,4986,3251,5032hbc3234,5078,3225,5106,3208,5152hbc3191,5198,3175,5217,3164,5261hbc3153,5305,3166,5327,3153,5370hbc3140,5413,3131,5474,3098,5478hbc3065,5482,3035,5429,2989,5392hbc2943,5355,2917,5335,2869,5293hbc2821,5251,2795,5213,2749,5183hbc2703,5153,2684,5160,2640,5141hbc2596,5122,2575,5110,2531,5086hbc2487,5062,2466,5056,2422,5021hbc2378,4986,2357,4952,2313,4912hbc2269,4872,2250,4860,2204,4823hbc2158,4786,2125,4767,2084,4726hbc2043,4685,2038,4659,1997,4617hbc1956,4575,1923,4555,1877,4518hbc1831,4481,1812,4471,1768,4432hbc1724,4393,1703,4367,1659,4323hbc1615,4279,1588,4257,1549,4213hbc1510,4169,1503,4144,1462,4103hbc1421,4062,1386,4047,1342,4006hbc1298,3965,1285,3939,1244,3897hbc1203,3855,1176,3839,1135,3798hbc1094,3757,1078,3731,1037,3690hbc996,3649,972,3629,928,3592hbc884,3555,863,3538,819,3503hbc775,3468,751,3458,709,3417hbc667,3376,652,3338,611,3297hbc570,3256,543,3251,502,3210hbc461,3169,443,3136,404,3090hbc365,3044,341,3025,306,2981hbc271,2937,257,2916,229,2872hbc201,2828,201,2800,164,2763hbc127,2726,77,2723,44,2686hbc11,2649,0,2621,0,2577hbc0,2533,26,2514,44,2468hbc62,2422,68,2396,88,2348hbc108,2300,122,2274,142,2228hbc162,2182,169,2162,186,2118hbc203,2074,209,2056,229,2010hbc249,1964,258,1936,284,1890hbc310,1844,329,1825,360,1781hbc391,1737,409,1716,437,1672hbc465,1628,476,1607,502,1563hbc528,1519,537,1499,568,1453hbc599,1407,616,1377,655,1333hbc694,1289,725,1279,764,1235hbc803,1191,812,1159,851,1115hbc890,1071,916,1058,960,1017hbc1004,976,1027,952,1069,908hbc1111,864,1135,844,1168,798hbc1201,752,1205,724,1233,678hbc1261,632,1278,613,1309,570hbc1340,527,1353,507,1386,461hbc1419,415,1436,387,1473,341hbc1510,295,1530,276,1571,232hbc1612,188,1636,158,1680,123hbc1724,88,1745,79,1789,57hbc1833,35,1875,0,1899,13hbc1923,26,1894,79,1909,123hbc1924,167,1951,186,1975,232hbc1999,278,2001,306,2029,352hbc2057,398,2080,417,2117,461hbc2154,505,2174,529,2215,570hbc2256,611,2280,631,2324,668hbc2368,705,2389,722,2433,755hbc2477,788,2498,799,2542,832hbc2586,865,2607,892,2651,918hbc2695,944,2716,937,2760,963hbc2804,989,2825,1020,2869,1050hbc2913,1080,2934,1089,2978,1115hbc3022,1141,3044,1161,3088,1181hbc3132,1201,3153,1200,3197,1213hbc3241,1226,3262,1231,3306,1246hbc3350,1261,3369,1271,3415,1290hbc3461,1309,3489,1326,3535,1343hbc3581,1360,3600,1366,3644,1377hbc3688,1388,3738,1396,3753,1398hbc3768,1400,3729,1390,3720,1388hbxe">
            <v:fill on="f" focussize="0,0"/>
            <v:stroke color="#FF0000"/>
            <v:imagedata o:title=""/>
            <o:lock v:ext="edit" aspectratio="f"/>
          </v:shape>
        </w:pict>
      </w:r>
      <w:r>
        <w:rPr>
          <w:rFonts w:hint="default" w:ascii="Times New Roman" w:hAnsi="Times New Roman" w:eastAsia="宋体" w:cs="Times New Roman"/>
          <w:color w:val="auto"/>
        </w:rPr>
        <w:pict>
          <v:rect id="_x0000_s2972" o:spid="_x0000_s2972" o:spt="1" style="position:absolute;left:0pt;margin-left:542.45pt;margin-top:344.7pt;height:71.05pt;width:111.6pt;z-index:251866112;mso-width-relative:page;mso-height-relative:page;" fillcolor="#FFFFFF" filled="t" stroked="t" coordsize="21600,21600" o:gfxdata="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Zj&#10;NMTZAAAADQEAAA8AAAAAAAAAAQAgAAAAIgAAAGRycy9kb3ducmV2LnhtbFBLAQIUABQAAAAIAIdO&#10;4kAp9VWS6QEAANwDAAAOAAAAAAAAAAEAIAAAACgBAABkcnMvZTJvRG9jLnhtbFBLBQYAAAAABgAG&#10;AFkBAACDBQAAAAA=&#10;">
            <v:path/>
            <v:fill on="t" color2="#FFFFFF" focussize="0,0"/>
            <v:stroke color="#000000" joinstyle="miter"/>
            <v:imagedata o:title=""/>
            <o:lock v:ext="edit" aspectratio="f"/>
            <v:textbox>
              <w:txbxContent>
                <w:p>
                  <w:pPr>
                    <w:ind w:firstLine="1050" w:firstLineChars="500"/>
                    <w:rPr>
                      <w:rFonts w:hint="eastAsia"/>
                    </w:rPr>
                  </w:pPr>
                  <w:r>
                    <w:rPr>
                      <w:rFonts w:hint="eastAsia"/>
                    </w:rPr>
                    <w:t xml:space="preserve">图例 </w:t>
                  </w:r>
                </w:p>
                <w:p>
                  <w:pPr>
                    <w:ind w:firstLine="420" w:firstLineChars="200"/>
                    <w:rPr>
                      <w:rFonts w:hint="eastAsia"/>
                      <w:lang w:eastAsia="zh-CN"/>
                    </w:rPr>
                  </w:pPr>
                  <w:r>
                    <w:rPr>
                      <w:rFonts w:hint="eastAsia"/>
                      <w:lang w:eastAsia="zh-CN"/>
                    </w:rPr>
                    <w:t>项目所在地</w:t>
                  </w:r>
                </w:p>
                <w:p>
                  <w:pPr>
                    <w:ind w:firstLine="420" w:firstLineChars="200"/>
                    <w:rPr>
                      <w:rFonts w:hint="eastAsia"/>
                    </w:rPr>
                  </w:pPr>
                  <w:r>
                    <w:rPr>
                      <w:rFonts w:hint="eastAsia"/>
                      <w:lang w:eastAsia="zh-CN"/>
                    </w:rPr>
                    <w:t>地下水</w:t>
                  </w:r>
                  <w:r>
                    <w:rPr>
                      <w:rFonts w:hint="eastAsia"/>
                    </w:rPr>
                    <w:t>评价范围</w:t>
                  </w:r>
                </w:p>
                <w:p>
                  <w:r>
                    <w:rPr>
                      <w:rFonts w:hint="eastAsia"/>
                    </w:rPr>
                    <w:t>比例尺1：</w:t>
                  </w:r>
                  <w:r>
                    <w:rPr>
                      <w:rFonts w:hint="eastAsia"/>
                      <w:lang w:val="en-US" w:eastAsia="zh-CN"/>
                    </w:rPr>
                    <w:t>7</w:t>
                  </w:r>
                  <w:r>
                    <w:rPr>
                      <w:rFonts w:hint="eastAsia"/>
                    </w:rPr>
                    <w:t>0000</w:t>
                  </w:r>
                </w:p>
                <w:p>
                  <w:pPr>
                    <w:ind w:firstLine="420" w:firstLineChars="200"/>
                    <w:rPr>
                      <w:rFonts w:hint="default" w:eastAsia="宋体"/>
                      <w:vertAlign w:val="baseline"/>
                      <w:lang w:val="en-US" w:eastAsia="zh-CN"/>
                    </w:rPr>
                  </w:pPr>
                </w:p>
              </w:txbxContent>
            </v:textbox>
          </v:rect>
        </w:pict>
      </w:r>
      <w:r>
        <w:rPr>
          <w:rFonts w:hint="default" w:ascii="Times New Roman" w:hAnsi="Times New Roman" w:eastAsia="宋体" w:cs="Times New Roman"/>
          <w:color w:val="auto"/>
        </w:rPr>
        <w:drawing>
          <wp:anchor distT="0" distB="0" distL="114300" distR="114300" simplePos="0" relativeHeight="251680768" behindDoc="0" locked="0" layoutInCell="1" allowOverlap="1">
            <wp:simplePos x="0" y="0"/>
            <wp:positionH relativeFrom="column">
              <wp:posOffset>7679690</wp:posOffset>
            </wp:positionH>
            <wp:positionV relativeFrom="paragraph">
              <wp:posOffset>15240</wp:posOffset>
            </wp:positionV>
            <wp:extent cx="626745" cy="721995"/>
            <wp:effectExtent l="0" t="0" r="13335" b="9525"/>
            <wp:wrapNone/>
            <wp:docPr id="8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0"/>
                    <pic:cNvPicPr>
                      <a:picLocks noChangeAspect="1"/>
                    </pic:cNvPicPr>
                  </pic:nvPicPr>
                  <pic:blipFill>
                    <a:blip r:embed="rId26"/>
                    <a:stretch>
                      <a:fillRect/>
                    </a:stretch>
                  </pic:blipFill>
                  <pic:spPr>
                    <a:xfrm>
                      <a:off x="0" y="0"/>
                      <a:ext cx="626745" cy="721995"/>
                    </a:xfrm>
                    <a:prstGeom prst="rect">
                      <a:avLst/>
                    </a:prstGeom>
                    <a:noFill/>
                    <a:ln>
                      <a:noFill/>
                    </a:ln>
                  </pic:spPr>
                </pic:pic>
              </a:graphicData>
            </a:graphic>
          </wp:anchor>
        </w:drawing>
      </w:r>
      <w:r>
        <w:rPr>
          <w:rFonts w:hint="default" w:ascii="Times New Roman" w:hAnsi="Times New Roman" w:eastAsia="宋体" w:cs="Times New Roman"/>
          <w:color w:val="auto"/>
          <w:sz w:val="21"/>
        </w:rPr>
        <w:drawing>
          <wp:inline distT="0" distB="0" distL="114300" distR="114300">
            <wp:extent cx="7724140" cy="5271135"/>
            <wp:effectExtent l="0" t="0" r="2540" b="1905"/>
            <wp:docPr id="12" name="图片 12" descr="1636612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636612410(1)"/>
                    <pic:cNvPicPr>
                      <a:picLocks noChangeAspect="1"/>
                    </pic:cNvPicPr>
                  </pic:nvPicPr>
                  <pic:blipFill>
                    <a:blip r:embed="rId25"/>
                    <a:stretch>
                      <a:fillRect/>
                    </a:stretch>
                  </pic:blipFill>
                  <pic:spPr>
                    <a:xfrm>
                      <a:off x="0" y="0"/>
                      <a:ext cx="7724140" cy="52711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1.6-2</w:t>
      </w:r>
      <w:r>
        <w:rPr>
          <w:rFonts w:hint="default" w:ascii="Times New Roman" w:hAnsi="Times New Roman" w:eastAsia="宋体" w:cs="Times New Roman"/>
          <w:b/>
          <w:bCs/>
          <w:color w:val="auto"/>
          <w:sz w:val="24"/>
          <w:szCs w:val="24"/>
          <w:highlight w:val="none"/>
        </w:rPr>
        <w:t xml:space="preserve"> </w:t>
      </w:r>
      <w:r>
        <w:rPr>
          <w:rFonts w:hint="default" w:ascii="Times New Roman" w:hAnsi="Times New Roman" w:eastAsia="宋体" w:cs="Times New Roman"/>
          <w:b/>
          <w:color w:val="auto"/>
          <w:sz w:val="24"/>
          <w:szCs w:val="24"/>
          <w:highlight w:val="none"/>
        </w:rPr>
        <w:t xml:space="preserve"> 地下水环境评价范围图</w:t>
      </w:r>
    </w:p>
    <w:p>
      <w:pPr>
        <w:pStyle w:val="475"/>
        <w:spacing w:beforeLines="50" w:line="480" w:lineRule="exact"/>
        <w:ind w:firstLine="0" w:firstLineChars="0"/>
        <w:rPr>
          <w:rFonts w:hint="default" w:ascii="Times New Roman" w:hAnsi="Times New Roman" w:eastAsia="宋体" w:cs="Times New Roman"/>
          <w:color w:val="auto"/>
        </w:rPr>
        <w:sectPr>
          <w:pgSz w:w="16840" w:h="11907" w:orient="landscape"/>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p>
      <w:pPr>
        <w:jc w:val="center"/>
        <w:rPr>
          <w:rFonts w:hint="default" w:ascii="Times New Roman" w:hAnsi="Times New Roman" w:eastAsia="宋体" w:cs="Times New Roman"/>
          <w:color w:val="auto"/>
          <w:szCs w:val="21"/>
        </w:rPr>
      </w:pPr>
      <w:bookmarkStart w:id="97" w:name="_Toc162668560"/>
    </w:p>
    <w:p>
      <w:pPr>
        <w:jc w:val="center"/>
        <w:rPr>
          <w:rFonts w:hint="default" w:ascii="Times New Roman" w:hAnsi="Times New Roman" w:eastAsia="宋体" w:cs="Times New Roman"/>
          <w:color w:val="auto"/>
        </w:rPr>
      </w:pPr>
      <w:r>
        <w:rPr>
          <w:rFonts w:hint="default" w:ascii="Times New Roman" w:hAnsi="Times New Roman" w:eastAsia="宋体" w:cs="Times New Roman"/>
          <w:sz w:val="21"/>
        </w:rPr>
        <w:pict>
          <v:shape id="_x0000_s2858" o:spid="_x0000_s2858" style="position:absolute;left:0pt;margin-left:203.6pt;margin-top:40.7pt;height:314.8pt;width:331.45pt;z-index:251745280;mso-width-relative:page;mso-height-relative:page;" filled="f" stroked="t" coordsize="2194,2784" path="m216,271hbc235,266,278,261,319,237hbc360,213,381,175,422,151hbc463,127,484,131,525,117hbc566,103,586,100,627,83hbc668,66,689,45,730,31hbc771,17,792,17,833,14hbc874,11,895,14,936,14hbc977,14,998,14,1039,14hbc1080,14,1101,14,1142,14hbc1183,14,1204,14,1245,14hbc1286,14,1306,0,1347,14hbc1388,28,1416,49,1450,83hbc1484,117,1495,145,1519,186hbc1543,227,1553,247,1570,288hbc1587,329,1584,350,1605,391hbc1626,432,1653,449,1673,494hbc1693,539,1690,569,1707,614hbc1724,659,1742,672,1759,717hbc1776,762,1776,792,1793,837hbc1810,882,1814,909,1845,940hbc1876,971,1913,960,1947,991hbc1981,1022,2012,1053,2016,1094hbc2020,1135,1992,1156,1965,1197hbc1938,1238,1900,1259,1879,1300hbc1858,1341,1845,1369,1862,1403hbc1879,1437,1924,1444,1965,1471hbc2006,1498,2026,1509,2067,1540hbc2108,1571,2146,1588,2170,1626hbc2194,1664,2184,1687,2187,1728hbc2190,1769,2190,1790,2187,1831hbc2184,1872,2177,1893,2170,1934hbc2163,1975,2160,1996,2153,2037hbc2146,2078,2150,2099,2136,2140hbc2122,2181,2102,2202,2085,2243hbc2068,2284,2060,2305,2050,2346hbc2040,2387,2047,2407,2033,2448hbc2019,2489,2006,2510,1982,2551hbc1958,2592,1947,2620,1913,2654hbc1879,2688,1851,2699,1810,2723hbc1769,2747,1748,2764,1707,2774hbc1666,2784,1649,2774,1605,2774hbc1561,2774,1533,2774,1485,2774hbc1437,2774,1410,2781,1365,2774hbc1320,2767,1300,2767,1262,2740hbc1224,2713,1214,2678,1176,2637hbc1138,2596,1118,2568,1073,2534hbc1028,2500,998,2487,953,2466hbc908,2445,891,2438,850,2431hbc809,2424,788,2431,747,2431hbc706,2431,686,2431,645,2431hbc604,2431,583,2438,542,2431hbc501,2424,456,2424,439,2397hbc422,2370,435,2335,456,2294hbc477,2253,518,2232,542,2191hbc566,2150,579,2129,576,2088hbc573,2047,552,2027,525,1986hbc498,1945,467,1928,439,1883hbc411,1838,408,1808,387,1763hbc366,1718,356,1701,336,1660hbc316,1619,306,1598,285,1557hbc264,1516,254,1495,233,1454hbc212,1413,199,1392,182,1351hbc165,1310,157,1289,147,1248hbc137,1207,140,1187,130,1146hbc120,1105,106,1088,96,1043hbc86,998,89,968,79,923hbc69,878,52,861,45,820hbc38,779,49,758,45,717hbc41,676,31,655,27,614hbc23,573,30,552,27,511hbc24,470,0,449,10,408hbc20,367,45,333,79,306hbc113,279,155,278,182,271hbc209,264,211,270,216,271hbxe">
            <v:fill on="f" focussize="0,0"/>
            <v:stroke color="#FFC000"/>
            <v:imagedata o:title=""/>
            <o:lock v:ext="edit" aspectratio="f"/>
          </v:shape>
        </w:pict>
      </w:r>
      <w:r>
        <w:rPr>
          <w:rFonts w:hint="default" w:ascii="Times New Roman" w:hAnsi="Times New Roman" w:eastAsia="宋体" w:cs="Times New Roman"/>
          <w:sz w:val="21"/>
        </w:rPr>
        <w:pict>
          <v:shape id="_x0000_s2857" o:spid="_x0000_s2857" style="position:absolute;left:0pt;margin-left:535.85pt;margin-top:299.6pt;height:15.9pt;width:13.75pt;z-index:251744256;mso-width-relative:page;mso-height-relative:page;" filled="f" stroked="t" coordsize="2194,2784" path="m216,271hbc235,266,278,261,319,237hbc360,213,381,175,422,151hbc463,127,484,131,525,117hbc566,103,586,100,627,83hbc668,66,689,45,730,31hbc771,17,792,17,833,14hbc874,11,895,14,936,14hbc977,14,998,14,1039,14hbc1080,14,1101,14,1142,14hbc1183,14,1204,14,1245,14hbc1286,14,1306,0,1347,14hbc1388,28,1416,49,1450,83hbc1484,117,1495,145,1519,186hbc1543,227,1553,247,1570,288hbc1587,329,1584,350,1605,391hbc1626,432,1653,449,1673,494hbc1693,539,1690,569,1707,614hbc1724,659,1742,672,1759,717hbc1776,762,1776,792,1793,837hbc1810,882,1814,909,1845,940hbc1876,971,1913,960,1947,991hbc1981,1022,2012,1053,2016,1094hbc2020,1135,1992,1156,1965,1197hbc1938,1238,1900,1259,1879,1300hbc1858,1341,1845,1369,1862,1403hbc1879,1437,1924,1444,1965,1471hbc2006,1498,2026,1509,2067,1540hbc2108,1571,2146,1588,2170,1626hbc2194,1664,2184,1687,2187,1728hbc2190,1769,2190,1790,2187,1831hbc2184,1872,2177,1893,2170,1934hbc2163,1975,2160,1996,2153,2037hbc2146,2078,2150,2099,2136,2140hbc2122,2181,2102,2202,2085,2243hbc2068,2284,2060,2305,2050,2346hbc2040,2387,2047,2407,2033,2448hbc2019,2489,2006,2510,1982,2551hbc1958,2592,1947,2620,1913,2654hbc1879,2688,1851,2699,1810,2723hbc1769,2747,1748,2764,1707,2774hbc1666,2784,1649,2774,1605,2774hbc1561,2774,1533,2774,1485,2774hbc1437,2774,1410,2781,1365,2774hbc1320,2767,1300,2767,1262,2740hbc1224,2713,1214,2678,1176,2637hbc1138,2596,1118,2568,1073,2534hbc1028,2500,998,2487,953,2466hbc908,2445,891,2438,850,2431hbc809,2424,788,2431,747,2431hbc706,2431,686,2431,645,2431hbc604,2431,583,2438,542,2431hbc501,2424,456,2424,439,2397hbc422,2370,435,2335,456,2294hbc477,2253,518,2232,542,2191hbc566,2150,579,2129,576,2088hbc573,2047,552,2027,525,1986hbc498,1945,467,1928,439,1883hbc411,1838,408,1808,387,1763hbc366,1718,356,1701,336,1660hbc316,1619,306,1598,285,1557hbc264,1516,254,1495,233,1454hbc212,1413,199,1392,182,1351hbc165,1310,157,1289,147,1248hbc137,1207,140,1187,130,1146hbc120,1105,106,1088,96,1043hbc86,998,89,968,79,923hbc69,878,52,861,45,820hbc38,779,49,758,45,717hbc41,676,31,655,27,614hbc23,573,30,552,27,511hbc24,470,0,449,10,408hbc20,367,45,333,79,306hbc113,279,155,278,182,271hbc209,264,211,270,216,271hbxe">
            <v:fill on="f" focussize="0,0"/>
            <v:stroke color="#FF0000"/>
            <v:imagedata o:title=""/>
            <o:lock v:ext="edit" aspectratio="f"/>
          </v:shape>
        </w:pict>
      </w:r>
      <w:r>
        <w:rPr>
          <w:rFonts w:hint="default" w:ascii="Times New Roman" w:hAnsi="Times New Roman" w:eastAsia="宋体" w:cs="Times New Roman"/>
          <w:sz w:val="21"/>
        </w:rPr>
        <w:pict>
          <v:shape id="_x0000_s2861" o:spid="_x0000_s2861" style="position:absolute;left:0pt;margin-left:541.75pt;margin-top:334.7pt;height:12.4pt;width:10.3pt;z-index:251748352;mso-width-relative:page;mso-height-relative:page;" filled="f" stroked="t" coordsize="2194,2784" path="m216,271hbc235,266,278,261,319,237hbc360,213,381,175,422,151hbc463,127,484,131,525,117hbc566,103,586,100,627,83hbc668,66,689,45,730,31hbc771,17,792,17,833,14hbc874,11,895,14,936,14hbc977,14,998,14,1039,14hbc1080,14,1101,14,1142,14hbc1183,14,1204,14,1245,14hbc1286,14,1306,0,1347,14hbc1388,28,1416,49,1450,83hbc1484,117,1495,145,1519,186hbc1543,227,1553,247,1570,288hbc1587,329,1584,350,1605,391hbc1626,432,1653,449,1673,494hbc1693,539,1690,569,1707,614hbc1724,659,1742,672,1759,717hbc1776,762,1776,792,1793,837hbc1810,882,1814,909,1845,940hbc1876,971,1913,960,1947,991hbc1981,1022,2012,1053,2016,1094hbc2020,1135,1992,1156,1965,1197hbc1938,1238,1900,1259,1879,1300hbc1858,1341,1845,1369,1862,1403hbc1879,1437,1924,1444,1965,1471hbc2006,1498,2026,1509,2067,1540hbc2108,1571,2146,1588,2170,1626hbc2194,1664,2184,1687,2187,1728hbc2190,1769,2190,1790,2187,1831hbc2184,1872,2177,1893,2170,1934hbc2163,1975,2160,1996,2153,2037hbc2146,2078,2150,2099,2136,2140hbc2122,2181,2102,2202,2085,2243hbc2068,2284,2060,2305,2050,2346hbc2040,2387,2047,2407,2033,2448hbc2019,2489,2006,2510,1982,2551hbc1958,2592,1947,2620,1913,2654hbc1879,2688,1851,2699,1810,2723hbc1769,2747,1748,2764,1707,2774hbc1666,2784,1649,2774,1605,2774hbc1561,2774,1533,2774,1485,2774hbc1437,2774,1410,2781,1365,2774hbc1320,2767,1300,2767,1262,2740hbc1224,2713,1214,2678,1176,2637hbc1138,2596,1118,2568,1073,2534hbc1028,2500,998,2487,953,2466hbc908,2445,891,2438,850,2431hbc809,2424,788,2431,747,2431hbc706,2431,686,2431,645,2431hbc604,2431,583,2438,542,2431hbc501,2424,456,2424,439,2397hbc422,2370,435,2335,456,2294hbc477,2253,518,2232,542,2191hbc566,2150,579,2129,576,2088hbc573,2047,552,2027,525,1986hbc498,1945,467,1928,439,1883hbc411,1838,408,1808,387,1763hbc366,1718,356,1701,336,1660hbc316,1619,306,1598,285,1557hbc264,1516,254,1495,233,1454hbc212,1413,199,1392,182,1351hbc165,1310,157,1289,147,1248hbc137,1207,140,1187,130,1146hbc120,1105,106,1088,96,1043hbc86,998,89,968,79,923hbc69,878,52,861,45,820hbc38,779,49,758,45,717hbc41,676,31,655,27,614hbc23,573,30,552,27,511hbc24,470,0,449,10,408hbc20,367,45,333,79,306hbc113,279,155,278,182,271hbc209,264,211,270,216,271hbxe">
            <v:fill on="f" focussize="0,0"/>
            <v:stroke color="#92D050"/>
            <v:imagedata o:title=""/>
            <o:lock v:ext="edit" aspectratio="f"/>
          </v:shape>
        </w:pict>
      </w:r>
      <w:r>
        <w:rPr>
          <w:rFonts w:hint="default" w:ascii="Times New Roman" w:hAnsi="Times New Roman" w:eastAsia="宋体" w:cs="Times New Roman"/>
          <w:sz w:val="21"/>
        </w:rPr>
        <w:pict>
          <v:shape id="_x0000_s2859" o:spid="_x0000_s2859" style="position:absolute;left:0pt;margin-left:539.35pt;margin-top:319.25pt;height:12.4pt;width:10.3pt;z-index:251746304;mso-width-relative:page;mso-height-relative:page;" filled="f" stroked="t" coordsize="2194,2784" path="m216,271hbc235,266,278,261,319,237hbc360,213,381,175,422,151hbc463,127,484,131,525,117hbc566,103,586,100,627,83hbc668,66,689,45,730,31hbc771,17,792,17,833,14hbc874,11,895,14,936,14hbc977,14,998,14,1039,14hbc1080,14,1101,14,1142,14hbc1183,14,1204,14,1245,14hbc1286,14,1306,0,1347,14hbc1388,28,1416,49,1450,83hbc1484,117,1495,145,1519,186hbc1543,227,1553,247,1570,288hbc1587,329,1584,350,1605,391hbc1626,432,1653,449,1673,494hbc1693,539,1690,569,1707,614hbc1724,659,1742,672,1759,717hbc1776,762,1776,792,1793,837hbc1810,882,1814,909,1845,940hbc1876,971,1913,960,1947,991hbc1981,1022,2012,1053,2016,1094hbc2020,1135,1992,1156,1965,1197hbc1938,1238,1900,1259,1879,1300hbc1858,1341,1845,1369,1862,1403hbc1879,1437,1924,1444,1965,1471hbc2006,1498,2026,1509,2067,1540hbc2108,1571,2146,1588,2170,1626hbc2194,1664,2184,1687,2187,1728hbc2190,1769,2190,1790,2187,1831hbc2184,1872,2177,1893,2170,1934hbc2163,1975,2160,1996,2153,2037hbc2146,2078,2150,2099,2136,2140hbc2122,2181,2102,2202,2085,2243hbc2068,2284,2060,2305,2050,2346hbc2040,2387,2047,2407,2033,2448hbc2019,2489,2006,2510,1982,2551hbc1958,2592,1947,2620,1913,2654hbc1879,2688,1851,2699,1810,2723hbc1769,2747,1748,2764,1707,2774hbc1666,2784,1649,2774,1605,2774hbc1561,2774,1533,2774,1485,2774hbc1437,2774,1410,2781,1365,2774hbc1320,2767,1300,2767,1262,2740hbc1224,2713,1214,2678,1176,2637hbc1138,2596,1118,2568,1073,2534hbc1028,2500,998,2487,953,2466hbc908,2445,891,2438,850,2431hbc809,2424,788,2431,747,2431hbc706,2431,686,2431,645,2431hbc604,2431,583,2438,542,2431hbc501,2424,456,2424,439,2397hbc422,2370,435,2335,456,2294hbc477,2253,518,2232,542,2191hbc566,2150,579,2129,576,2088hbc573,2047,552,2027,525,1986hbc498,1945,467,1928,439,1883hbc411,1838,408,1808,387,1763hbc366,1718,356,1701,336,1660hbc316,1619,306,1598,285,1557hbc264,1516,254,1495,233,1454hbc212,1413,199,1392,182,1351hbc165,1310,157,1289,147,1248hbc137,1207,140,1187,130,1146hbc120,1105,106,1088,96,1043hbc86,998,89,968,79,923hbc69,878,52,861,45,820hbc38,779,49,758,45,717hbc41,676,31,655,27,614hbc23,573,30,552,27,511hbc24,470,0,449,10,408hbc20,367,45,333,79,306hbc113,279,155,278,182,271hbc209,264,211,270,216,271hbxe">
            <v:fill on="f" focussize="0,0"/>
            <v:stroke color="#FFC000"/>
            <v:imagedata o:title=""/>
            <o:lock v:ext="edit" aspectratio="f"/>
          </v:shape>
        </w:pict>
      </w:r>
      <w:r>
        <w:rPr>
          <w:rFonts w:hint="default" w:ascii="Times New Roman" w:hAnsi="Times New Roman" w:eastAsia="宋体" w:cs="Times New Roman"/>
          <w:color w:val="auto"/>
        </w:rPr>
        <w:pict>
          <v:shape id="_x0000_s2106" o:spid="_x0000_s2106" o:spt="202" type="#_x0000_t202" style="position:absolute;left:0pt;margin-left:526.45pt;margin-top:286.2pt;height:95.75pt;width:169.15pt;z-index:251664384;mso-width-relative:page;mso-height-relative:page;" fillcolor="#FFFFFF" filled="t" stroked="t" coordsize="21600,21600" o:gfxdata="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dBq+DY&#10;AAAADQEAAA8AAAAAAAAAAQAgAAAAIgAAAGRycy9kb3ducmV2LnhtbFBLAQIUABQAAAAIAIdO4kAp&#10;xUCEWQIAALwEAAAOAAAAAAAAAAEAIAAAACcBAABkcnMvZTJvRG9jLnhtbFBLBQYAAAAABgAGAFkB&#10;AADyBQAAAAA=&#10;">
            <v:path/>
            <v:fill on="t" color2="#FFFFFF" focussize="0,0"/>
            <v:stroke weight="0.5pt" color="#000000" joinstyle="round"/>
            <v:imagedata o:title=""/>
            <o:lock v:ext="edit" aspectratio="f"/>
            <v:textbox>
              <w:txbxContent>
                <w:p>
                  <w:pPr>
                    <w:jc w:val="center"/>
                  </w:pPr>
                  <w:r>
                    <w:rPr>
                      <w:rFonts w:hint="eastAsia"/>
                    </w:rPr>
                    <w:t>图例</w:t>
                  </w:r>
                </w:p>
                <w:p>
                  <w:pPr>
                    <w:ind w:firstLine="420" w:firstLineChars="200"/>
                  </w:pPr>
                  <w:r>
                    <w:rPr>
                      <w:rFonts w:hint="eastAsia"/>
                    </w:rPr>
                    <w:t>项目所在地</w:t>
                  </w:r>
                </w:p>
                <w:p>
                  <w:pPr>
                    <w:ind w:firstLine="420" w:firstLineChars="200"/>
                    <w:rPr>
                      <w:rFonts w:hint="eastAsia"/>
                    </w:rPr>
                  </w:pPr>
                  <w:r>
                    <w:rPr>
                      <w:rFonts w:hint="eastAsia"/>
                    </w:rPr>
                    <w:t>声</w:t>
                  </w:r>
                  <w:r>
                    <w:rPr>
                      <w:rFonts w:hint="eastAsia"/>
                      <w:lang w:eastAsia="zh-CN"/>
                    </w:rPr>
                    <w:t>及生态</w:t>
                  </w:r>
                  <w:r>
                    <w:rPr>
                      <w:rFonts w:hint="eastAsia"/>
                    </w:rPr>
                    <w:t>环境影响评价范围</w:t>
                  </w:r>
                </w:p>
                <w:p>
                  <w:pPr>
                    <w:ind w:firstLine="420" w:firstLineChars="200"/>
                    <w:rPr>
                      <w:rFonts w:hint="eastAsia"/>
                      <w:lang w:eastAsia="zh-CN"/>
                    </w:rPr>
                  </w:pPr>
                  <w:r>
                    <w:rPr>
                      <w:rFonts w:hint="eastAsia"/>
                      <w:lang w:eastAsia="zh-CN"/>
                    </w:rPr>
                    <w:t>土壤环境影响评价范围</w:t>
                  </w:r>
                </w:p>
                <w:p>
                  <w:pPr>
                    <w:rPr>
                      <w:rFonts w:hint="eastAsia"/>
                    </w:rPr>
                  </w:pPr>
                </w:p>
                <w:p>
                  <w:r>
                    <w:rPr>
                      <w:rFonts w:hint="eastAsia"/>
                    </w:rPr>
                    <w:t>比例尺1：10000</w:t>
                  </w:r>
                </w:p>
              </w:txbxContent>
            </v:textbox>
          </v:shape>
        </w:pict>
      </w:r>
      <w:r>
        <w:rPr>
          <w:rFonts w:hint="default" w:ascii="Times New Roman" w:hAnsi="Times New Roman" w:eastAsia="宋体" w:cs="Times New Roman"/>
          <w:sz w:val="21"/>
        </w:rPr>
        <w:pict>
          <v:shape id="_x0000_s2860" o:spid="_x0000_s2860" style="position:absolute;left:0pt;margin-left:299.05pt;margin-top:112.8pt;height:160.65pt;width:143.15pt;z-index:251747328;mso-width-relative:page;mso-height-relative:page;" filled="f" stroked="t" coordsize="2194,2784" path="m216,271hbc235,266,278,261,319,237hbc360,213,381,175,422,151hbc463,127,484,131,525,117hbc566,103,586,100,627,83hbc668,66,689,45,730,31hbc771,17,792,17,833,14hbc874,11,895,14,936,14hbc977,14,998,14,1039,14hbc1080,14,1101,14,1142,14hbc1183,14,1204,14,1245,14hbc1286,14,1306,0,1347,14hbc1388,28,1416,49,1450,83hbc1484,117,1495,145,1519,186hbc1543,227,1553,247,1570,288hbc1587,329,1584,350,1605,391hbc1626,432,1653,449,1673,494hbc1693,539,1690,569,1707,614hbc1724,659,1742,672,1759,717hbc1776,762,1776,792,1793,837hbc1810,882,1814,909,1845,940hbc1876,971,1913,960,1947,991hbc1981,1022,2012,1053,2016,1094hbc2020,1135,1992,1156,1965,1197hbc1938,1238,1900,1259,1879,1300hbc1858,1341,1845,1369,1862,1403hbc1879,1437,1924,1444,1965,1471hbc2006,1498,2026,1509,2067,1540hbc2108,1571,2146,1588,2170,1626hbc2194,1664,2184,1687,2187,1728hbc2190,1769,2190,1790,2187,1831hbc2184,1872,2177,1893,2170,1934hbc2163,1975,2160,1996,2153,2037hbc2146,2078,2150,2099,2136,2140hbc2122,2181,2102,2202,2085,2243hbc2068,2284,2060,2305,2050,2346hbc2040,2387,2047,2407,2033,2448hbc2019,2489,2006,2510,1982,2551hbc1958,2592,1947,2620,1913,2654hbc1879,2688,1851,2699,1810,2723hbc1769,2747,1748,2764,1707,2774hbc1666,2784,1649,2774,1605,2774hbc1561,2774,1533,2774,1485,2774hbc1437,2774,1410,2781,1365,2774hbc1320,2767,1300,2767,1262,2740hbc1224,2713,1214,2678,1176,2637hbc1138,2596,1118,2568,1073,2534hbc1028,2500,998,2487,953,2466hbc908,2445,891,2438,850,2431hbc809,2424,788,2431,747,2431hbc706,2431,686,2431,645,2431hbc604,2431,583,2438,542,2431hbc501,2424,456,2424,439,2397hbc422,2370,435,2335,456,2294hbc477,2253,518,2232,542,2191hbc566,2150,579,2129,576,2088hbc573,2047,552,2027,525,1986hbc498,1945,467,1928,439,1883hbc411,1838,408,1808,387,1763hbc366,1718,356,1701,336,1660hbc316,1619,306,1598,285,1557hbc264,1516,254,1495,233,1454hbc212,1413,199,1392,182,1351hbc165,1310,157,1289,147,1248hbc137,1207,140,1187,130,1146hbc120,1105,106,1088,96,1043hbc86,998,89,968,79,923hbc69,878,52,861,45,820hbc38,779,49,758,45,717hbc41,676,31,655,27,614hbc23,573,30,552,27,511hbc24,470,0,449,10,408hbc20,367,45,333,79,306hbc113,279,155,278,182,271hbc209,264,211,270,216,271hbxe">
            <v:fill on="f" focussize="0,0"/>
            <v:stroke color="#92D050"/>
            <v:imagedata o:title=""/>
            <o:lock v:ext="edit" aspectratio="f"/>
          </v:shape>
        </w:pict>
      </w:r>
      <w:r>
        <w:rPr>
          <w:rFonts w:hint="default" w:ascii="Times New Roman" w:hAnsi="Times New Roman" w:eastAsia="宋体" w:cs="Times New Roman"/>
          <w:sz w:val="21"/>
        </w:rPr>
        <w:pict>
          <v:shape id="_x0000_s2856" o:spid="_x0000_s2856" style="position:absolute;left:0pt;margin-left:317.05pt;margin-top:123.95pt;height:139.2pt;width:109.7pt;z-index:251725824;mso-width-relative:page;mso-height-relative:page;" filled="f" stroked="t" coordsize="2194,2784" path="m216,271hbc235,266,278,261,319,237hbc360,213,381,175,422,151hbc463,127,484,131,525,117hbc566,103,586,100,627,83hbc668,66,689,45,730,31hbc771,17,792,17,833,14hbc874,11,895,14,936,14hbc977,14,998,14,1039,14hbc1080,14,1101,14,1142,14hbc1183,14,1204,14,1245,14hbc1286,14,1306,0,1347,14hbc1388,28,1416,49,1450,83hbc1484,117,1495,145,1519,186hbc1543,227,1553,247,1570,288hbc1587,329,1584,350,1605,391hbc1626,432,1653,449,1673,494hbc1693,539,1690,569,1707,614hbc1724,659,1742,672,1759,717hbc1776,762,1776,792,1793,837hbc1810,882,1814,909,1845,940hbc1876,971,1913,960,1947,991hbc1981,1022,2012,1053,2016,1094hbc2020,1135,1992,1156,1965,1197hbc1938,1238,1900,1259,1879,1300hbc1858,1341,1845,1369,1862,1403hbc1879,1437,1924,1444,1965,1471hbc2006,1498,2026,1509,2067,1540hbc2108,1571,2146,1588,2170,1626hbc2194,1664,2184,1687,2187,1728hbc2190,1769,2190,1790,2187,1831hbc2184,1872,2177,1893,2170,1934hbc2163,1975,2160,1996,2153,2037hbc2146,2078,2150,2099,2136,2140hbc2122,2181,2102,2202,2085,2243hbc2068,2284,2060,2305,2050,2346hbc2040,2387,2047,2407,2033,2448hbc2019,2489,2006,2510,1982,2551hbc1958,2592,1947,2620,1913,2654hbc1879,2688,1851,2699,1810,2723hbc1769,2747,1748,2764,1707,2774hbc1666,2784,1649,2774,1605,2774hbc1561,2774,1533,2774,1485,2774hbc1437,2774,1410,2781,1365,2774hbc1320,2767,1300,2767,1262,2740hbc1224,2713,1214,2678,1176,2637hbc1138,2596,1118,2568,1073,2534hbc1028,2500,998,2487,953,2466hbc908,2445,891,2438,850,2431hbc809,2424,788,2431,747,2431hbc706,2431,686,2431,645,2431hbc604,2431,583,2438,542,2431hbc501,2424,456,2424,439,2397hbc422,2370,435,2335,456,2294hbc477,2253,518,2232,542,2191hbc566,2150,579,2129,576,2088hbc573,2047,552,2027,525,1986hbc498,1945,467,1928,439,1883hbc411,1838,408,1808,387,1763hbc366,1718,356,1701,336,1660hbc316,1619,306,1598,285,1557hbc264,1516,254,1495,233,1454hbc212,1413,199,1392,182,1351hbc165,1310,157,1289,147,1248hbc137,1207,140,1187,130,1146hbc120,1105,106,1088,96,1043hbc86,998,89,968,79,923hbc69,878,52,861,45,820hbc38,779,49,758,45,717hbc41,676,31,655,27,614hbc23,573,30,552,27,511hbc24,470,0,449,10,408hbc20,367,45,333,79,306hbc113,279,155,278,182,271hbc209,264,211,270,216,271hbxe">
            <v:fill on="f" focussize="0,0"/>
            <v:stroke color="#FF0000"/>
            <v:imagedata o:title=""/>
            <o:lock v:ext="edit" aspectratio="f"/>
          </v:shape>
        </w:pict>
      </w:r>
      <w:r>
        <w:rPr>
          <w:rFonts w:hint="default" w:ascii="Times New Roman" w:hAnsi="Times New Roman" w:eastAsia="宋体" w:cs="Times New Roman"/>
          <w:color w:val="auto"/>
        </w:rPr>
        <w:drawing>
          <wp:anchor distT="0" distB="0" distL="114300" distR="114300" simplePos="0" relativeHeight="251672576" behindDoc="0" locked="0" layoutInCell="1" allowOverlap="1">
            <wp:simplePos x="0" y="0"/>
            <wp:positionH relativeFrom="column">
              <wp:posOffset>8185150</wp:posOffset>
            </wp:positionH>
            <wp:positionV relativeFrom="paragraph">
              <wp:posOffset>86995</wp:posOffset>
            </wp:positionV>
            <wp:extent cx="626745" cy="721995"/>
            <wp:effectExtent l="0" t="0" r="13335" b="9525"/>
            <wp:wrapNone/>
            <wp:docPr id="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pic:cNvPicPr>
                      <a:picLocks noChangeAspect="1"/>
                    </pic:cNvPicPr>
                  </pic:nvPicPr>
                  <pic:blipFill>
                    <a:blip r:embed="rId26"/>
                    <a:stretch>
                      <a:fillRect/>
                    </a:stretch>
                  </pic:blipFill>
                  <pic:spPr>
                    <a:xfrm>
                      <a:off x="0" y="0"/>
                      <a:ext cx="626745" cy="721995"/>
                    </a:xfrm>
                    <a:prstGeom prst="rect">
                      <a:avLst/>
                    </a:prstGeom>
                    <a:noFill/>
                    <a:ln>
                      <a:noFill/>
                    </a:ln>
                  </pic:spPr>
                </pic:pic>
              </a:graphicData>
            </a:graphic>
          </wp:anchor>
        </w:drawing>
      </w:r>
      <w:r>
        <w:rPr>
          <w:rFonts w:hint="default" w:ascii="Times New Roman" w:hAnsi="Times New Roman" w:eastAsia="宋体" w:cs="Times New Roman"/>
        </w:rPr>
        <w:drawing>
          <wp:inline distT="0" distB="0" distL="114300" distR="114300">
            <wp:extent cx="8840470" cy="4858385"/>
            <wp:effectExtent l="0" t="0" r="13970" b="3175"/>
            <wp:docPr id="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1"/>
                    <pic:cNvPicPr>
                      <a:picLocks noChangeAspect="1"/>
                    </pic:cNvPicPr>
                  </pic:nvPicPr>
                  <pic:blipFill>
                    <a:blip r:embed="rId27"/>
                    <a:srcRect t="8923" r="11276" b="4411"/>
                    <a:stretch>
                      <a:fillRect/>
                    </a:stretch>
                  </pic:blipFill>
                  <pic:spPr>
                    <a:xfrm>
                      <a:off x="0" y="0"/>
                      <a:ext cx="8840470" cy="4858385"/>
                    </a:xfrm>
                    <a:prstGeom prst="rect">
                      <a:avLst/>
                    </a:prstGeom>
                    <a:noFill/>
                    <a:ln>
                      <a:noFill/>
                    </a:ln>
                  </pic:spPr>
                </pic:pic>
              </a:graphicData>
            </a:graphic>
          </wp:inline>
        </w:drawing>
      </w:r>
    </w:p>
    <w:p>
      <w:pPr>
        <w:jc w:val="center"/>
        <w:rPr>
          <w:rFonts w:hint="default" w:ascii="Times New Roman" w:hAnsi="Times New Roman" w:eastAsia="宋体" w:cs="Times New Roman"/>
          <w:color w:val="auto"/>
        </w:rPr>
      </w:pPr>
    </w:p>
    <w:p>
      <w:pPr>
        <w:pStyle w:val="288"/>
        <w:spacing w:beforeLines="50" w:line="240" w:lineRule="auto"/>
        <w:ind w:left="42" w:leftChars="-135" w:hanging="325" w:hangingChars="135"/>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图1.6-</w:t>
      </w: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声环境</w:t>
      </w:r>
      <w:r>
        <w:rPr>
          <w:rFonts w:hint="default" w:ascii="Times New Roman" w:hAnsi="Times New Roman" w:eastAsia="宋体" w:cs="Times New Roman"/>
          <w:b/>
          <w:bCs/>
          <w:color w:val="auto"/>
          <w:sz w:val="24"/>
          <w:szCs w:val="24"/>
          <w:lang w:eastAsia="zh-CN"/>
        </w:rPr>
        <w:t>、生态环境及土壤</w:t>
      </w:r>
      <w:r>
        <w:rPr>
          <w:rFonts w:hint="default" w:ascii="Times New Roman" w:hAnsi="Times New Roman" w:eastAsia="宋体" w:cs="Times New Roman"/>
          <w:b/>
          <w:bCs/>
          <w:color w:val="auto"/>
          <w:sz w:val="24"/>
          <w:szCs w:val="24"/>
        </w:rPr>
        <w:t>环境评价范围及环境保护目标分布图</w:t>
      </w:r>
    </w:p>
    <w:p>
      <w:pPr>
        <w:pStyle w:val="288"/>
        <w:spacing w:beforeLines="50" w:line="240" w:lineRule="auto"/>
        <w:ind w:left="42" w:leftChars="-135" w:hanging="325" w:hangingChars="135"/>
        <w:rPr>
          <w:rFonts w:hint="default" w:ascii="Times New Roman" w:hAnsi="Times New Roman" w:eastAsia="宋体" w:cs="Times New Roman"/>
          <w:b/>
          <w:bCs/>
          <w:color w:val="auto"/>
          <w:sz w:val="24"/>
          <w:szCs w:val="24"/>
        </w:rPr>
      </w:pPr>
    </w:p>
    <w:p>
      <w:pPr>
        <w:pStyle w:val="288"/>
        <w:spacing w:beforeLines="50" w:line="240" w:lineRule="auto"/>
        <w:ind w:left="42" w:leftChars="-135" w:hanging="325" w:hangingChars="135"/>
        <w:rPr>
          <w:rFonts w:hint="default" w:ascii="Times New Roman" w:hAnsi="Times New Roman" w:eastAsia="宋体" w:cs="Times New Roman"/>
          <w:b/>
          <w:bCs/>
          <w:color w:val="auto"/>
          <w:sz w:val="24"/>
          <w:szCs w:val="24"/>
        </w:rPr>
      </w:pPr>
    </w:p>
    <w:p>
      <w:pPr>
        <w:pStyle w:val="288"/>
        <w:spacing w:beforeLines="50" w:line="240" w:lineRule="auto"/>
        <w:jc w:val="both"/>
        <w:rPr>
          <w:rFonts w:hint="default" w:ascii="Times New Roman" w:hAnsi="Times New Roman" w:eastAsia="宋体" w:cs="Times New Roman"/>
          <w:b/>
          <w:bCs/>
          <w:color w:val="auto"/>
          <w:sz w:val="24"/>
          <w:szCs w:val="24"/>
          <w:highlight w:val="yellow"/>
        </w:rPr>
      </w:pPr>
    </w:p>
    <w:p>
      <w:pPr>
        <w:pStyle w:val="288"/>
        <w:spacing w:beforeLines="50" w:line="240" w:lineRule="auto"/>
        <w:ind w:left="0" w:leftChars="-135" w:hanging="283" w:hangingChars="135"/>
        <w:rPr>
          <w:rFonts w:hint="default" w:ascii="Times New Roman" w:hAnsi="Times New Roman" w:eastAsia="宋体" w:cs="Times New Roman"/>
          <w:b/>
          <w:bCs/>
          <w:color w:val="auto"/>
          <w:sz w:val="24"/>
          <w:szCs w:val="24"/>
          <w:highlight w:val="yellow"/>
        </w:rPr>
      </w:pPr>
      <w:r>
        <w:rPr>
          <w:rFonts w:hint="default" w:ascii="Times New Roman" w:hAnsi="Times New Roman" w:eastAsia="宋体" w:cs="Times New Roman"/>
          <w:sz w:val="21"/>
        </w:rPr>
        <w:pict>
          <v:shape id="_x0000_s3007" o:spid="_x0000_s3007" style="position:absolute;left:0pt;margin-left:588.65pt;margin-top:346.95pt;height:11.7pt;width:19.2pt;z-index:251898880;mso-width-relative:page;mso-height-relative:page;" filled="f" stroked="t" coordsize="1002,653" path="m88,291hbc107,292,152,299,195,291hbc238,283,258,280,301,251hbc344,222,379,189,408,144hbc437,99,419,48,448,24hbc477,0,504,24,555,24hbc606,24,650,24,701,24hbc752,24,768,3,808,24hbc848,45,866,88,901,131hbc936,174,965,194,981,237hbc997,280,1002,304,981,344hbc960,384,918,416,875,437hbc832,458,811,440,768,451hbc725,462,704,470,661,491hbc618,512,598,528,555,557hbc512,586,491,621,448,637hbc405,653,384,648,341,637hbc298,626,272,616,235,584hbc198,552,192,509,155,477hbc118,445,77,456,48,424hbc19,392,0,344,8,317hbc16,290,71,294,88,291hbxe">
            <v:fill on="f" focussize="0,0"/>
            <v:stroke color="#000000"/>
            <v:imagedata o:title=""/>
            <o:lock v:ext="edit" aspectratio="f"/>
          </v:shape>
        </w:pict>
      </w:r>
      <w:r>
        <w:rPr>
          <w:rFonts w:hint="default" w:ascii="Times New Roman" w:hAnsi="Times New Roman" w:eastAsia="宋体" w:cs="Times New Roman"/>
          <w:sz w:val="21"/>
        </w:rPr>
        <w:pict>
          <v:shape id="_x0000_s3000" o:spid="_x0000_s3000" style="position:absolute;left:0pt;margin-left:589.25pt;margin-top:330.05pt;height:14.1pt;width:16.95pt;z-index:251894784;mso-width-relative:page;mso-height-relative:page;" filled="f" stroked="t" coordsize="645,881" path="m506,73hbc487,57,447,0,399,5hbc351,10,306,60,266,100hbc226,140,223,162,199,205hbc175,248,175,267,146,313hbc117,359,77,388,53,433hbc29,478,31,498,26,540hbc21,582,29,602,26,645hbc23,688,0,710,13,753hbc26,796,56,839,93,860hbc130,881,154,863,199,860hbc244,857,274,861,319,845hbc364,829,391,814,426,780hbc461,746,472,716,493,673hbc514,630,520,608,533,565hbc546,522,543,502,559,460hbc575,418,600,396,613,353hbc626,310,623,288,626,245hbc629,202,645,182,626,140hbc607,98,573,54,533,33hbc493,12,446,31,426,33hbe">
            <v:path arrowok="t"/>
            <v:fill on="f" focussize="0,0"/>
            <v:stroke color="#FF0000"/>
            <v:imagedata o:title=""/>
            <o:lock v:ext="edit" aspectratio="f"/>
          </v:shape>
        </w:pict>
      </w:r>
      <w:r>
        <w:rPr>
          <w:rFonts w:hint="default" w:ascii="Times New Roman" w:hAnsi="Times New Roman" w:eastAsia="宋体" w:cs="Times New Roman"/>
          <w:sz w:val="21"/>
        </w:rPr>
        <w:pict>
          <v:shape id="_x0000_s2996" o:spid="_x0000_s2996" style="position:absolute;left:0pt;margin-left:593.7pt;margin-top:314.7pt;height:12.4pt;width:10.3pt;z-index:251893760;mso-width-relative:page;mso-height-relative:page;" filled="f" stroked="t" coordsize="2194,2784" path="m216,271hbc235,266,278,261,319,237hbc360,213,381,175,422,151hbc463,127,484,131,525,117hbc566,103,586,100,627,83hbc668,66,689,45,730,31hbc771,17,792,17,833,14hbc874,11,895,14,936,14hbc977,14,998,14,1039,14hbc1080,14,1101,14,1142,14hbc1183,14,1204,14,1245,14hbc1286,14,1306,0,1347,14hbc1388,28,1416,49,1450,83hbc1484,117,1495,145,1519,186hbc1543,227,1553,247,1570,288hbc1587,329,1584,350,1605,391hbc1626,432,1653,449,1673,494hbc1693,539,1690,569,1707,614hbc1724,659,1742,672,1759,717hbc1776,762,1776,792,1793,837hbc1810,882,1814,909,1845,940hbc1876,971,1913,960,1947,991hbc1981,1022,2012,1053,2016,1094hbc2020,1135,1992,1156,1965,1197hbc1938,1238,1900,1259,1879,1300hbc1858,1341,1845,1369,1862,1403hbc1879,1437,1924,1444,1965,1471hbc2006,1498,2026,1509,2067,1540hbc2108,1571,2146,1588,2170,1626hbc2194,1664,2184,1687,2187,1728hbc2190,1769,2190,1790,2187,1831hbc2184,1872,2177,1893,2170,1934hbc2163,1975,2160,1996,2153,2037hbc2146,2078,2150,2099,2136,2140hbc2122,2181,2102,2202,2085,2243hbc2068,2284,2060,2305,2050,2346hbc2040,2387,2047,2407,2033,2448hbc2019,2489,2006,2510,1982,2551hbc1958,2592,1947,2620,1913,2654hbc1879,2688,1851,2699,1810,2723hbc1769,2747,1748,2764,1707,2774hbc1666,2784,1649,2774,1605,2774hbc1561,2774,1533,2774,1485,2774hbc1437,2774,1410,2781,1365,2774hbc1320,2767,1300,2767,1262,2740hbc1224,2713,1214,2678,1176,2637hbc1138,2596,1118,2568,1073,2534hbc1028,2500,998,2487,953,2466hbc908,2445,891,2438,850,2431hbc809,2424,788,2431,747,2431hbc706,2431,686,2431,645,2431hbc604,2431,583,2438,542,2431hbc501,2424,456,2424,439,2397hbc422,2370,435,2335,456,2294hbc477,2253,518,2232,542,2191hbc566,2150,579,2129,576,2088hbc573,2047,552,2027,525,1986hbc498,1945,467,1928,439,1883hbc411,1838,408,1808,387,1763hbc366,1718,356,1701,336,1660hbc316,1619,306,1598,285,1557hbc264,1516,254,1495,233,1454hbc212,1413,199,1392,182,1351hbc165,1310,157,1289,147,1248hbc137,1207,140,1187,130,1146hbc120,1105,106,1088,96,1043hbc86,998,89,968,79,923hbc69,878,52,861,45,820hbc38,779,49,758,45,717hbc41,676,31,655,27,614hbc23,573,30,552,27,511hbc24,470,0,449,10,408hbc20,367,45,333,79,306hbc113,279,155,278,182,271hbc209,264,211,270,216,271hbxe">
            <v:fill on="f" focussize="0,0"/>
            <v:stroke color="#FFC000"/>
            <v:imagedata o:title=""/>
            <o:lock v:ext="edit" aspectratio="f"/>
          </v:shape>
        </w:pict>
      </w:r>
      <w:r>
        <w:rPr>
          <w:rFonts w:hint="default" w:ascii="Times New Roman" w:hAnsi="Times New Roman" w:eastAsia="宋体" w:cs="Times New Roman"/>
          <w:color w:val="auto"/>
        </w:rPr>
        <w:pict>
          <v:shape id="_x0000_s2995" o:spid="_x0000_s2995" o:spt="202" type="#_x0000_t202" style="position:absolute;left:0pt;margin-left:580.75pt;margin-top:298.85pt;height:87.3pt;width:111.55pt;z-index:251892736;mso-width-relative:page;mso-height-relative:page;" fillcolor="#FFFFFF" filled="t" stroked="t" coordsize="21600,21600" o:gfxdata="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dBq+DY&#10;AAAADQEAAA8AAAAAAAAAAQAgAAAAIgAAAGRycy9kb3ducmV2LnhtbFBLAQIUABQAAAAIAIdO4kAp&#10;xUCEWQIAALwEAAAOAAAAAAAAAAEAIAAAACcBAABkcnMvZTJvRG9jLnhtbFBLBQYAAAAABgAGAFkB&#10;AADyBQAAAAA=&#10;">
            <v:path/>
            <v:fill on="t" color2="#FFFFFF" focussize="0,0"/>
            <v:stroke weight="0.5pt" color="#000000" joinstyle="round"/>
            <v:imagedata o:title=""/>
            <o:lock v:ext="edit" aspectratio="f"/>
            <v:textbox>
              <w:txbxContent>
                <w:p>
                  <w:pPr>
                    <w:jc w:val="center"/>
                  </w:pPr>
                  <w:r>
                    <w:rPr>
                      <w:rFonts w:hint="eastAsia"/>
                    </w:rPr>
                    <w:t>图例</w:t>
                  </w:r>
                </w:p>
                <w:p>
                  <w:pPr>
                    <w:ind w:firstLine="420" w:firstLineChars="200"/>
                    <w:rPr>
                      <w:rFonts w:hint="eastAsia"/>
                    </w:rPr>
                  </w:pPr>
                  <w:r>
                    <w:rPr>
                      <w:rFonts w:hint="eastAsia"/>
                    </w:rPr>
                    <w:t>项目所在地</w:t>
                  </w:r>
                </w:p>
                <w:p>
                  <w:pPr>
                    <w:ind w:firstLine="420" w:firstLineChars="200"/>
                    <w:rPr>
                      <w:rFonts w:hint="eastAsia" w:eastAsia="宋体"/>
                      <w:lang w:eastAsia="zh-CN"/>
                    </w:rPr>
                  </w:pPr>
                  <w:r>
                    <w:rPr>
                      <w:rFonts w:hint="eastAsia"/>
                      <w:lang w:eastAsia="zh-CN"/>
                    </w:rPr>
                    <w:t>为矿山位置</w:t>
                  </w:r>
                </w:p>
                <w:p>
                  <w:pPr>
                    <w:ind w:firstLine="420" w:firstLineChars="200"/>
                    <w:rPr>
                      <w:rFonts w:hint="eastAsia" w:eastAsia="宋体"/>
                      <w:lang w:eastAsia="zh-CN"/>
                    </w:rPr>
                  </w:pPr>
                  <w:r>
                    <w:rPr>
                      <w:rFonts w:hint="eastAsia"/>
                      <w:lang w:eastAsia="zh-CN"/>
                    </w:rPr>
                    <w:t>为保护目标</w:t>
                  </w:r>
                </w:p>
                <w:p>
                  <w:r>
                    <w:rPr>
                      <w:rFonts w:hint="eastAsia"/>
                    </w:rPr>
                    <w:t>比例尺1：</w:t>
                  </w:r>
                  <w:r>
                    <w:rPr>
                      <w:rFonts w:hint="eastAsia"/>
                      <w:lang w:val="en-US" w:eastAsia="zh-CN"/>
                    </w:rPr>
                    <w:t>5</w:t>
                  </w:r>
                  <w:r>
                    <w:rPr>
                      <w:rFonts w:hint="eastAsia"/>
                    </w:rPr>
                    <w:t>0000</w:t>
                  </w:r>
                </w:p>
              </w:txbxContent>
            </v:textbox>
          </v:shape>
        </w:pict>
      </w:r>
      <w:r>
        <w:rPr>
          <w:rFonts w:hint="default" w:ascii="Times New Roman" w:hAnsi="Times New Roman" w:eastAsia="宋体" w:cs="Times New Roman"/>
          <w:color w:val="auto"/>
          <w:sz w:val="21"/>
        </w:rPr>
        <w:pict>
          <v:rect id="_x0000_s3006" o:spid="_x0000_s3006" o:spt="1" style="position:absolute;left:0pt;margin-left:268pt;margin-top:179pt;height:21.7pt;width:59pt;z-index:251897856;mso-width-relative:page;mso-height-relative:page;" filled="f" stroked="f" coordsize="21600,21600">
            <v:path/>
            <v:fill on="f" focussize="0,0"/>
            <v:stroke on="f"/>
            <v:imagedata o:title=""/>
            <o:lock v:ext="edit" aspectratio="f"/>
            <v:textbox>
              <w:txbxContent>
                <w:p>
                  <w:pPr>
                    <w:rPr>
                      <w:rFonts w:hint="default" w:eastAsia="宋体"/>
                      <w:b/>
                      <w:bCs/>
                      <w:color w:val="92D050"/>
                      <w:lang w:val="en-US" w:eastAsia="zh-CN"/>
                    </w:rPr>
                  </w:pPr>
                  <w:r>
                    <w:rPr>
                      <w:rFonts w:hint="eastAsia"/>
                      <w:b/>
                      <w:bCs/>
                      <w:color w:val="92D050"/>
                      <w:lang w:val="en-US" w:eastAsia="zh-CN"/>
                    </w:rPr>
                    <w:t>上丁杖子</w:t>
                  </w:r>
                </w:p>
              </w:txbxContent>
            </v:textbox>
          </v:rect>
        </w:pict>
      </w:r>
      <w:r>
        <w:rPr>
          <w:rFonts w:hint="default" w:ascii="Times New Roman" w:hAnsi="Times New Roman" w:eastAsia="宋体" w:cs="Times New Roman"/>
          <w:color w:val="auto"/>
          <w:sz w:val="21"/>
        </w:rPr>
        <w:pict>
          <v:rect id="_x0000_s3004" o:spid="_x0000_s3004" o:spt="1" style="position:absolute;left:0pt;margin-left:328.7pt;margin-top:209.65pt;height:21.7pt;width:46.45pt;z-index:251895808;mso-width-relative:page;mso-height-relative:page;" filled="f" stroked="f" coordsize="21600,21600">
            <v:path/>
            <v:fill on="f" focussize="0,0"/>
            <v:stroke on="f"/>
            <v:imagedata o:title=""/>
            <o:lock v:ext="edit" aspectratio="f"/>
            <v:textbox>
              <w:txbxContent>
                <w:p>
                  <w:pPr>
                    <w:rPr>
                      <w:rFonts w:hint="default" w:eastAsia="宋体"/>
                      <w:b/>
                      <w:bCs/>
                      <w:color w:val="92D050"/>
                      <w:lang w:val="en-US" w:eastAsia="zh-CN"/>
                    </w:rPr>
                  </w:pPr>
                  <w:r>
                    <w:rPr>
                      <w:rFonts w:hint="eastAsia"/>
                      <w:b/>
                      <w:bCs/>
                      <w:color w:val="92D050"/>
                      <w:lang w:val="en-US" w:eastAsia="zh-CN"/>
                    </w:rPr>
                    <w:t>东洼</w:t>
                  </w:r>
                </w:p>
              </w:txbxContent>
            </v:textbox>
          </v:rect>
        </w:pict>
      </w:r>
      <w:r>
        <w:rPr>
          <w:rFonts w:hint="default" w:ascii="Times New Roman" w:hAnsi="Times New Roman" w:eastAsia="宋体" w:cs="Times New Roman"/>
          <w:color w:val="auto"/>
          <w:sz w:val="21"/>
        </w:rPr>
        <w:pict>
          <v:rect id="_x0000_s3005" o:spid="_x0000_s3005" o:spt="1" style="position:absolute;left:0pt;margin-left:444.75pt;margin-top:237.7pt;height:21.7pt;width:58.4pt;z-index:251896832;mso-width-relative:page;mso-height-relative:page;" filled="f" stroked="f" coordsize="21600,21600">
            <v:path/>
            <v:fill on="f" focussize="0,0"/>
            <v:stroke on="f"/>
            <v:imagedata o:title=""/>
            <o:lock v:ext="edit" aspectratio="f"/>
            <v:textbox>
              <w:txbxContent>
                <w:p>
                  <w:pPr>
                    <w:rPr>
                      <w:rFonts w:hint="default" w:eastAsia="宋体"/>
                      <w:b/>
                      <w:bCs/>
                      <w:color w:val="92D050"/>
                      <w:lang w:val="en-US" w:eastAsia="zh-CN"/>
                    </w:rPr>
                  </w:pPr>
                  <w:r>
                    <w:rPr>
                      <w:rFonts w:hint="eastAsia" w:eastAsia="宋体"/>
                      <w:b/>
                      <w:bCs/>
                      <w:color w:val="92D050"/>
                      <w:lang w:val="en-US" w:eastAsia="zh-CN"/>
                    </w:rPr>
                    <w:t>黄古屯村</w:t>
                  </w:r>
                </w:p>
              </w:txbxContent>
            </v:textbox>
          </v:rect>
        </w:pict>
      </w:r>
      <w:r>
        <w:rPr>
          <w:rFonts w:hint="default" w:ascii="Times New Roman" w:hAnsi="Times New Roman" w:eastAsia="宋体" w:cs="Times New Roman"/>
          <w:sz w:val="21"/>
        </w:rPr>
        <w:pict>
          <v:shape id="_x0000_s3003" o:spid="_x0000_s3003" style="position:absolute;left:0pt;margin-left:320.7pt;margin-top:204.95pt;height:32.65pt;width:50.1pt;z-index:251891712;mso-width-relative:page;mso-height-relative:page;" filled="f" stroked="t" coordsize="1002,653" path="m88,291hbc107,292,152,299,195,291hbc238,283,258,280,301,251hbc344,222,379,189,408,144hbc437,99,419,48,448,24hbc477,0,504,24,555,24hbc606,24,650,24,701,24hbc752,24,768,3,808,24hbc848,45,866,88,901,131hbc936,174,965,194,981,237hbc997,280,1002,304,981,344hbc960,384,918,416,875,437hbc832,458,811,440,768,451hbc725,462,704,470,661,491hbc618,512,598,528,555,557hbc512,586,491,621,448,637hbc405,653,384,648,341,637hbc298,626,272,616,235,584hbc198,552,192,509,155,477hbc118,445,77,456,48,424hbc19,392,0,344,8,317hbc16,290,71,294,88,291hbxe">
            <v:fill on="f" focussize="0,0"/>
            <v:stroke color="#000000"/>
            <v:imagedata o:title=""/>
            <o:lock v:ext="edit" aspectratio="f"/>
          </v:shape>
        </w:pict>
      </w:r>
      <w:r>
        <w:rPr>
          <w:rFonts w:hint="default" w:ascii="Times New Roman" w:hAnsi="Times New Roman" w:eastAsia="宋体" w:cs="Times New Roman"/>
          <w:sz w:val="21"/>
        </w:rPr>
        <w:pict>
          <v:shape id="_x0000_s3002" o:spid="_x0000_s3002" style="position:absolute;left:0pt;margin-left:433.4pt;margin-top:217.9pt;height:80.8pt;width:68.35pt;z-index:251890688;mso-width-relative:page;mso-height-relative:page;" filled="f" stroked="t" coordsize="1367,1616" path="m1301,285hbc1275,283,1213,280,1154,272hbc1095,264,1063,256,1007,245hbc951,234,922,226,874,218hbc826,210,810,208,767,205hbc724,202,709,205,661,205hbc613,205,575,205,527,205hbc479,205,464,208,421,205hbc378,202,351,216,314,192hbc277,168,271,122,234,85hbc197,48,170,0,127,5hbc84,10,42,69,21,112hbc0,155,21,175,21,218hbc21,261,10,282,21,325hbc32,368,45,389,74,432hbc103,475,127,498,167,538hbc207,578,239,589,274,632hbc309,675,314,704,341,752hbc368,800,372,827,407,872hbc442,917,487,935,514,978hbc541,1021,546,1042,541,1085hbc536,1128,514,1149,487,1192hbc460,1235,444,1261,407,1298hbc370,1335,338,1341,301,1378hbc264,1415,250,1442,221,1485hbc192,1528,146,1568,154,1592hbc162,1616,218,1605,261,1605hbc304,1605,324,1608,367,1592hbc410,1576,431,1552,474,1525hbc517,1498,536,1490,581,1458hbc626,1426,661,1405,701,1365hbc741,1325,752,1301,781,1258hbc810,1215,818,1195,847,1152hbc876,1109,895,1088,927,1045hbc959,1002,978,981,1007,938hbc1036,895,1042,875,1074,832hbc1106,789,1124,760,1167,725hbc1210,690,1250,693,1287,658hbc1324,623,1341,595,1354,552hbc1367,509,1354,488,1354,445hbc1354,402,1354,357,1354,338hbe">
            <v:path arrowok="t"/>
            <v:fill on="f" focussize="0,0"/>
            <v:stroke color="#000000"/>
            <v:imagedata o:title=""/>
            <o:lock v:ext="edit" aspectratio="f"/>
          </v:shape>
        </w:pict>
      </w:r>
      <w:r>
        <w:rPr>
          <w:rFonts w:hint="default" w:ascii="Times New Roman" w:hAnsi="Times New Roman" w:eastAsia="宋体" w:cs="Times New Roman"/>
          <w:sz w:val="21"/>
        </w:rPr>
        <w:pict>
          <v:shape id="_x0000_s3001" o:spid="_x0000_s3001" style="position:absolute;left:0pt;margin-left:282.8pt;margin-top:148.15pt;height:91.7pt;width:32.7pt;z-index:251889664;mso-width-relative:page;mso-height-relative:page;" filled="f" stroked="t" coordsize="654,1834" path="m353,27hbc354,46,361,90,353,133hbc345,176,324,197,313,240hbc302,283,302,304,299,347hbc296,390,310,408,299,453hbc288,498,273,528,246,573hbc219,618,195,637,166,680hbc137,723,128,744,99,787hbc70,830,38,848,19,893hbc0,938,6,968,6,1013hbc6,1058,14,1077,19,1120hbc24,1163,20,1184,33,1227hbc46,1270,70,1290,86,1333hbc102,1376,97,1395,113,1440hbc129,1485,147,1515,166,1560hbc185,1605,187,1622,206,1667hbc225,1712,227,1758,259,1787hbc291,1816,323,1808,366,1813hbc409,1818,430,1813,473,1813hbc516,1813,547,1834,579,1813hbc611,1792,620,1750,633,1707hbc646,1664,654,1643,646,1600hbc638,1557,609,1536,593,1493hbc577,1450,582,1430,566,1387hbc550,1344,534,1323,513,1280hbc492,1237,480,1216,459,1173hbc438,1130,425,1110,406,1067hbc387,1024,374,1003,366,960hbc358,917,361,896,366,853hbc371,810,382,790,393,747hbc404,704,408,683,419,640hbc430,597,433,576,446,533hbc459,490,475,470,486,427hbc497,384,496,363,499,320hbc502,277,499,258,499,213hbc499,168,520,133,499,93hbc478,53,422,26,393,13hbc364,0,359,23,353,27hbxe">
            <v:fill on="f" focussize="0,0"/>
            <v:stroke color="#000000"/>
            <v:imagedata o:title=""/>
            <o:lock v:ext="edit" aspectratio="f"/>
          </v:shape>
        </w:pict>
      </w:r>
      <w:r>
        <w:rPr>
          <w:rFonts w:hint="default" w:ascii="Times New Roman" w:hAnsi="Times New Roman" w:eastAsia="宋体" w:cs="Times New Roman"/>
          <w:sz w:val="21"/>
        </w:rPr>
        <w:pict>
          <v:shape id="_x0000_s2999" o:spid="_x0000_s2999" style="position:absolute;left:0pt;margin-left:495.8pt;margin-top:336.9pt;height:44.05pt;width:32.25pt;z-index:251889664;mso-width-relative:page;mso-height-relative:page;" filled="f" stroked="t" coordsize="645,881" path="m506,73hbc487,57,447,0,399,5hbc351,10,306,60,266,100hbc226,140,223,162,199,205hbc175,248,175,267,146,313hbc117,359,77,388,53,433hbc29,478,31,498,26,540hbc21,582,29,602,26,645hbc23,688,0,710,13,753hbc26,796,56,839,93,860hbc130,881,154,863,199,860hbc244,857,274,861,319,845hbc364,829,391,814,426,780hbc461,746,472,716,493,673hbc514,630,520,608,533,565hbc546,522,543,502,559,460hbc575,418,600,396,613,353hbc626,310,623,288,626,245hbc629,202,645,182,626,140hbc607,98,573,54,533,33hbc493,12,446,31,426,33hbe">
            <v:path arrowok="t"/>
            <v:fill on="f" focussize="0,0"/>
            <v:stroke color="#FF0000"/>
            <v:imagedata o:title=""/>
            <o:lock v:ext="edit" aspectratio="f"/>
          </v:shape>
        </w:pict>
      </w:r>
      <w:r>
        <w:rPr>
          <w:rFonts w:hint="default" w:ascii="Times New Roman" w:hAnsi="Times New Roman" w:eastAsia="宋体" w:cs="Times New Roman"/>
          <w:color w:val="auto"/>
        </w:rPr>
        <w:drawing>
          <wp:anchor distT="0" distB="0" distL="114300" distR="114300" simplePos="0" relativeHeight="251888640" behindDoc="0" locked="0" layoutInCell="1" allowOverlap="1">
            <wp:simplePos x="0" y="0"/>
            <wp:positionH relativeFrom="column">
              <wp:posOffset>8151495</wp:posOffset>
            </wp:positionH>
            <wp:positionV relativeFrom="paragraph">
              <wp:posOffset>175895</wp:posOffset>
            </wp:positionV>
            <wp:extent cx="626745" cy="721995"/>
            <wp:effectExtent l="0" t="0" r="13335" b="9525"/>
            <wp:wrapNone/>
            <wp:docPr id="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8"/>
                    <pic:cNvPicPr>
                      <a:picLocks noChangeAspect="1"/>
                    </pic:cNvPicPr>
                  </pic:nvPicPr>
                  <pic:blipFill>
                    <a:blip r:embed="rId26"/>
                    <a:stretch>
                      <a:fillRect/>
                    </a:stretch>
                  </pic:blipFill>
                  <pic:spPr>
                    <a:xfrm>
                      <a:off x="0" y="0"/>
                      <a:ext cx="626745" cy="721995"/>
                    </a:xfrm>
                    <a:prstGeom prst="rect">
                      <a:avLst/>
                    </a:prstGeom>
                    <a:noFill/>
                    <a:ln>
                      <a:noFill/>
                    </a:ln>
                  </pic:spPr>
                </pic:pic>
              </a:graphicData>
            </a:graphic>
          </wp:anchor>
        </w:drawing>
      </w:r>
      <w:r>
        <w:rPr>
          <w:rFonts w:hint="default" w:ascii="Times New Roman" w:hAnsi="Times New Roman" w:eastAsia="宋体" w:cs="Times New Roman"/>
          <w:sz w:val="21"/>
        </w:rPr>
        <w:pict>
          <v:shape id="_x0000_s2994" o:spid="_x0000_s2994" style="position:absolute;left:0pt;margin-left:194.5pt;margin-top:103.65pt;height:27.8pt;width:26.45pt;z-index:251887616;mso-width-relative:page;mso-height-relative:page;" filled="f" stroked="t" coordsize="356,410" path="m146,32hbc167,50,220,90,256,132hbc292,174,310,198,326,242hbc342,286,356,320,336,352hbc316,384,270,410,226,402hbc182,394,152,352,116,312hbc80,272,66,246,46,202hbc26,158,0,130,16,92hbc32,54,100,24,126,12hbc152,0,144,26,146,32hbxe">
            <v:fill on="f" focussize="0,0"/>
            <v:stroke color="#FFC000"/>
            <v:imagedata o:title=""/>
            <o:lock v:ext="edit" aspectratio="f"/>
          </v:shape>
        </w:pict>
      </w:r>
      <w:r>
        <w:rPr>
          <w:rFonts w:hint="default" w:ascii="Times New Roman" w:hAnsi="Times New Roman" w:eastAsia="宋体" w:cs="Times New Roman"/>
        </w:rPr>
        <w:drawing>
          <wp:inline distT="0" distB="0" distL="114300" distR="114300">
            <wp:extent cx="8880475" cy="4830445"/>
            <wp:effectExtent l="0" t="0" r="4445" b="635"/>
            <wp:docPr id="9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2"/>
                    <pic:cNvPicPr>
                      <a:picLocks noChangeAspect="1"/>
                    </pic:cNvPicPr>
                  </pic:nvPicPr>
                  <pic:blipFill>
                    <a:blip r:embed="rId28"/>
                    <a:srcRect t="8389" b="4068"/>
                    <a:stretch>
                      <a:fillRect/>
                    </a:stretch>
                  </pic:blipFill>
                  <pic:spPr>
                    <a:xfrm>
                      <a:off x="0" y="0"/>
                      <a:ext cx="8880475" cy="4830445"/>
                    </a:xfrm>
                    <a:prstGeom prst="rect">
                      <a:avLst/>
                    </a:prstGeom>
                    <a:noFill/>
                    <a:ln>
                      <a:noFill/>
                    </a:ln>
                  </pic:spPr>
                </pic:pic>
              </a:graphicData>
            </a:graphic>
          </wp:inline>
        </w:drawing>
      </w:r>
    </w:p>
    <w:p>
      <w:pPr>
        <w:pStyle w:val="288"/>
        <w:spacing w:beforeLines="50" w:line="240" w:lineRule="auto"/>
        <w:ind w:left="42" w:leftChars="-135" w:hanging="325" w:hangingChars="135"/>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图1.6-</w:t>
      </w:r>
      <w:r>
        <w:rPr>
          <w:rFonts w:hint="default"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highlight w:val="none"/>
        </w:rPr>
        <w:t>原矿运输路线及运输道路评价范围</w:t>
      </w:r>
      <w:r>
        <w:rPr>
          <w:rFonts w:hint="default" w:ascii="Times New Roman" w:hAnsi="Times New Roman" w:eastAsia="宋体" w:cs="Times New Roman"/>
          <w:b/>
          <w:bCs/>
          <w:color w:val="auto"/>
          <w:sz w:val="24"/>
          <w:szCs w:val="24"/>
          <w:highlight w:val="none"/>
        </w:rPr>
        <w:t>图</w:t>
      </w:r>
    </w:p>
    <w:p>
      <w:pPr>
        <w:pStyle w:val="288"/>
        <w:spacing w:beforeLines="50" w:line="240" w:lineRule="auto"/>
        <w:ind w:left="42" w:leftChars="-135" w:hanging="325" w:hangingChars="135"/>
        <w:rPr>
          <w:rFonts w:hint="default" w:ascii="Times New Roman" w:hAnsi="Times New Roman" w:eastAsia="宋体" w:cs="Times New Roman"/>
          <w:b/>
          <w:bCs/>
          <w:color w:val="auto"/>
          <w:sz w:val="24"/>
          <w:szCs w:val="24"/>
        </w:rPr>
        <w:sectPr>
          <w:headerReference r:id="rId9" w:type="default"/>
          <w:footerReference r:id="rId10" w:type="default"/>
          <w:pgSz w:w="16840" w:h="11907" w:orient="landscape"/>
          <w:pgMar w:top="1247" w:right="1418" w:bottom="1247" w:left="1418" w:header="964" w:footer="964" w:gutter="0"/>
          <w:pgBorders>
            <w:top w:val="none" w:sz="0" w:space="0"/>
            <w:left w:val="none" w:sz="0" w:space="0"/>
            <w:bottom w:val="none" w:sz="0" w:space="0"/>
            <w:right w:val="none" w:sz="0" w:space="0"/>
          </w:pgBorders>
          <w:pgNumType w:fmt="decimal"/>
          <w:cols w:space="720" w:num="1"/>
          <w:docGrid w:linePitch="312" w:charSpace="0"/>
        </w:sectPr>
      </w:pPr>
    </w:p>
    <w:p>
      <w:pPr>
        <w:pStyle w:val="266"/>
        <w:spacing w:beforeLines="50" w:line="360" w:lineRule="auto"/>
        <w:rPr>
          <w:rFonts w:hint="default" w:ascii="Times New Roman" w:hAnsi="Times New Roman" w:eastAsia="宋体" w:cs="Times New Roman"/>
          <w:color w:val="auto"/>
          <w:szCs w:val="28"/>
        </w:rPr>
      </w:pPr>
      <w:bookmarkStart w:id="98" w:name="_Toc9514"/>
      <w:bookmarkStart w:id="99" w:name="_Toc476224992"/>
      <w:bookmarkStart w:id="100" w:name="_Toc355284844"/>
      <w:bookmarkStart w:id="101" w:name="_Toc476224980"/>
      <w:bookmarkStart w:id="102" w:name="_Toc400617542"/>
      <w:r>
        <w:rPr>
          <w:rFonts w:hint="default" w:ascii="Times New Roman" w:hAnsi="Times New Roman" w:eastAsia="宋体" w:cs="Times New Roman"/>
          <w:color w:val="auto"/>
          <w:szCs w:val="28"/>
        </w:rPr>
        <w:t>1.7产业政策及区域规划符合性分析</w:t>
      </w:r>
      <w:bookmarkEnd w:id="98"/>
    </w:p>
    <w:p>
      <w:pPr>
        <w:pStyle w:val="73"/>
        <w:spacing w:beforeLines="50" w:line="360" w:lineRule="auto"/>
        <w:rPr>
          <w:rFonts w:hint="default" w:ascii="Times New Roman" w:hAnsi="Times New Roman" w:eastAsia="宋体" w:cs="Times New Roman"/>
          <w:color w:val="auto"/>
          <w:sz w:val="28"/>
          <w:szCs w:val="28"/>
        </w:rPr>
      </w:pPr>
      <w:bookmarkStart w:id="103" w:name="_Toc9541"/>
      <w:bookmarkStart w:id="104" w:name="_Toc6464"/>
      <w:r>
        <w:rPr>
          <w:rFonts w:hint="default" w:ascii="Times New Roman" w:hAnsi="Times New Roman" w:eastAsia="宋体" w:cs="Times New Roman"/>
          <w:color w:val="auto"/>
          <w:sz w:val="28"/>
          <w:szCs w:val="28"/>
        </w:rPr>
        <w:t>1.</w:t>
      </w:r>
      <w:r>
        <w:rPr>
          <w:rFonts w:hint="default" w:ascii="Times New Roman" w:hAnsi="Times New Roman" w:eastAsia="宋体" w:cs="Times New Roman"/>
          <w:color w:val="auto"/>
          <w:sz w:val="28"/>
          <w:szCs w:val="28"/>
          <w:lang w:val="en-US" w:eastAsia="zh-CN"/>
        </w:rPr>
        <w:t>7</w:t>
      </w:r>
      <w:r>
        <w:rPr>
          <w:rFonts w:hint="default" w:ascii="Times New Roman" w:hAnsi="Times New Roman" w:eastAsia="宋体" w:cs="Times New Roman"/>
          <w:color w:val="auto"/>
          <w:sz w:val="28"/>
          <w:szCs w:val="28"/>
        </w:rPr>
        <w:t>.1与《产业结构调整指导目录》</w:t>
      </w:r>
      <w:r>
        <w:rPr>
          <w:rFonts w:hint="default" w:ascii="Times New Roman" w:hAnsi="Times New Roman" w:eastAsia="宋体" w:cs="Times New Roman"/>
          <w:color w:val="auto"/>
          <w:sz w:val="28"/>
          <w:szCs w:val="28"/>
          <w:lang w:eastAsia="zh-CN"/>
        </w:rPr>
        <w:t>（</w:t>
      </w:r>
      <w:r>
        <w:rPr>
          <w:rFonts w:hint="default" w:ascii="Times New Roman" w:hAnsi="Times New Roman" w:eastAsia="宋体" w:cs="Times New Roman"/>
          <w:color w:val="auto"/>
          <w:sz w:val="28"/>
          <w:szCs w:val="28"/>
        </w:rPr>
        <w:t>201</w:t>
      </w:r>
      <w:r>
        <w:rPr>
          <w:rFonts w:hint="default" w:ascii="Times New Roman" w:hAnsi="Times New Roman" w:eastAsia="宋体" w:cs="Times New Roman"/>
          <w:color w:val="auto"/>
          <w:sz w:val="28"/>
          <w:szCs w:val="28"/>
          <w:lang w:val="en-US" w:eastAsia="zh-CN"/>
        </w:rPr>
        <w:t>9</w:t>
      </w:r>
      <w:r>
        <w:rPr>
          <w:rFonts w:hint="default" w:ascii="Times New Roman" w:hAnsi="Times New Roman" w:eastAsia="宋体" w:cs="Times New Roman"/>
          <w:color w:val="auto"/>
          <w:sz w:val="28"/>
          <w:szCs w:val="28"/>
        </w:rPr>
        <w:t>年本</w:t>
      </w:r>
      <w:r>
        <w:rPr>
          <w:rFonts w:hint="default" w:ascii="Times New Roman" w:hAnsi="Times New Roman" w:eastAsia="宋体" w:cs="Times New Roman"/>
          <w:color w:val="auto"/>
          <w:sz w:val="28"/>
          <w:szCs w:val="28"/>
          <w:lang w:eastAsia="zh-CN"/>
        </w:rPr>
        <w:t>）</w:t>
      </w:r>
      <w:r>
        <w:rPr>
          <w:rFonts w:hint="default" w:ascii="Times New Roman" w:hAnsi="Times New Roman" w:eastAsia="宋体" w:cs="Times New Roman"/>
          <w:color w:val="auto"/>
          <w:sz w:val="28"/>
          <w:szCs w:val="28"/>
        </w:rPr>
        <w:t>符合性分析</w:t>
      </w:r>
      <w:bookmarkEnd w:id="103"/>
      <w:bookmarkEnd w:id="10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本项目为</w:t>
      </w:r>
      <w:r>
        <w:rPr>
          <w:rFonts w:hint="default" w:ascii="Times New Roman" w:hAnsi="Times New Roman" w:eastAsia="宋体" w:cs="Times New Roman"/>
          <w:color w:val="auto"/>
          <w:sz w:val="24"/>
          <w:szCs w:val="24"/>
          <w:lang w:eastAsia="zh-CN"/>
        </w:rPr>
        <w:t>其它黑色金属矿采选</w:t>
      </w:r>
      <w:r>
        <w:rPr>
          <w:rFonts w:hint="default" w:ascii="Times New Roman" w:hAnsi="Times New Roman" w:eastAsia="宋体" w:cs="Times New Roman"/>
          <w:color w:val="auto"/>
          <w:sz w:val="24"/>
          <w:szCs w:val="24"/>
        </w:rPr>
        <w:t>项目，根据国家发展和改革委员会《产业结构调整指导目录</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2019年本</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》，本项目属于“</w:t>
      </w:r>
      <w:r>
        <w:rPr>
          <w:rFonts w:hint="default" w:ascii="Times New Roman" w:hAnsi="Times New Roman" w:eastAsia="宋体" w:cs="Times New Roman"/>
          <w:color w:val="auto"/>
          <w:sz w:val="24"/>
          <w:szCs w:val="24"/>
          <w:lang w:eastAsia="zh-CN"/>
        </w:rPr>
        <w:t>允许</w:t>
      </w:r>
      <w:r>
        <w:rPr>
          <w:rFonts w:hint="default" w:ascii="Times New Roman" w:hAnsi="Times New Roman" w:eastAsia="宋体" w:cs="Times New Roman"/>
          <w:color w:val="auto"/>
          <w:sz w:val="24"/>
          <w:szCs w:val="24"/>
        </w:rPr>
        <w:t>类”</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符合国家相关产业政策。</w:t>
      </w:r>
    </w:p>
    <w:p>
      <w:pPr>
        <w:pStyle w:val="73"/>
        <w:spacing w:beforeLines="50" w:line="360" w:lineRule="auto"/>
        <w:rPr>
          <w:rFonts w:hint="default" w:ascii="Times New Roman" w:hAnsi="Times New Roman" w:eastAsia="宋体" w:cs="Times New Roman"/>
          <w:color w:val="auto"/>
          <w:sz w:val="28"/>
          <w:szCs w:val="28"/>
        </w:rPr>
      </w:pPr>
      <w:bookmarkStart w:id="105" w:name="_Toc431"/>
      <w:bookmarkStart w:id="106" w:name="_Toc4358"/>
      <w:r>
        <w:rPr>
          <w:rFonts w:hint="default" w:ascii="Times New Roman" w:hAnsi="Times New Roman" w:eastAsia="宋体" w:cs="Times New Roman"/>
          <w:color w:val="auto"/>
          <w:sz w:val="28"/>
          <w:szCs w:val="28"/>
        </w:rPr>
        <w:t>1.</w:t>
      </w:r>
      <w:r>
        <w:rPr>
          <w:rFonts w:hint="default" w:ascii="Times New Roman" w:hAnsi="Times New Roman" w:eastAsia="宋体" w:cs="Times New Roman"/>
          <w:color w:val="auto"/>
          <w:sz w:val="28"/>
          <w:szCs w:val="28"/>
          <w:lang w:val="en-US" w:eastAsia="zh-CN"/>
        </w:rPr>
        <w:t>7</w:t>
      </w:r>
      <w:r>
        <w:rPr>
          <w:rFonts w:hint="default" w:ascii="Times New Roman" w:hAnsi="Times New Roman" w:eastAsia="宋体" w:cs="Times New Roman"/>
          <w:color w:val="auto"/>
          <w:sz w:val="28"/>
          <w:szCs w:val="28"/>
        </w:rPr>
        <w:t>.2</w:t>
      </w:r>
      <w:bookmarkEnd w:id="105"/>
      <w:bookmarkEnd w:id="106"/>
      <w:r>
        <w:rPr>
          <w:rFonts w:hint="default" w:ascii="Times New Roman" w:hAnsi="Times New Roman" w:eastAsia="宋体" w:cs="Times New Roman"/>
          <w:color w:val="auto"/>
          <w:sz w:val="28"/>
          <w:szCs w:val="28"/>
          <w:lang w:eastAsia="zh-CN"/>
        </w:rPr>
        <w:t>与</w:t>
      </w:r>
      <w:r>
        <w:rPr>
          <w:rFonts w:hint="default" w:ascii="Times New Roman" w:hAnsi="Times New Roman" w:eastAsia="宋体" w:cs="Times New Roman"/>
          <w:sz w:val="28"/>
          <w:szCs w:val="28"/>
        </w:rPr>
        <w:t>《钢铁产业发展政策》符合性分析</w:t>
      </w:r>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国家发展和改革委员会以第35号令于2005年7月8日经国务院授权颁布了《钢铁产业发展政策》，以指导钢铁产业的健康发展，在该产业政策第七章“第二十九条中指出：根据我国富矿少、贫矿多的资源现状，国家鼓励企业发展低品位矿采选技术，充分利用国内贫矿资源”。</w:t>
      </w:r>
    </w:p>
    <w:p>
      <w:pPr>
        <w:bidi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000000"/>
          <w:kern w:val="0"/>
          <w:sz w:val="24"/>
        </w:rPr>
        <w:t>本项目所选矿石，TFe含量平均品位为2</w:t>
      </w:r>
      <w:r>
        <w:rPr>
          <w:rFonts w:hint="default" w:ascii="Times New Roman" w:hAnsi="Times New Roman" w:eastAsia="宋体" w:cs="Times New Roman"/>
          <w:color w:val="000000"/>
          <w:kern w:val="0"/>
          <w:sz w:val="24"/>
          <w:lang w:val="en-US" w:eastAsia="zh-CN"/>
        </w:rPr>
        <w:t>3</w:t>
      </w:r>
      <w:r>
        <w:rPr>
          <w:rFonts w:hint="default" w:ascii="Times New Roman" w:hAnsi="Times New Roman" w:eastAsia="宋体" w:cs="Times New Roman"/>
          <w:color w:val="000000"/>
          <w:kern w:val="0"/>
          <w:sz w:val="24"/>
        </w:rPr>
        <w:t>％，矿石品位较低，属超贫矿类别，属《钢铁产业发展政策》中的鼓励项目</w:t>
      </w:r>
      <w:r>
        <w:rPr>
          <w:rFonts w:hint="default" w:ascii="Times New Roman" w:hAnsi="Times New Roman" w:eastAsia="宋体" w:cs="Times New Roman"/>
          <w:color w:val="auto"/>
          <w:sz w:val="24"/>
          <w:szCs w:val="24"/>
        </w:rPr>
        <w:t>。</w:t>
      </w:r>
      <w:bookmarkStart w:id="107" w:name="_Toc237"/>
    </w:p>
    <w:p>
      <w:pPr>
        <w:pStyle w:val="73"/>
        <w:spacing w:beforeLines="50" w:line="360"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1.</w:t>
      </w:r>
      <w:r>
        <w:rPr>
          <w:rFonts w:hint="default" w:ascii="Times New Roman" w:hAnsi="Times New Roman" w:eastAsia="宋体" w:cs="Times New Roman"/>
          <w:color w:val="auto"/>
          <w:sz w:val="28"/>
          <w:szCs w:val="28"/>
          <w:lang w:val="en-US" w:eastAsia="zh-CN"/>
        </w:rPr>
        <w:t>7</w:t>
      </w:r>
      <w:r>
        <w:rPr>
          <w:rFonts w:hint="default" w:ascii="Times New Roman" w:hAnsi="Times New Roman" w:eastAsia="宋体" w:cs="Times New Roman"/>
          <w:color w:val="auto"/>
          <w:sz w:val="28"/>
          <w:szCs w:val="28"/>
        </w:rPr>
        <w:t>.</w:t>
      </w:r>
      <w:r>
        <w:rPr>
          <w:rFonts w:hint="default" w:ascii="Times New Roman" w:hAnsi="Times New Roman" w:eastAsia="宋体" w:cs="Times New Roman"/>
          <w:color w:val="auto"/>
          <w:sz w:val="28"/>
          <w:szCs w:val="28"/>
          <w:lang w:val="en-US" w:eastAsia="zh-CN"/>
        </w:rPr>
        <w:t>3</w:t>
      </w:r>
      <w:r>
        <w:rPr>
          <w:rFonts w:hint="default" w:ascii="Times New Roman" w:hAnsi="Times New Roman" w:eastAsia="宋体" w:cs="Times New Roman"/>
          <w:color w:val="auto"/>
          <w:sz w:val="28"/>
          <w:szCs w:val="28"/>
        </w:rPr>
        <w:t>选址合理性分析</w:t>
      </w:r>
      <w:bookmarkEnd w:id="107"/>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本项目位于辽宁省</w:t>
      </w:r>
      <w:r>
        <w:rPr>
          <w:rFonts w:hint="default" w:ascii="Times New Roman" w:hAnsi="Times New Roman" w:eastAsia="宋体" w:cs="Times New Roman"/>
          <w:color w:val="auto"/>
          <w:kern w:val="2"/>
          <w:sz w:val="24"/>
          <w:szCs w:val="24"/>
        </w:rPr>
        <w:t>朝阳市北票市东官营乡小巴沟村</w:t>
      </w:r>
      <w:r>
        <w:rPr>
          <w:rFonts w:hint="default" w:ascii="Times New Roman" w:hAnsi="Times New Roman" w:eastAsia="宋体" w:cs="Times New Roman"/>
          <w:color w:val="000000"/>
          <w:kern w:val="0"/>
          <w:sz w:val="24"/>
        </w:rPr>
        <w:t>，评价范围内无自然保护区、风景名胜区，无特殊保护动植物。本项目原材料供应、能源、交通等设施便利，给水、排水、电力、交通等均可与本项目相衔接，具有良好的外部条件。经对产生的废气、废水、噪声及固废采取相应的污染控制措施后，对周围环境质量影响较小。</w:t>
      </w:r>
    </w:p>
    <w:p>
      <w:pPr>
        <w:widowControl/>
        <w:spacing w:beforeLines="50" w:line="360" w:lineRule="auto"/>
        <w:ind w:firstLine="480" w:firstLineChars="200"/>
        <w:jc w:val="left"/>
        <w:rPr>
          <w:rFonts w:hint="default" w:ascii="Times New Roman" w:hAnsi="Times New Roman" w:eastAsia="宋体" w:cs="Times New Roman"/>
          <w:color w:val="auto"/>
          <w:szCs w:val="24"/>
        </w:rPr>
      </w:pPr>
      <w:r>
        <w:rPr>
          <w:rFonts w:hint="default" w:ascii="Times New Roman" w:hAnsi="Times New Roman" w:eastAsia="宋体" w:cs="Times New Roman"/>
          <w:color w:val="000000"/>
          <w:kern w:val="0"/>
          <w:sz w:val="24"/>
        </w:rPr>
        <w:t>项目的建设符合国家产业政策，本项目的建设对周围环境影响较小，本项目选址是可行的。</w:t>
      </w:r>
    </w:p>
    <w:p>
      <w:pPr>
        <w:pStyle w:val="73"/>
        <w:spacing w:beforeLines="50" w:line="360" w:lineRule="auto"/>
        <w:rPr>
          <w:rFonts w:hint="default" w:ascii="Times New Roman" w:hAnsi="Times New Roman" w:eastAsia="宋体" w:cs="Times New Roman"/>
          <w:color w:val="auto"/>
          <w:sz w:val="28"/>
          <w:szCs w:val="28"/>
        </w:rPr>
      </w:pPr>
      <w:bookmarkStart w:id="108" w:name="_Toc1735"/>
      <w:r>
        <w:rPr>
          <w:rFonts w:hint="default" w:ascii="Times New Roman" w:hAnsi="Times New Roman" w:eastAsia="宋体" w:cs="Times New Roman"/>
          <w:color w:val="auto"/>
          <w:sz w:val="28"/>
          <w:szCs w:val="28"/>
        </w:rPr>
        <w:t>1.</w:t>
      </w:r>
      <w:r>
        <w:rPr>
          <w:rFonts w:hint="default" w:ascii="Times New Roman" w:hAnsi="Times New Roman" w:eastAsia="宋体" w:cs="Times New Roman"/>
          <w:color w:val="auto"/>
          <w:sz w:val="28"/>
          <w:szCs w:val="28"/>
          <w:lang w:val="en-US" w:eastAsia="zh-CN"/>
        </w:rPr>
        <w:t>7</w:t>
      </w:r>
      <w:r>
        <w:rPr>
          <w:rFonts w:hint="default" w:ascii="Times New Roman" w:hAnsi="Times New Roman" w:eastAsia="宋体" w:cs="Times New Roman"/>
          <w:color w:val="auto"/>
          <w:sz w:val="28"/>
          <w:szCs w:val="28"/>
        </w:rPr>
        <w:t>.</w:t>
      </w:r>
      <w:r>
        <w:rPr>
          <w:rFonts w:hint="default" w:ascii="Times New Roman" w:hAnsi="Times New Roman" w:eastAsia="宋体" w:cs="Times New Roman"/>
          <w:color w:val="auto"/>
          <w:sz w:val="28"/>
          <w:szCs w:val="28"/>
          <w:lang w:val="en-US" w:eastAsia="zh-CN"/>
        </w:rPr>
        <w:t>4</w:t>
      </w:r>
      <w:r>
        <w:rPr>
          <w:rFonts w:hint="default" w:ascii="Times New Roman" w:hAnsi="Times New Roman" w:eastAsia="宋体" w:cs="Times New Roman"/>
          <w:color w:val="auto"/>
          <w:sz w:val="28"/>
          <w:szCs w:val="28"/>
        </w:rPr>
        <w:t>“三线一单”符合性分析</w:t>
      </w:r>
      <w:bookmarkEnd w:id="108"/>
    </w:p>
    <w:p>
      <w:pPr>
        <w:spacing w:beforeLines="50" w:line="480" w:lineRule="exact"/>
        <w:ind w:firstLine="480" w:firstLineChars="200"/>
        <w:rPr>
          <w:rFonts w:hint="default" w:ascii="Times New Roman" w:hAnsi="Times New Roman" w:eastAsia="宋体" w:cs="Times New Roman"/>
          <w:bCs/>
          <w:color w:val="auto"/>
          <w:sz w:val="24"/>
          <w:szCs w:val="22"/>
          <w:lang w:val="zh-CN"/>
        </w:rPr>
      </w:pPr>
      <w:r>
        <w:rPr>
          <w:rFonts w:hint="default" w:ascii="Times New Roman" w:hAnsi="Times New Roman" w:eastAsia="宋体" w:cs="Times New Roman"/>
          <w:bCs/>
          <w:color w:val="auto"/>
          <w:sz w:val="24"/>
          <w:szCs w:val="22"/>
          <w:lang w:val="zh-CN"/>
        </w:rPr>
        <w:t>根据朝阳市人民政府文件《朝阳市人民政府关于实施“三线一单”生态环境分区管控的意见》（朝政发〔2021〕13号），该项目“三线一单”约束作用相符性分析见表</w:t>
      </w:r>
      <w:r>
        <w:rPr>
          <w:rFonts w:hint="default" w:ascii="Times New Roman" w:hAnsi="Times New Roman" w:eastAsia="宋体" w:cs="Times New Roman"/>
          <w:bCs/>
          <w:color w:val="auto"/>
          <w:sz w:val="24"/>
          <w:szCs w:val="22"/>
        </w:rPr>
        <w:t>1.7-</w:t>
      </w:r>
      <w:r>
        <w:rPr>
          <w:rFonts w:hint="default" w:ascii="Times New Roman" w:hAnsi="Times New Roman" w:eastAsia="宋体" w:cs="Times New Roman"/>
          <w:bCs/>
          <w:color w:val="auto"/>
          <w:sz w:val="24"/>
          <w:szCs w:val="22"/>
          <w:lang w:val="en-US" w:eastAsia="zh-CN"/>
        </w:rPr>
        <w:t>1</w:t>
      </w:r>
      <w:r>
        <w:rPr>
          <w:rFonts w:hint="default" w:ascii="Times New Roman" w:hAnsi="Times New Roman" w:eastAsia="宋体" w:cs="Times New Roman"/>
          <w:bCs/>
          <w:color w:val="auto"/>
          <w:sz w:val="24"/>
          <w:szCs w:val="22"/>
          <w:lang w:val="zh-CN"/>
        </w:rPr>
        <w:t>。</w:t>
      </w:r>
    </w:p>
    <w:p>
      <w:pPr>
        <w:spacing w:beforeLines="50" w:line="480" w:lineRule="exact"/>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表1.7-</w:t>
      </w:r>
      <w:r>
        <w:rPr>
          <w:rFonts w:hint="default" w:ascii="Times New Roman" w:hAnsi="Times New Roman" w:eastAsia="宋体" w:cs="Times New Roman"/>
          <w:bCs/>
          <w:color w:val="auto"/>
          <w:sz w:val="24"/>
          <w:lang w:val="en-US" w:eastAsia="zh-CN"/>
        </w:rPr>
        <w:t>1</w:t>
      </w:r>
      <w:r>
        <w:rPr>
          <w:rFonts w:hint="default" w:ascii="Times New Roman" w:hAnsi="Times New Roman" w:eastAsia="宋体" w:cs="Times New Roman"/>
          <w:bCs/>
          <w:color w:val="auto"/>
          <w:sz w:val="24"/>
        </w:rPr>
        <w:t xml:space="preserve"> </w:t>
      </w:r>
      <w:r>
        <w:rPr>
          <w:rFonts w:hint="default" w:ascii="Times New Roman" w:hAnsi="Times New Roman" w:eastAsia="宋体" w:cs="Times New Roman"/>
          <w:bCs/>
          <w:color w:val="auto"/>
          <w:sz w:val="24"/>
          <w:lang w:val="en-US" w:eastAsia="zh-CN"/>
        </w:rPr>
        <w:t xml:space="preserve">        </w:t>
      </w:r>
      <w:r>
        <w:rPr>
          <w:rFonts w:hint="eastAsia" w:ascii="Times New Roman" w:hAnsi="Times New Roman" w:eastAsia="宋体" w:cs="Times New Roman"/>
          <w:bCs/>
          <w:color w:val="auto"/>
          <w:sz w:val="24"/>
          <w:lang w:val="en-US" w:eastAsia="zh-CN"/>
        </w:rPr>
        <w:t xml:space="preserve">    </w:t>
      </w:r>
      <w:r>
        <w:rPr>
          <w:rFonts w:hint="default" w:ascii="Times New Roman" w:hAnsi="Times New Roman" w:eastAsia="宋体" w:cs="Times New Roman"/>
          <w:bCs/>
          <w:color w:val="auto"/>
          <w:sz w:val="24"/>
          <w:lang w:val="en-US" w:eastAsia="zh-CN"/>
        </w:rPr>
        <w:t xml:space="preserve">     </w:t>
      </w:r>
      <w:r>
        <w:rPr>
          <w:rFonts w:hint="default" w:ascii="Times New Roman" w:hAnsi="Times New Roman" w:eastAsia="宋体" w:cs="Times New Roman"/>
          <w:bCs/>
          <w:color w:val="auto"/>
          <w:sz w:val="24"/>
        </w:rPr>
        <w:t>“三线一单”约束作用相符性分析</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94"/>
        <w:gridCol w:w="239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ind w:firstLine="630" w:firstLineChars="3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朝阳市生态环境准入总体管控要求</w:t>
            </w:r>
          </w:p>
        </w:tc>
        <w:tc>
          <w:tcPr>
            <w:tcW w:w="23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该项目具体情况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88" w:type="dxa"/>
            <w:gridSpan w:val="2"/>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一、</w:t>
            </w:r>
            <w:r>
              <w:rPr>
                <w:rFonts w:hint="default" w:ascii="Times New Roman" w:hAnsi="Times New Roman" w:eastAsia="宋体" w:cs="Times New Roman"/>
                <w:color w:val="auto"/>
                <w:sz w:val="21"/>
                <w:szCs w:val="21"/>
                <w:lang w:val="en-US" w:eastAsia="zh-CN"/>
              </w:rPr>
              <w:t>空间布局约束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严格执行《关于试行辽宁省企业投资项目负面清单管理的指导意见》；禁止引进列入《产业结构调整指导目录》淘汰类的产业以及列入《市场准入负面清单》严格禁止的技术改造工艺装备及产品。</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本项目为</w:t>
            </w:r>
            <w:r>
              <w:rPr>
                <w:rFonts w:hint="default" w:ascii="Times New Roman" w:hAnsi="Times New Roman" w:eastAsia="宋体" w:cs="Times New Roman"/>
                <w:color w:val="auto"/>
                <w:sz w:val="21"/>
                <w:szCs w:val="21"/>
                <w:lang w:eastAsia="zh-CN"/>
              </w:rPr>
              <w:t>其它黑色金属矿采选</w:t>
            </w:r>
            <w:r>
              <w:rPr>
                <w:rFonts w:hint="default" w:ascii="Times New Roman" w:hAnsi="Times New Roman" w:eastAsia="宋体" w:cs="Times New Roman"/>
                <w:color w:val="auto"/>
                <w:sz w:val="21"/>
                <w:szCs w:val="21"/>
              </w:rPr>
              <w:t>项目，根据国家发展和改革委员会《产业结构调整指导目录</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2019年本</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》，本项目属于“</w:t>
            </w:r>
            <w:r>
              <w:rPr>
                <w:rFonts w:hint="default" w:ascii="Times New Roman" w:hAnsi="Times New Roman" w:eastAsia="宋体" w:cs="Times New Roman"/>
                <w:color w:val="auto"/>
                <w:sz w:val="21"/>
                <w:szCs w:val="21"/>
                <w:lang w:eastAsia="zh-CN"/>
              </w:rPr>
              <w:t>允许</w:t>
            </w:r>
            <w:r>
              <w:rPr>
                <w:rFonts w:hint="default" w:ascii="Times New Roman" w:hAnsi="Times New Roman" w:eastAsia="宋体" w:cs="Times New Roman"/>
                <w:color w:val="auto"/>
                <w:sz w:val="21"/>
                <w:szCs w:val="21"/>
              </w:rPr>
              <w:t>类”</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符合国家相关产业政策</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开发区域有：辽宁大黑山国家级自然保护区（北票市）、辽宁努鲁尔虎山国家级自然保护区（朝阳县）、辽宁北票鸟化石国家级自然保护区（北票市）。国家级风景名胜区：辽宁凤凰山国家森林公园（双塔区）；辽宁大黑山国家森林公园（北票市）。国家地质公园：辽宁朝阳鸟化石国家地质公园。省级自然保护区：朝阳清风岭省级自然保护区（朝阳县）、朝阳小凌河中华鳖省级自然保护区（朝阳县）、朝阳天秀山省级自然保护区（建平县）、朝阳椴木头沟省级自然保护区（龙城区）、朝阳楼子山省级自然保护区（喀左县）、凌源青龙河自然保护区（凌源市）、凌源青龙河源省级自然保护区（凌源市）、建平老虎洞山省级自然保护区（建平县）。</w:t>
            </w:r>
          </w:p>
        </w:tc>
        <w:tc>
          <w:tcPr>
            <w:tcW w:w="23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该项目位于北票市北票市东官营乡小巴沟村，不在禁止开发区域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根据《朝阳椴木头沟省级自然保护区管理办法（暂行）的通知》，禁止在（椴木头沟）自然保护区内进行砍伐、放牧、狩猎、捕捞、采药、开垦、烧荒、开矿、采石、挖沙等活动。</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本项目不在（椴木头沟）自然保护区内</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根据《大凌河朝阳城区段风景区管理办法》，在大凌河风景区及其外围保护地带范围内，不得建设工矿企业、医院等破坏环境、污染水源、影响堤防安全、妨碍游览的项目和设施。</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本项目不在大凌河风景区及其外围保护地带范围内</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根据《朝阳市国民经济和社会发展第十三个五年规划纲要》，禁止在饮用水水源准保护区内新建、扩建对水体污染严重的建设项目。</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本项目不在饮用水水源准保护区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根据《朝阳市环境保护“十四五”规划》，严格项目环境准入，推动新建、转移产业项目依据产业类型进入相应工业园区；有序推进城区工业企业“退城入园”，促进企业转型升级；重点区域原则上禁止新建露天矿山建设项目；青龙河源头生物多样性保护与水源涵养生态功能区以及宫山嘴水库等区域限制金、铁、石灰石等矿产开发活动。</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该项目位于北票市北票市东官营乡小巴沟村，不在重点区域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根据《朝阳市水资源管理条例》，在农村饮用水水源保护区或保护范围内，禁止新建、改建、扩建与供水设施和保护水源无关的建设项目及影响饮水井取水量的其他取水设施。禁止在农村饮水工程管理范围内设置排污口，排放污水等污染物；禁止建设渗水厕所、渗水坑；禁止养殖畜禽；禁止堆放秸秆、粪便、废弃物；禁止使用不符合国家标准的化肥、农药或者从事其他可能污染饮用水体的活动。</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本项目不在农村饮用水水源保护区或保护范围内</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根据《朝阳市土壤污染防治工作方案》《污染地块土壤环境管理办法（试行）》《工矿用地土壤环境管理办法(试行)》，在永久基本农田集中区域，不得新建任何可能造成土壤污染的项目；严格控制在优先保护类耕地集中区域新建有色金属冶炼、石油化工、化工、焦化、电镀、制革等行业企业，有关主管部门依法不予审批可能造成耕地土壤污染的建设项目环境影响报告书或者报告表；控制和引导土壤污染重点监管单位规模和布局，主要包括以下行业企业：有色金属冶炼、石油加工、化工、焦化、电镀、制革等行业中纳入排污许可重点管理的企业，有色金属矿采选、石油开采行业规模以上企业，其他根据有关规定纳入土壤环境污染重点监管单位名录的企业事业单位。</w:t>
            </w:r>
          </w:p>
        </w:tc>
        <w:tc>
          <w:tcPr>
            <w:tcW w:w="23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本项目所在地属于工业用地，不占用基本农田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根据《朝阳市环境保护“十三五”规划》《朝阳市建设高污染燃料禁燃区实施方案》，城市建成区要结合大型热电企业建设，实行集中供热，不再批准建设新的分散燃煤锅炉；所有新建燃煤热源须经市主管部门审批后方可开工建设，工业园区、新城镇只规划建设一个区域高效热源或依托大型热电联产企业集中供热；完善配套环境污染治理设施建设，各类建设项目必须严格按照产业布局和环境准入情况进入相应的产业园区和发展平台。</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本项目采用电取暖</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88" w:type="dxa"/>
            <w:gridSpan w:val="2"/>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二、</w:t>
            </w:r>
            <w:r>
              <w:rPr>
                <w:rFonts w:hint="default" w:ascii="Times New Roman" w:hAnsi="Times New Roman" w:eastAsia="宋体" w:cs="Times New Roman"/>
                <w:color w:val="auto"/>
                <w:sz w:val="21"/>
                <w:szCs w:val="21"/>
                <w:lang w:val="en-US" w:eastAsia="zh-CN"/>
              </w:rPr>
              <w:t>污染物排放管控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辽宁省水污染防治工作方案》《朝阳市实行最严格水资源管理制度“十三五”工作方案》，造纸行业完成纸浆无元素氯漂白改造或采取其他低污染制浆技术，钢铁企业焦炉完成干熄焦技术改造，氮肥行业尿素生产完成工艺冷凝液水解解析技术改造，印染行业实施低排水染整工艺改造，制革行业实施铬减量化和封闭循环利用技术改造；推进污水处理厂和处理设施新、改、扩建工程，进一步提高污水处理设施出水水质；实施污水再生利用，提高污水再生利用率；补齐污水配套管网短板，提升污泥处理处置能力，推进雨污分流。</w:t>
            </w:r>
          </w:p>
        </w:tc>
        <w:tc>
          <w:tcPr>
            <w:tcW w:w="2394" w:type="dxa"/>
            <w:vAlign w:val="center"/>
          </w:tcPr>
          <w:p>
            <w:pPr>
              <w:spacing w:line="240" w:lineRule="auto"/>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本项目为生产废水全部循环使用不外排，符合要求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根据《朝阳市打赢蓝天保卫战三年行动方案》《中共朝阳市委 朝阳市人民政府关于全面加强生态环境保护坚决打好污染防治攻坚战的实施意见》《朝阳市生态环境保护十四五规划》，大气环境受体敏感重点管控区禁止焚烧秸秆、工业废弃物、环卫清扫物、建筑垃圾、生活垃圾等废弃物，加强餐饮服务业燃料烟气及油烟防治，鼓励餐饮业及居民生活能源使用天然气、液化石油气、生物酒精等洁净能源，重点防控机动车废气排放，综合整治扬尘污染，城市建成区生物质锅炉实施超低排放改造；到2025年，NOx、VOCs、SO2等主要污染物排放量大幅度削减，冬春季以PM2.5为主要污染物的重污染天数减少到5天以内，夏季O3污染加重的趋势得到遏制，力争全年PM2.5浓度下降至35微克/立方米以内，空气质量优良天数比例保持在88%以上，空气质量持续改善；实行区域性削峰管控，一区一策开展大气污染防治工作，市区主要治理O3、PM2.5、PM10污染，凌源市主要治理PM2.5污染，喀左县主要治理O3污染，北票市主要治理CO污染并开展重污染天气应对</w:t>
            </w:r>
            <w:r>
              <w:rPr>
                <w:rFonts w:hint="default" w:ascii="Times New Roman" w:hAnsi="Times New Roman" w:eastAsia="宋体" w:cs="Times New Roman"/>
                <w:color w:val="auto"/>
                <w:sz w:val="21"/>
                <w:szCs w:val="21"/>
                <w:lang w:eastAsia="zh-CN"/>
              </w:rPr>
              <w:t>。</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本项目废气仅为颗粒物</w:t>
            </w:r>
            <w:r>
              <w:rPr>
                <w:rFonts w:hint="default" w:ascii="Times New Roman" w:hAnsi="Times New Roman" w:eastAsia="宋体" w:cs="Times New Roman"/>
                <w:color w:val="auto"/>
                <w:sz w:val="21"/>
                <w:szCs w:val="21"/>
                <w:lang w:eastAsia="zh-CN"/>
              </w:rPr>
              <w:t>，经处理后</w:t>
            </w:r>
            <w:r>
              <w:rPr>
                <w:rFonts w:hint="default" w:ascii="Times New Roman" w:hAnsi="Times New Roman" w:eastAsia="宋体" w:cs="Times New Roman"/>
                <w:color w:val="auto"/>
                <w:sz w:val="21"/>
                <w:szCs w:val="21"/>
                <w:lang w:val="en-US" w:eastAsia="zh-CN"/>
              </w:rPr>
              <w:t>排放量较小，可以达标排放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朝阳市土壤污染防治工作方案》《朝阳市“十三五”节能减排综合工作实施方案》《朝阳市生态文明先行示范区建设实施方案》《朝阳市突破辽西北暨推进县域经济发展三年攻坚计划》，加大畜禽养殖行业环境监管，促进畜禽规模养殖场粪便污水收集处理和资源化利用，建设秸秆、粪便等有机废物处理设施；推广使用生物化肥，防止和解决耕地板结、土壤毒化、贵金属超标问题，推进重金属污染治理；加强农膜科学使用，推广使用生物化肥，防止和解决耕地板结、土壤毒化问题，推进重金属污染治理；生产、使用、贮存、运输、回收、处置排放有毒有害物质的单位和个人，应当采取有效措施，防止有毒有害物质渗漏、流失、扬散，避免土壤受到污染；企事业单位拆除设施、设备或者建筑物、构筑物的，应当采取相应的土壤污染防治措施。土壤污染重点监管单位拆除设施、设备或者建筑物、构筑物的，应当制定包括应急措施在内的土壤污染防治工作方案，报地方人民政府生态环境主管部门备案并实施</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本项目不涉及重金属</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88" w:type="dxa"/>
            <w:gridSpan w:val="2"/>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三、环境风险防控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根据《中共朝阳市委 朝阳市人民政府关于全面加强生态环境保护坚决打好污染防治攻坚战的实施意见》，排气口高度超过45米的高架源，以及化工、包装印刷、工业涂装等挥发性有机物排放重点源纳入重点排污单位名录，督促企业安装烟气排放自动监控设施；将挥发性有机物重点源纳入重点排污单位名录，主要排污口安装挥发性有机物自动监测设备，并与环保部门联网</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本项目不涉及</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朝阳市土壤污染防治工作方案》《朝阳市城镇人口密集区危险化学品生产企业搬迁改造实施方案》，按照国家有关环境标准和技术规范，编制风险管控方案，对暂不开发利用的污染地块，实施以防止污染扩散为目的的风险管控；对拟开发利用为居住用地和商业、学校、医疗、养老机构等公共设施用地的污染地块，实施以安全利用为目的的风险管控；各类涉及土地利用的规划和可能造成土壤污染的建设项目，应当依法进行环境影响评价；重点行业企业新、改、扩建项目用地应当符合或者有关建设用地土壤污染风险管控标准；项目用地污染物含量超过有关建设用地土壤污染风险管控标准的，参照污染地块土壤环境管理有关规定开展调查、评估、治理与修复等活动；对于医疗废物等危险固废采取外协集中处理，市内不设工业危废处置企业；化学品生产存贮销售企业工业集聚区、矿山开采区、尾矿库、危险废物处置场、垃圾填埋场等运营、管理单位，应当采取防渗漏等措施，并建设地下水水质监测井进行监测，防止地下水污染；加强项目审批、选址、安全、环保等环节的管理措施，严禁搬迁改造企业在原址新建、扩建危险化学品项目</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本项目所在地土壤监测数据</w:t>
            </w:r>
            <w:r>
              <w:rPr>
                <w:rFonts w:hint="default" w:ascii="Times New Roman" w:hAnsi="Times New Roman" w:eastAsia="宋体" w:cs="Times New Roman"/>
                <w:color w:val="auto"/>
                <w:sz w:val="21"/>
                <w:szCs w:val="21"/>
              </w:rPr>
              <w:t>符合建设用地土壤污染风险管控标准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朝阳市生态环境保护十四五规划》，开展农村饮用水水源水质监测及环境风险排查整治，加强水源周边生活污水、垃圾及畜禽养殖废弃物的处理处置及化工、造纸、冶炼、制药等重点行业及重点污染源风险防范，确保农村居民饮水安全；推进园区技术升级，创新污染控制技术，完善废物资源化利用水平，强化环境安全，消除环境风险；加强园区环保设施建设，建设集中供热设施、污水集中处理设施、固废集中处理设施等</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本项目不涉及</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88" w:type="dxa"/>
            <w:gridSpan w:val="2"/>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四、资源利用要求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朝阳市生态环境保护十四五规划》，以柳城经济技术开发区为试点开展园区中水回用，2023年实现园区中水全部回用。利用信息化手段加强排放监管，安装自动在线监控装置，防范偷排直排现象发生；强化造纸、印染、化工、制革、电镀等企业污染治理设施运维管理和清洁化改造，鼓励高耗水企业废水深度回用；“十四五”时期，实现万元国内生产总值用水量下降比例12%，万元工业增加值用水量下降比例8%；实施煤炭消费总量控制，降低煤炭消耗量。耗煤新项目实施煤炭减量替代，按照朝阳市“十四五”国民经济和社会发展规划，控制煤炭消耗总量和煤炭消费比例。</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本项目不涉及</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据《辽宁省节约用水条例》《朝阳市黑臭水体治理攻坚战实施方案》，公共建筑应当使用节水型器具，保障用水设备、器具和管网正常运行，已建成的公共建筑未使用节水型器具的，应当进行节能化改造，国家机关、事业单位、社会团体等公共机构应当率先安装使用节水型设备和器具，鼓励居民家庭使用节水型器具；城镇绿化、环境卫生、建筑施工、道路维护等市政用水和观赏性景观、生态湿地等环境用水，具备使用再生水、雨水等非传统水源条件的，应当使用；集中办公的机关、学校、宾馆饭店、住宅小区等适宜使用再生水的，应当鼓励使用；推进朝阳市管辖内高速公路服务区污水处理和利用，具备使用再生水条件但未充分利用的工业项目不再批准其新增取水许可；自2017年起，单体建筑面积超过2万平方米的新建公共建筑必须安装建筑中水设施，并积极推动其他新建住房安装建筑中水设施。</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本项目为生产废水全部循环使用不外排，符合要求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辽宁省地下水保护条例》《朝阳市人民政府关于实行最严格水资源管理制度的实施意见》，建立取水许可总量指标体系，对已经超采或取水总量基本达到允许开采量、生态环境不断恶化的区域，实行取水许可限批和禁批，控制新增用水过快增长；继续实行区域地下水禁采、限采制度，在地下水保护区、城市公共供水管网覆盖区、水库等地表水能够供水区域和无防止地下水污染措施的地区，停止批建新的地下水取水工程，不再新增地下水取水指标</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本项目已取得地下水取水许可证，见附件</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朝阳市建设高污染燃料禁燃区实施方案》，朝阳市高污染禁燃区包括以下六个区块：燕都新区建成区、凤凰新城、锦承铁路以东老城区、锦承铁路以西生活区、豪德及周边配套服务区、鸟化石国家地质公园。禁燃区管理：一、禁燃区内禁止销售、使用、转运、存放高污染燃料。二、除城中村等暂不具备条件推行天然气等清洁能源的区域外，禁燃区内禁止燃用蜂窝煤；城中村等暂不具备条件推行天热气等清洁能源的区域燃用蜂窝煤的，煤质必须符合《民用蜂窝煤》（GB/T13593-1992）规定并且硫含量小于0.3%。三、禁燃区及控制区内集中供热企业必须使用符合国标《GB/T15224.2-2010》的低硫低灰煤，不得擅自改用其它类型的高污染燃料，同时要建设运行高效除尘、脱硫、脱硝设施，确保大气污染物达标排放。四、禁燃区内不得新建、改建、扩建任何燃用高污染燃料的设备。包括：所有燃用高污染燃料的蒸汽和热水锅炉，各类窑炉及加热装置等；所有经营性和非经营性餐饮业、服务业燃用高污染燃料的炉灶、炉具等。五、燃用生物质成型燃料必须配备生物质成型燃料专用锅炉，并按规定安装除尘设施。“生物质成型燃料”必须符合《生物质固体成型燃料技术条件》（NY/T1878-2010）国家行业标准</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本项目采用电取暖，不使用高污染燃料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94" w:type="dxa"/>
            <w:vAlign w:val="center"/>
          </w:tcPr>
          <w:p>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朝阳市打赢蓝天保卫战三年行动方案》《朝阳市生态文明先行示范区建设实施方案》《朝阳市贯彻落实中央第三环境保护督察组督察反馈意见整改方案》，大气环境优先保护区禁止使用煤、煤矸石、燃料油（重油和渣油）、石油焦、污染物含量超过国家限值的柴油、煤油等高污染燃料，使用天然气、液化石油气、太阳能、电能等清洁能源；推进建平县陶瓷园区内建材企业进行天然气清洁能源替代；各县（市）区城市建成区新、改、扩建热源，单台燃煤锅炉蒸发量原则上不小于65蒸吨/小时，其他区域禁止新、改、扩建单台蒸发量小于20蒸吨/小时的燃煤锅炉；基本淘汰热电联产供热管网覆盖范围内的燃煤加热、烘干炉（窑）；淘汰炉膛直径3米以下燃料类煤气发生炉；以冶金、建材、石化行业为重点，实施煤改气和油改气，加快推进工业燃料的天然气替代。</w:t>
            </w:r>
          </w:p>
        </w:tc>
        <w:tc>
          <w:tcPr>
            <w:tcW w:w="2394" w:type="dxa"/>
            <w:vAlign w:val="center"/>
          </w:tcPr>
          <w:p>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本项目采用电取暖</w:t>
            </w:r>
          </w:p>
        </w:tc>
      </w:tr>
    </w:tbl>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综上可知，该项目建设符合“三线一单”相关要求。</w:t>
      </w:r>
    </w:p>
    <w:p>
      <w:pPr>
        <w:pStyle w:val="73"/>
        <w:spacing w:beforeLines="50" w:line="360" w:lineRule="auto"/>
        <w:rPr>
          <w:rFonts w:hint="default" w:ascii="Times New Roman" w:hAnsi="Times New Roman" w:eastAsia="宋体" w:cs="Times New Roman"/>
          <w:color w:val="auto"/>
          <w:sz w:val="28"/>
          <w:szCs w:val="28"/>
        </w:rPr>
      </w:pPr>
      <w:bookmarkStart w:id="109" w:name="_Toc8942"/>
      <w:r>
        <w:rPr>
          <w:rFonts w:hint="default" w:ascii="Times New Roman" w:hAnsi="Times New Roman" w:eastAsia="宋体" w:cs="Times New Roman"/>
          <w:color w:val="auto"/>
          <w:sz w:val="28"/>
          <w:szCs w:val="28"/>
        </w:rPr>
        <w:t>1.</w:t>
      </w:r>
      <w:r>
        <w:rPr>
          <w:rFonts w:hint="default" w:ascii="Times New Roman" w:hAnsi="Times New Roman" w:eastAsia="宋体" w:cs="Times New Roman"/>
          <w:color w:val="auto"/>
          <w:sz w:val="28"/>
          <w:szCs w:val="28"/>
          <w:lang w:val="en-US" w:eastAsia="zh-CN"/>
        </w:rPr>
        <w:t>7</w:t>
      </w:r>
      <w:r>
        <w:rPr>
          <w:rFonts w:hint="default" w:ascii="Times New Roman" w:hAnsi="Times New Roman" w:eastAsia="宋体" w:cs="Times New Roman"/>
          <w:color w:val="auto"/>
          <w:sz w:val="28"/>
          <w:szCs w:val="28"/>
        </w:rPr>
        <w:t>.</w:t>
      </w:r>
      <w:r>
        <w:rPr>
          <w:rFonts w:hint="default" w:ascii="Times New Roman" w:hAnsi="Times New Roman" w:eastAsia="宋体" w:cs="Times New Roman"/>
          <w:color w:val="auto"/>
          <w:sz w:val="28"/>
          <w:szCs w:val="28"/>
          <w:lang w:val="en-US" w:eastAsia="zh-CN"/>
        </w:rPr>
        <w:t>5</w:t>
      </w:r>
      <w:r>
        <w:rPr>
          <w:rFonts w:hint="default" w:ascii="Times New Roman" w:hAnsi="Times New Roman" w:eastAsia="宋体" w:cs="Times New Roman"/>
          <w:color w:val="auto"/>
          <w:sz w:val="28"/>
          <w:szCs w:val="28"/>
        </w:rPr>
        <w:t>环境管理政策相符性分析</w:t>
      </w:r>
      <w:bookmarkEnd w:id="109"/>
    </w:p>
    <w:p>
      <w:pPr>
        <w:spacing w:line="360" w:lineRule="auto"/>
        <w:ind w:firstLine="482"/>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rPr>
        <w:t>该项目与</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bCs/>
          <w:color w:val="auto"/>
          <w:sz w:val="24"/>
          <w:szCs w:val="24"/>
          <w:lang w:bidi="ar"/>
        </w:rPr>
        <w:t>大气污染防治行动计划</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bCs/>
          <w:color w:val="auto"/>
          <w:sz w:val="24"/>
          <w:szCs w:val="24"/>
          <w:lang w:bidi="ar"/>
        </w:rPr>
        <w:t>水污染防治行动计划</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土壤污染防治行动计划</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现行环境管理要求的相符性分析</w:t>
      </w:r>
      <w:r>
        <w:rPr>
          <w:rFonts w:hint="default" w:ascii="Times New Roman" w:hAnsi="Times New Roman" w:eastAsia="宋体" w:cs="Times New Roman"/>
          <w:color w:val="auto"/>
          <w:sz w:val="24"/>
          <w:szCs w:val="24"/>
          <w:lang w:eastAsia="zh-CN"/>
        </w:rPr>
        <w:t>。</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表1.7-2                   环境管理政策相符性分析</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
      <w:tblGrid>
        <w:gridCol w:w="1805"/>
        <w:gridCol w:w="4806"/>
        <w:gridCol w:w="1007"/>
        <w:gridCol w:w="1670"/>
      </w:tblGrid>
      <w:tr>
        <w:tblPrEx>
          <w:tblBorders>
            <w:top w:val="single" w:color="auto" w:sz="4" w:space="0"/>
            <w:left w:val="none" w:color="auto" w:sz="0" w:space="0"/>
            <w:bottom w:val="sing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名称</w:t>
            </w:r>
          </w:p>
        </w:tc>
        <w:tc>
          <w:tcPr>
            <w:tcW w:w="4806"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政策要求</w:t>
            </w:r>
          </w:p>
        </w:tc>
        <w:tc>
          <w:tcPr>
            <w:tcW w:w="1007"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符合性</w:t>
            </w:r>
          </w:p>
        </w:tc>
        <w:tc>
          <w:tcPr>
            <w:tcW w:w="1670"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说明</w:t>
            </w:r>
          </w:p>
        </w:tc>
      </w:tr>
      <w:tr>
        <w:tblPrEx>
          <w:tblBorders>
            <w:top w:val="single" w:color="auto" w:sz="4" w:space="0"/>
            <w:left w:val="none" w:color="auto" w:sz="0" w:space="0"/>
            <w:bottom w:val="sing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restart"/>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《大气污染防治行动计划》（国发[2013]37号）2013年9月10日</w:t>
            </w:r>
          </w:p>
        </w:tc>
        <w:tc>
          <w:tcPr>
            <w:tcW w:w="4806"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加强工业企业大气污染综合治理。全面整治燃煤小锅炉。加快推进集中供热、“煤改气”、“煤改电”工程建设，到2017年，除必要保留的以外，地级及以上城市建成区基本淘汰每小时10蒸吨及以下的燃煤锅炉，禁止新建每小时20蒸吨以下的燃煤锅炉；其他地区原则上不再新建每小时10蒸吨以下的燃煤锅炉</w:t>
            </w:r>
          </w:p>
        </w:tc>
        <w:tc>
          <w:tcPr>
            <w:tcW w:w="1007"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符合</w:t>
            </w:r>
          </w:p>
        </w:tc>
        <w:tc>
          <w:tcPr>
            <w:tcW w:w="1670" w:type="dxa"/>
            <w:vMerge w:val="restart"/>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 w:val="21"/>
                <w:szCs w:val="21"/>
                <w:lang w:eastAsia="zh-CN" w:bidi="ar"/>
              </w:rPr>
              <w:t>本项目</w:t>
            </w:r>
            <w:r>
              <w:rPr>
                <w:rFonts w:hint="default" w:ascii="Times New Roman" w:hAnsi="Times New Roman" w:eastAsia="宋体" w:cs="Times New Roman"/>
                <w:bCs/>
                <w:color w:val="auto"/>
                <w:sz w:val="21"/>
                <w:szCs w:val="21"/>
                <w:lang w:bidi="ar"/>
              </w:rPr>
              <w:t>不新建热源</w:t>
            </w:r>
          </w:p>
        </w:tc>
      </w:tr>
      <w:tr>
        <w:tblPrEx>
          <w:tblBorders>
            <w:top w:val="single" w:color="auto" w:sz="4" w:space="0"/>
            <w:left w:val="none" w:color="auto" w:sz="0" w:space="0"/>
            <w:bottom w:val="sing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continue"/>
            <w:noWrap w:val="0"/>
            <w:vAlign w:val="center"/>
          </w:tcPr>
          <w:p>
            <w:pPr>
              <w:jc w:val="center"/>
              <w:rPr>
                <w:rFonts w:hint="default" w:ascii="Times New Roman" w:hAnsi="Times New Roman" w:eastAsia="宋体" w:cs="Times New Roman"/>
                <w:color w:val="auto"/>
                <w:szCs w:val="21"/>
              </w:rPr>
            </w:pPr>
          </w:p>
        </w:tc>
        <w:tc>
          <w:tcPr>
            <w:tcW w:w="4806"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控制煤炭消费总量。制定国家煤炭消费总量中长期控制目标，实行目标责任管理。到2017年，煤炭占能源消费总量比重降低到65%以下</w:t>
            </w:r>
          </w:p>
        </w:tc>
        <w:tc>
          <w:tcPr>
            <w:tcW w:w="1007"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符合</w:t>
            </w:r>
          </w:p>
        </w:tc>
        <w:tc>
          <w:tcPr>
            <w:tcW w:w="1670" w:type="dxa"/>
            <w:vMerge w:val="continue"/>
            <w:noWrap w:val="0"/>
            <w:vAlign w:val="center"/>
          </w:tcPr>
          <w:p>
            <w:pPr>
              <w:jc w:val="center"/>
              <w:rPr>
                <w:rFonts w:hint="default" w:ascii="Times New Roman" w:hAnsi="Times New Roman" w:eastAsia="宋体" w:cs="Times New Roman"/>
                <w:color w:val="auto"/>
                <w:szCs w:val="21"/>
              </w:rPr>
            </w:pPr>
          </w:p>
        </w:tc>
      </w:tr>
      <w:tr>
        <w:tblPrEx>
          <w:tblBorders>
            <w:top w:val="single" w:color="auto" w:sz="4" w:space="0"/>
            <w:left w:val="none" w:color="auto" w:sz="0" w:space="0"/>
            <w:bottom w:val="sing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continue"/>
            <w:noWrap w:val="0"/>
            <w:vAlign w:val="center"/>
          </w:tcPr>
          <w:p>
            <w:pPr>
              <w:jc w:val="center"/>
              <w:rPr>
                <w:rFonts w:hint="default" w:ascii="Times New Roman" w:hAnsi="Times New Roman" w:eastAsia="宋体" w:cs="Times New Roman"/>
                <w:color w:val="auto"/>
                <w:szCs w:val="21"/>
              </w:rPr>
            </w:pPr>
          </w:p>
        </w:tc>
        <w:tc>
          <w:tcPr>
            <w:tcW w:w="4806"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强化企业施治。企业是大气污染治理的责任主体，要按照环保规范要求，加强内部管理，增加资金投入，采用先进的生产工艺和治理技术，确保达标排放，甚至达到“零排放”；要自觉履行环境保护的社会责任，接受社会监督</w:t>
            </w:r>
          </w:p>
        </w:tc>
        <w:tc>
          <w:tcPr>
            <w:tcW w:w="1007"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符合</w:t>
            </w:r>
          </w:p>
        </w:tc>
        <w:tc>
          <w:tcPr>
            <w:tcW w:w="1670"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val="en-US" w:eastAsia="zh-CN" w:bidi="ar"/>
              </w:rPr>
              <w:t>本</w:t>
            </w:r>
            <w:r>
              <w:rPr>
                <w:rFonts w:hint="default" w:ascii="Times New Roman" w:hAnsi="Times New Roman" w:eastAsia="宋体" w:cs="Times New Roman"/>
                <w:bCs/>
                <w:color w:val="auto"/>
                <w:szCs w:val="21"/>
                <w:lang w:bidi="ar"/>
              </w:rPr>
              <w:t>项目</w:t>
            </w:r>
            <w:r>
              <w:rPr>
                <w:rFonts w:hint="default" w:ascii="Times New Roman" w:hAnsi="Times New Roman" w:eastAsia="宋体" w:cs="Times New Roman"/>
                <w:bCs/>
                <w:color w:val="auto"/>
                <w:szCs w:val="21"/>
                <w:lang w:val="en-US" w:eastAsia="zh-CN" w:bidi="ar"/>
              </w:rPr>
              <w:t>采用布袋除尘器等工艺处理废气</w:t>
            </w:r>
            <w:r>
              <w:rPr>
                <w:rFonts w:hint="default" w:ascii="Times New Roman" w:hAnsi="Times New Roman" w:eastAsia="宋体" w:cs="Times New Roman"/>
                <w:bCs/>
                <w:color w:val="auto"/>
                <w:szCs w:val="21"/>
                <w:lang w:bidi="ar"/>
              </w:rPr>
              <w:t>，确保废气达标排放</w:t>
            </w:r>
          </w:p>
        </w:tc>
      </w:tr>
      <w:tr>
        <w:tblPrEx>
          <w:tblBorders>
            <w:top w:val="single" w:color="auto" w:sz="4" w:space="0"/>
            <w:left w:val="none" w:color="auto" w:sz="0" w:space="0"/>
            <w:bottom w:val="sing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restart"/>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《水污染防治行动计划》（国发[2015]17号） 2015年4月16日</w:t>
            </w:r>
          </w:p>
        </w:tc>
        <w:tc>
          <w:tcPr>
            <w:tcW w:w="4806"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严控地下水超采。在地面沉降、地裂缝、岩溶塌陷等地质灾害易发区开发利用地下水，应进行地质灾害危险性评估。严格控制开采深层承压水，地热水、矿泉水开发应严格实行取水许可和采矿许可。依法规范机井建设管理，排查登记已建机井，未经批准的和公共供水管网覆盖范围内的自备水井，一律予以关闭。</w:t>
            </w:r>
          </w:p>
        </w:tc>
        <w:tc>
          <w:tcPr>
            <w:tcW w:w="1007"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符合</w:t>
            </w:r>
          </w:p>
        </w:tc>
        <w:tc>
          <w:tcPr>
            <w:tcW w:w="1670"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本项目无生产废水排放；生活污水排入</w:t>
            </w:r>
            <w:r>
              <w:rPr>
                <w:rFonts w:hint="default" w:ascii="Times New Roman" w:hAnsi="Times New Roman" w:eastAsia="宋体" w:cs="Times New Roman"/>
                <w:bCs/>
                <w:color w:val="auto"/>
                <w:szCs w:val="21"/>
                <w:lang w:eastAsia="zh-CN" w:bidi="ar"/>
              </w:rPr>
              <w:t>厂区内化粪池，定期清掏</w:t>
            </w:r>
            <w:r>
              <w:rPr>
                <w:rFonts w:hint="default" w:ascii="Times New Roman" w:hAnsi="Times New Roman" w:eastAsia="宋体" w:cs="Times New Roman"/>
                <w:bCs/>
                <w:color w:val="auto"/>
                <w:szCs w:val="21"/>
                <w:lang w:bidi="ar"/>
              </w:rPr>
              <w:t>。</w:t>
            </w:r>
          </w:p>
        </w:tc>
      </w:tr>
      <w:tr>
        <w:tblPrEx>
          <w:tblBorders>
            <w:top w:val="single" w:color="auto" w:sz="4" w:space="0"/>
            <w:left w:val="none" w:color="auto" w:sz="0" w:space="0"/>
            <w:bottom w:val="sing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continue"/>
            <w:noWrap w:val="0"/>
            <w:vAlign w:val="center"/>
          </w:tcPr>
          <w:p>
            <w:pPr>
              <w:jc w:val="center"/>
              <w:rPr>
                <w:rFonts w:hint="default" w:ascii="Times New Roman" w:hAnsi="Times New Roman" w:eastAsia="宋体" w:cs="Times New Roman"/>
                <w:color w:val="auto"/>
                <w:szCs w:val="21"/>
              </w:rPr>
            </w:pPr>
          </w:p>
        </w:tc>
        <w:tc>
          <w:tcPr>
            <w:tcW w:w="4806"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落实排污单位主体责任。各类排污单位要严格执行环保法律法规和制度，加强污染治理设施建设和运行管理，开展自行监测，落实治污减排、环境风险防范等责任。中央企业和国有企业要带头落实，工业集聚区内的企业要探索建立环保自律机制</w:t>
            </w:r>
          </w:p>
        </w:tc>
        <w:tc>
          <w:tcPr>
            <w:tcW w:w="1007"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bidi="ar"/>
              </w:rPr>
              <w:t>符合</w:t>
            </w:r>
          </w:p>
        </w:tc>
        <w:tc>
          <w:tcPr>
            <w:tcW w:w="1670"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本项目制定自行监测计划，并严格执行</w:t>
            </w:r>
          </w:p>
        </w:tc>
      </w:tr>
      <w:tr>
        <w:tblPrEx>
          <w:tblBorders>
            <w:top w:val="single" w:color="auto" w:sz="4" w:space="0"/>
            <w:left w:val="none" w:color="auto" w:sz="0" w:space="0"/>
            <w:bottom w:val="single" w:color="auto" w:sz="4"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atLeast"/>
          <w:jc w:val="center"/>
        </w:trPr>
        <w:tc>
          <w:tcPr>
            <w:tcW w:w="180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《土壤污染防治行动计划》（国发[2016]31号） 2016年5月28日</w:t>
            </w:r>
          </w:p>
        </w:tc>
        <w:tc>
          <w:tcPr>
            <w:tcW w:w="4806" w:type="dxa"/>
            <w:noWrap w:val="0"/>
            <w:vAlign w:val="center"/>
          </w:tcPr>
          <w:p>
            <w:pPr>
              <w:adjustRightInd w:val="0"/>
              <w:jc w:val="center"/>
              <w:rPr>
                <w:rFonts w:hint="default" w:ascii="Times New Roman" w:hAnsi="Times New Roman" w:eastAsia="宋体" w:cs="Times New Roman"/>
                <w:bCs/>
                <w:color w:val="auto"/>
                <w:szCs w:val="21"/>
                <w:lang w:bidi="ar"/>
              </w:rPr>
            </w:pPr>
            <w:r>
              <w:rPr>
                <w:rFonts w:hint="default" w:ascii="Times New Roman" w:hAnsi="Times New Roman" w:eastAsia="宋体" w:cs="Times New Roman"/>
                <w:bCs/>
                <w:color w:val="auto"/>
                <w:szCs w:val="21"/>
                <w:lang w:bidi="ar"/>
              </w:rPr>
              <w:t>加强工业废物处理处置。全面整治尾矿、煤矸石、工业副产石膏、粉煤灰、赤泥、冶炼渣、电石渣、铬渣、砷渣以及脱硫、脱硝、除尘产生固体废物的堆存场所，完善防扬散、防流失、防渗漏等设施，制定整治方案并有序实施。加强工业固体废物综合利用。对电子废物、废轮胎、废塑料等再生利用活动进行清理整顿，引导有关企业采用先进适用加工工艺、集聚发展，集中建设和运营污染治理设施，防止污染土壤和地下水。自2017年起，在京津冀、长三角、珠三角等地区的部分城市开展污水与污泥、废气与废渣协同治理试点。</w:t>
            </w:r>
          </w:p>
        </w:tc>
        <w:tc>
          <w:tcPr>
            <w:tcW w:w="1007" w:type="dxa"/>
            <w:noWrap w:val="0"/>
            <w:vAlign w:val="center"/>
          </w:tcPr>
          <w:p>
            <w:pPr>
              <w:adjustRightInd w:val="0"/>
              <w:jc w:val="center"/>
              <w:rPr>
                <w:rFonts w:hint="default" w:ascii="Times New Roman" w:hAnsi="Times New Roman" w:eastAsia="宋体" w:cs="Times New Roman"/>
                <w:bCs/>
                <w:color w:val="auto"/>
                <w:szCs w:val="21"/>
                <w:lang w:bidi="ar"/>
              </w:rPr>
            </w:pPr>
            <w:r>
              <w:rPr>
                <w:rFonts w:hint="default" w:ascii="Times New Roman" w:hAnsi="Times New Roman" w:eastAsia="宋体" w:cs="Times New Roman"/>
                <w:bCs/>
                <w:color w:val="auto"/>
                <w:szCs w:val="21"/>
                <w:lang w:bidi="ar"/>
              </w:rPr>
              <w:t>符合</w:t>
            </w:r>
          </w:p>
        </w:tc>
        <w:tc>
          <w:tcPr>
            <w:tcW w:w="1670" w:type="dxa"/>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val="en-US" w:eastAsia="zh-CN"/>
              </w:rPr>
              <w:t>本</w:t>
            </w:r>
            <w:r>
              <w:rPr>
                <w:rFonts w:hint="default" w:ascii="Times New Roman" w:hAnsi="Times New Roman" w:eastAsia="宋体" w:cs="Times New Roman"/>
                <w:bCs/>
                <w:color w:val="auto"/>
                <w:szCs w:val="21"/>
              </w:rPr>
              <w:t>项目固体废物</w:t>
            </w:r>
            <w:r>
              <w:rPr>
                <w:rFonts w:hint="default" w:ascii="Times New Roman" w:hAnsi="Times New Roman" w:eastAsia="宋体" w:cs="Times New Roman"/>
                <w:bCs/>
                <w:color w:val="auto"/>
                <w:szCs w:val="21"/>
                <w:lang w:val="en-US" w:eastAsia="zh-CN"/>
              </w:rPr>
              <w:t>均能得到</w:t>
            </w:r>
            <w:r>
              <w:rPr>
                <w:rFonts w:hint="default" w:ascii="Times New Roman" w:hAnsi="Times New Roman" w:eastAsia="宋体" w:cs="Times New Roman"/>
                <w:bCs/>
                <w:color w:val="auto"/>
                <w:szCs w:val="21"/>
              </w:rPr>
              <w:t>合理处置</w:t>
            </w:r>
          </w:p>
        </w:tc>
      </w:tr>
    </w:tbl>
    <w:p>
      <w:pPr>
        <w:spacing w:line="360" w:lineRule="auto"/>
        <w:ind w:firstLine="48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综上可知，该项目符合</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bCs/>
          <w:color w:val="auto"/>
          <w:sz w:val="24"/>
          <w:szCs w:val="24"/>
          <w:lang w:bidi="ar"/>
        </w:rPr>
        <w:t>大气污染防治行动计划</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bCs/>
          <w:color w:val="auto"/>
          <w:sz w:val="24"/>
          <w:szCs w:val="24"/>
          <w:lang w:bidi="ar"/>
        </w:rPr>
        <w:t>水污染防治行动计划</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土壤污染防治行动计划</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rPr>
        <w:t>现行环境管理要求。</w:t>
      </w:r>
    </w:p>
    <w:p>
      <w:pPr>
        <w:pStyle w:val="73"/>
        <w:spacing w:beforeLines="50" w:line="360" w:lineRule="auto"/>
        <w:rPr>
          <w:rFonts w:hint="default" w:ascii="Times New Roman" w:hAnsi="Times New Roman" w:eastAsia="宋体" w:cs="Times New Roman"/>
          <w:color w:val="auto"/>
          <w:sz w:val="28"/>
          <w:szCs w:val="28"/>
          <w:lang w:val="en-US" w:eastAsia="zh-CN"/>
        </w:rPr>
      </w:pPr>
      <w:r>
        <w:rPr>
          <w:rFonts w:hint="default" w:ascii="Times New Roman" w:hAnsi="Times New Roman" w:eastAsia="宋体" w:cs="Times New Roman"/>
          <w:color w:val="auto"/>
          <w:sz w:val="28"/>
          <w:szCs w:val="28"/>
          <w:lang w:val="en-US" w:eastAsia="zh-CN"/>
        </w:rPr>
        <w:t>1.7.6项目与《辽宁省人民政府办公厅关于加强全省高耗能、高排放项目准入管理的意见》辽政办发【2021】6号文件符合性分析</w:t>
      </w:r>
    </w:p>
    <w:p>
      <w:pPr>
        <w:spacing w:beforeLines="50" w:line="240" w:lineRule="auto"/>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表1.7-3   项目与《辽宁省人民政府办公厅关于加强全省高耗能、高排放项目准入管理的意见》辽政办发【2021】6号文件符合性分析</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99"/>
        <w:gridCol w:w="3241"/>
        <w:gridCol w:w="3488"/>
        <w:gridCol w:w="76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1"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bCs/>
                <w:color w:val="auto"/>
                <w:szCs w:val="21"/>
                <w:lang w:bidi="ar"/>
              </w:rPr>
              <w:t>名称</w:t>
            </w:r>
          </w:p>
        </w:tc>
        <w:tc>
          <w:tcPr>
            <w:tcW w:w="297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内容</w:t>
            </w:r>
          </w:p>
        </w:tc>
        <w:tc>
          <w:tcPr>
            <w:tcW w:w="320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本</w:t>
            </w:r>
            <w:r>
              <w:rPr>
                <w:rFonts w:hint="default" w:ascii="Times New Roman" w:hAnsi="Times New Roman" w:eastAsia="宋体" w:cs="Times New Roman"/>
                <w:color w:val="auto"/>
                <w:szCs w:val="21"/>
              </w:rPr>
              <w:t>项目具体情况</w:t>
            </w:r>
          </w:p>
        </w:tc>
        <w:tc>
          <w:tcPr>
            <w:tcW w:w="698"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判定结果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1"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《辽宁省人民政府办公厅关于加强全省高耗能、高排放项目准入管理的意见》辽政办发【2021】6号文件</w:t>
            </w:r>
          </w:p>
        </w:tc>
        <w:tc>
          <w:tcPr>
            <w:tcW w:w="297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严把“两高”项目节能审查关。省发展改革委要紧密跟踪国家《固定资产投资项目节能审査办法》修订情况，及时修订《辽宁省固定资产投资项目节能审査实施办法》。年综合能源消费量1000吨(含)5000吨标准煤的固定资产投资项目，其节能审查管理权限由市级节能审查机关负责，已将节能审管理权限部分或全部下放至县级的，调整至市级节能审查机关，并报省级节能审查机关备案。</w:t>
            </w:r>
          </w:p>
        </w:tc>
        <w:tc>
          <w:tcPr>
            <w:tcW w:w="3200"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根据北票市明德工程咨询有限公司编制的《北票市冶通矿业有限公司年产50万吨铁精粉建设项目节能报告》，本工程能源消耗总量折标准煤为7814.80/3161.92tce（等价值/当量值），项目建成投产后项目能耗影响所在地朝阳市能耗增量的比例为0.64%，对朝阳市“十三五”能源增量影响较小，由此可推知，对朝阳市“十四五”能源消费增量影响较小。</w:t>
            </w:r>
          </w:p>
        </w:tc>
        <w:tc>
          <w:tcPr>
            <w:tcW w:w="698"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bl>
    <w:p>
      <w:pPr>
        <w:pStyle w:val="73"/>
        <w:spacing w:beforeLines="50" w:line="360" w:lineRule="auto"/>
        <w:rPr>
          <w:rFonts w:hint="default" w:ascii="Times New Roman" w:hAnsi="Times New Roman" w:eastAsia="宋体" w:cs="Times New Roman"/>
          <w:color w:val="auto"/>
          <w:sz w:val="28"/>
          <w:szCs w:val="28"/>
          <w:lang w:val="en-US" w:eastAsia="zh-CN"/>
        </w:rPr>
      </w:pPr>
      <w:r>
        <w:rPr>
          <w:rFonts w:hint="default" w:ascii="Times New Roman" w:hAnsi="Times New Roman" w:eastAsia="宋体" w:cs="Times New Roman"/>
          <w:color w:val="auto"/>
          <w:sz w:val="28"/>
          <w:szCs w:val="28"/>
          <w:lang w:val="en-US" w:eastAsia="zh-CN"/>
        </w:rPr>
        <w:t>1.7.7与非煤矿山综合治理意见的符合性分析</w:t>
      </w:r>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《关于深入贯彻落实新发展理念全面实施非煤矿山综合治理的意见》（辽委发〔2018〕49号）中与本项目相关内容及相符性分析如下。</w:t>
      </w:r>
    </w:p>
    <w:p>
      <w:pPr>
        <w:pStyle w:val="475"/>
        <w:spacing w:beforeLines="50" w:line="480" w:lineRule="exact"/>
        <w:ind w:firstLine="0" w:firstLineChars="0"/>
        <w:rPr>
          <w:rFonts w:hint="default" w:ascii="Times New Roman" w:hAnsi="Times New Roman" w:eastAsia="宋体" w:cs="Times New Roman"/>
        </w:rPr>
      </w:pPr>
      <w:r>
        <w:rPr>
          <w:rFonts w:hint="default" w:ascii="Times New Roman" w:hAnsi="Times New Roman" w:eastAsia="宋体" w:cs="Times New Roman"/>
        </w:rPr>
        <w:t>表1.</w:t>
      </w:r>
      <w:r>
        <w:rPr>
          <w:rFonts w:hint="default" w:ascii="Times New Roman" w:hAnsi="Times New Roman" w:eastAsia="宋体" w:cs="Times New Roman"/>
          <w:lang w:val="en-US" w:eastAsia="zh-CN"/>
        </w:rPr>
        <w:t>7-4</w:t>
      </w:r>
      <w:r>
        <w:rPr>
          <w:rFonts w:hint="default" w:ascii="Times New Roman" w:hAnsi="Times New Roman" w:eastAsia="宋体" w:cs="Times New Roman"/>
        </w:rPr>
        <w:t xml:space="preserve">             </w:t>
      </w:r>
      <w:r>
        <w:rPr>
          <w:rFonts w:hint="eastAsia" w:ascii="Times New Roman" w:hAnsi="Times New Roman" w:eastAsia="宋体" w:cs="Times New Roman"/>
          <w:lang w:val="en-US" w:eastAsia="zh-CN"/>
        </w:rPr>
        <w:t xml:space="preserve">   </w:t>
      </w:r>
      <w:r>
        <w:rPr>
          <w:rFonts w:hint="default" w:ascii="Times New Roman" w:hAnsi="Times New Roman" w:eastAsia="宋体" w:cs="Times New Roman"/>
        </w:rPr>
        <w:t xml:space="preserve">    非煤矿山综合治理的意见</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34"/>
        <w:gridCol w:w="2635"/>
        <w:gridCol w:w="2409"/>
        <w:gridCol w:w="170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1"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名称</w:t>
            </w:r>
          </w:p>
        </w:tc>
        <w:tc>
          <w:tcPr>
            <w:tcW w:w="2414"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政策要求</w:t>
            </w:r>
          </w:p>
        </w:tc>
        <w:tc>
          <w:tcPr>
            <w:tcW w:w="2207"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本项目实施情况</w:t>
            </w:r>
          </w:p>
        </w:tc>
        <w:tc>
          <w:tcPr>
            <w:tcW w:w="1566"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符合性分析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1"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关于深入贯彻落实新发展理念全面实施非煤矿山综合治理的意见</w:t>
            </w:r>
          </w:p>
        </w:tc>
        <w:tc>
          <w:tcPr>
            <w:tcW w:w="2414"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到2022年，零排放技术成熟的选矿行业，应实现废水全部回用，……</w:t>
            </w:r>
          </w:p>
        </w:tc>
        <w:tc>
          <w:tcPr>
            <w:tcW w:w="2207"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本项目废水回用率100%不外排</w:t>
            </w:r>
          </w:p>
        </w:tc>
        <w:tc>
          <w:tcPr>
            <w:tcW w:w="1566" w:type="dxa"/>
            <w:tcMar>
              <w:top w:w="57" w:type="dxa"/>
              <w:left w:w="57" w:type="dxa"/>
              <w:bottom w:w="57" w:type="dxa"/>
              <w:right w:w="57" w:type="dxa"/>
            </w:tcMar>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符合</w:t>
            </w:r>
          </w:p>
        </w:tc>
      </w:tr>
    </w:tbl>
    <w:p>
      <w:pPr>
        <w:numPr>
          <w:ilvl w:val="0"/>
          <w:numId w:val="0"/>
        </w:numPr>
        <w:bidi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p>
    <w:p>
      <w:pPr>
        <w:pStyle w:val="346"/>
        <w:spacing w:beforeLines="50" w:line="360" w:lineRule="auto"/>
        <w:rPr>
          <w:rFonts w:hint="default" w:ascii="Times New Roman" w:hAnsi="Times New Roman" w:eastAsia="宋体" w:cs="Times New Roman"/>
          <w:color w:val="auto"/>
        </w:rPr>
        <w:sectPr>
          <w:headerReference r:id="rId11" w:type="default"/>
          <w:footerReference r:id="rId12" w:type="default"/>
          <w:pgSz w:w="11906" w:h="16838"/>
          <w:pgMar w:top="1417" w:right="1417" w:bottom="1417"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346"/>
        <w:spacing w:beforeLines="50" w:line="360" w:lineRule="auto"/>
        <w:rPr>
          <w:rFonts w:hint="default" w:ascii="Times New Roman" w:hAnsi="Times New Roman" w:eastAsia="宋体" w:cs="Times New Roman"/>
          <w:color w:val="auto"/>
        </w:rPr>
      </w:pPr>
      <w:bookmarkStart w:id="110" w:name="_Toc16531"/>
      <w:r>
        <w:rPr>
          <w:rFonts w:hint="default" w:ascii="Times New Roman" w:hAnsi="Times New Roman" w:eastAsia="宋体" w:cs="Times New Roman"/>
          <w:color w:val="auto"/>
        </w:rPr>
        <w:t>2</w:t>
      </w:r>
      <w:r>
        <w:rPr>
          <w:rFonts w:hint="default" w:ascii="Times New Roman" w:hAnsi="Times New Roman" w:eastAsia="宋体" w:cs="Times New Roman"/>
          <w:color w:val="auto"/>
          <w:lang w:eastAsia="zh-CN"/>
        </w:rPr>
        <w:t>现有</w:t>
      </w:r>
      <w:r>
        <w:rPr>
          <w:rFonts w:hint="default" w:ascii="Times New Roman" w:hAnsi="Times New Roman" w:eastAsia="宋体" w:cs="Times New Roman"/>
          <w:color w:val="auto"/>
        </w:rPr>
        <w:t>项目</w:t>
      </w:r>
      <w:bookmarkEnd w:id="110"/>
    </w:p>
    <w:p>
      <w:pPr>
        <w:pStyle w:val="266"/>
        <w:spacing w:beforeLines="50" w:line="360" w:lineRule="auto"/>
        <w:rPr>
          <w:rFonts w:hint="default" w:ascii="Times New Roman" w:hAnsi="Times New Roman" w:eastAsia="宋体" w:cs="Times New Roman"/>
          <w:color w:val="auto"/>
          <w:szCs w:val="28"/>
        </w:rPr>
      </w:pPr>
      <w:bookmarkStart w:id="111" w:name="_Toc7293"/>
      <w:r>
        <w:rPr>
          <w:rFonts w:hint="default" w:ascii="Times New Roman" w:hAnsi="Times New Roman" w:eastAsia="宋体" w:cs="Times New Roman"/>
          <w:color w:val="auto"/>
          <w:szCs w:val="28"/>
        </w:rPr>
        <w:t>2.1</w:t>
      </w:r>
      <w:r>
        <w:rPr>
          <w:rFonts w:hint="default" w:ascii="Times New Roman" w:hAnsi="Times New Roman" w:eastAsia="宋体" w:cs="Times New Roman"/>
          <w:color w:val="auto"/>
          <w:szCs w:val="28"/>
          <w:lang w:eastAsia="zh-CN"/>
        </w:rPr>
        <w:t>现有</w:t>
      </w:r>
      <w:r>
        <w:rPr>
          <w:rFonts w:hint="default" w:ascii="Times New Roman" w:hAnsi="Times New Roman" w:eastAsia="宋体" w:cs="Times New Roman"/>
          <w:color w:val="auto"/>
          <w:szCs w:val="28"/>
        </w:rPr>
        <w:t>项目概况</w:t>
      </w:r>
      <w:bookmarkEnd w:id="111"/>
    </w:p>
    <w:p>
      <w:pPr>
        <w:pStyle w:val="73"/>
        <w:spacing w:beforeLines="50" w:line="360" w:lineRule="auto"/>
        <w:rPr>
          <w:rFonts w:hint="default" w:ascii="Times New Roman" w:hAnsi="Times New Roman" w:eastAsia="宋体" w:cs="Times New Roman"/>
          <w:color w:val="auto"/>
          <w:szCs w:val="22"/>
        </w:rPr>
      </w:pPr>
      <w:r>
        <w:rPr>
          <w:rFonts w:hint="default" w:ascii="Times New Roman" w:hAnsi="Times New Roman" w:eastAsia="宋体" w:cs="Times New Roman"/>
          <w:color w:val="auto"/>
          <w:sz w:val="28"/>
          <w:szCs w:val="28"/>
        </w:rPr>
        <w:t>2.1.1项目概况</w:t>
      </w:r>
    </w:p>
    <w:p>
      <w:pPr>
        <w:autoSpaceDE w:val="0"/>
        <w:autoSpaceDN w:val="0"/>
        <w:spacing w:line="360" w:lineRule="auto"/>
        <w:ind w:firstLine="480" w:firstLineChars="200"/>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rPr>
        <w:t>北票市冶通矿业有限公司</w:t>
      </w:r>
      <w:r>
        <w:rPr>
          <w:rFonts w:hint="default" w:ascii="Times New Roman" w:hAnsi="Times New Roman" w:eastAsia="宋体" w:cs="Times New Roman"/>
          <w:color w:val="auto"/>
          <w:kern w:val="2"/>
          <w:sz w:val="24"/>
          <w:szCs w:val="24"/>
          <w:lang w:eastAsia="zh-CN"/>
        </w:rPr>
        <w:t>原名北票市</w:t>
      </w:r>
      <w:r>
        <w:rPr>
          <w:rFonts w:hint="default" w:ascii="Times New Roman" w:hAnsi="Times New Roman" w:eastAsia="宋体" w:cs="Times New Roman"/>
          <w:color w:val="auto"/>
          <w:kern w:val="2"/>
          <w:sz w:val="24"/>
          <w:szCs w:val="24"/>
        </w:rPr>
        <w:t>东官营</w:t>
      </w:r>
      <w:r>
        <w:rPr>
          <w:rFonts w:hint="default" w:ascii="Times New Roman" w:hAnsi="Times New Roman" w:eastAsia="宋体" w:cs="Times New Roman"/>
          <w:color w:val="auto"/>
          <w:kern w:val="2"/>
          <w:sz w:val="24"/>
          <w:szCs w:val="24"/>
          <w:lang w:eastAsia="zh-CN"/>
        </w:rPr>
        <w:t>鑫升铁选厂，位于</w:t>
      </w:r>
      <w:r>
        <w:rPr>
          <w:rFonts w:hint="default" w:ascii="Times New Roman" w:hAnsi="Times New Roman" w:eastAsia="宋体" w:cs="Times New Roman"/>
          <w:color w:val="auto"/>
          <w:kern w:val="2"/>
          <w:sz w:val="24"/>
          <w:szCs w:val="24"/>
        </w:rPr>
        <w:t>辽宁省朝阳市北票市东官营乡小巴沟村</w:t>
      </w:r>
      <w:r>
        <w:rPr>
          <w:rFonts w:hint="default" w:ascii="Times New Roman" w:hAnsi="Times New Roman" w:eastAsia="宋体" w:cs="Times New Roman"/>
          <w:color w:val="auto"/>
          <w:kern w:val="2"/>
          <w:sz w:val="24"/>
          <w:szCs w:val="24"/>
          <w:lang w:eastAsia="zh-CN"/>
        </w:rPr>
        <w:t>，企业于</w:t>
      </w:r>
      <w:r>
        <w:rPr>
          <w:rFonts w:hint="default" w:ascii="Times New Roman" w:hAnsi="Times New Roman" w:eastAsia="宋体" w:cs="Times New Roman"/>
          <w:color w:val="auto"/>
          <w:kern w:val="2"/>
          <w:sz w:val="24"/>
          <w:szCs w:val="24"/>
          <w:lang w:val="en-US" w:eastAsia="zh-CN"/>
        </w:rPr>
        <w:t>2008年投资600万元建设</w:t>
      </w:r>
      <w:r>
        <w:rPr>
          <w:rFonts w:hint="default" w:ascii="Times New Roman" w:hAnsi="Times New Roman" w:eastAsia="宋体" w:cs="Times New Roman"/>
          <w:color w:val="auto"/>
          <w:kern w:val="2"/>
          <w:sz w:val="24"/>
          <w:szCs w:val="24"/>
          <w:lang w:eastAsia="zh-CN"/>
        </w:rPr>
        <w:t>北票市</w:t>
      </w:r>
      <w:r>
        <w:rPr>
          <w:rFonts w:hint="default" w:ascii="Times New Roman" w:hAnsi="Times New Roman" w:eastAsia="宋体" w:cs="Times New Roman"/>
          <w:color w:val="auto"/>
          <w:kern w:val="2"/>
          <w:sz w:val="24"/>
          <w:szCs w:val="24"/>
        </w:rPr>
        <w:t>东官营</w:t>
      </w:r>
      <w:r>
        <w:rPr>
          <w:rFonts w:hint="default" w:ascii="Times New Roman" w:hAnsi="Times New Roman" w:eastAsia="宋体" w:cs="Times New Roman"/>
          <w:color w:val="auto"/>
          <w:kern w:val="2"/>
          <w:sz w:val="24"/>
          <w:szCs w:val="24"/>
          <w:lang w:eastAsia="zh-CN"/>
        </w:rPr>
        <w:t>鑫升铁选厂年产</w:t>
      </w:r>
      <w:r>
        <w:rPr>
          <w:rFonts w:hint="default" w:ascii="Times New Roman" w:hAnsi="Times New Roman" w:eastAsia="宋体" w:cs="Times New Roman"/>
          <w:color w:val="auto"/>
          <w:kern w:val="2"/>
          <w:sz w:val="24"/>
          <w:szCs w:val="24"/>
          <w:lang w:val="en-US" w:eastAsia="zh-CN"/>
        </w:rPr>
        <w:t>5万吨铁精粉建设项目。矿石来源为自有矿山。</w:t>
      </w:r>
    </w:p>
    <w:p>
      <w:pPr>
        <w:pStyle w:val="73"/>
        <w:spacing w:beforeLines="50" w:line="360"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2.1.2环保</w:t>
      </w:r>
      <w:r>
        <w:rPr>
          <w:rFonts w:hint="default" w:ascii="Times New Roman" w:hAnsi="Times New Roman" w:eastAsia="宋体" w:cs="Times New Roman"/>
          <w:color w:val="auto"/>
          <w:sz w:val="28"/>
          <w:szCs w:val="28"/>
          <w:lang w:eastAsia="zh-CN"/>
        </w:rPr>
        <w:t>手续</w:t>
      </w:r>
      <w:r>
        <w:rPr>
          <w:rFonts w:hint="default" w:ascii="Times New Roman" w:hAnsi="Times New Roman" w:eastAsia="宋体" w:cs="Times New Roman"/>
          <w:color w:val="auto"/>
          <w:sz w:val="28"/>
          <w:szCs w:val="28"/>
        </w:rPr>
        <w:t>情况</w:t>
      </w:r>
    </w:p>
    <w:p>
      <w:pPr>
        <w:autoSpaceDE w:val="0"/>
        <w:autoSpaceDN w:val="0"/>
        <w:spacing w:line="360" w:lineRule="auto"/>
        <w:ind w:firstLine="480" w:firstLineChars="200"/>
        <w:rPr>
          <w:rFonts w:hint="default" w:ascii="Times New Roman" w:hAnsi="Times New Roman" w:eastAsia="宋体" w:cs="Times New Roman"/>
          <w:color w:val="auto"/>
          <w:sz w:val="24"/>
          <w:szCs w:val="22"/>
          <w:lang w:val="en-US"/>
        </w:rPr>
      </w:pPr>
      <w:r>
        <w:rPr>
          <w:rFonts w:hint="default" w:ascii="Times New Roman" w:hAnsi="Times New Roman" w:eastAsia="宋体" w:cs="Times New Roman"/>
          <w:color w:val="auto"/>
          <w:kern w:val="2"/>
          <w:sz w:val="24"/>
          <w:szCs w:val="24"/>
          <w:lang w:eastAsia="zh-CN"/>
        </w:rPr>
        <w:t>公司于</w:t>
      </w:r>
      <w:r>
        <w:rPr>
          <w:rFonts w:hint="default" w:ascii="Times New Roman" w:hAnsi="Times New Roman" w:eastAsia="宋体" w:cs="Times New Roman"/>
          <w:color w:val="auto"/>
          <w:kern w:val="2"/>
          <w:sz w:val="24"/>
          <w:szCs w:val="24"/>
          <w:lang w:val="en-US" w:eastAsia="zh-CN"/>
        </w:rPr>
        <w:t>2008年委托山东省煤田地质局编制《</w:t>
      </w:r>
      <w:r>
        <w:rPr>
          <w:rFonts w:hint="default" w:ascii="Times New Roman" w:hAnsi="Times New Roman" w:eastAsia="宋体" w:cs="Times New Roman"/>
          <w:color w:val="auto"/>
          <w:kern w:val="2"/>
          <w:sz w:val="24"/>
          <w:szCs w:val="24"/>
          <w:lang w:eastAsia="zh-CN"/>
        </w:rPr>
        <w:t>北票市</w:t>
      </w:r>
      <w:r>
        <w:rPr>
          <w:rFonts w:hint="default" w:ascii="Times New Roman" w:hAnsi="Times New Roman" w:eastAsia="宋体" w:cs="Times New Roman"/>
          <w:color w:val="auto"/>
          <w:kern w:val="2"/>
          <w:sz w:val="24"/>
          <w:szCs w:val="24"/>
        </w:rPr>
        <w:t>东官营</w:t>
      </w:r>
      <w:r>
        <w:rPr>
          <w:rFonts w:hint="default" w:ascii="Times New Roman" w:hAnsi="Times New Roman" w:eastAsia="宋体" w:cs="Times New Roman"/>
          <w:color w:val="auto"/>
          <w:kern w:val="2"/>
          <w:sz w:val="24"/>
          <w:szCs w:val="24"/>
          <w:lang w:eastAsia="zh-CN"/>
        </w:rPr>
        <w:t>鑫升铁选厂年产</w:t>
      </w:r>
      <w:r>
        <w:rPr>
          <w:rFonts w:hint="default" w:ascii="Times New Roman" w:hAnsi="Times New Roman" w:eastAsia="宋体" w:cs="Times New Roman"/>
          <w:color w:val="auto"/>
          <w:kern w:val="2"/>
          <w:sz w:val="24"/>
          <w:szCs w:val="24"/>
          <w:lang w:val="en-US" w:eastAsia="zh-CN"/>
        </w:rPr>
        <w:t>5万吨铁精粉建设项目环境影响报告书》，北票市环境保护局于2009年4月8日对该项目出具《关于</w:t>
      </w:r>
      <w:r>
        <w:rPr>
          <w:rFonts w:hint="default" w:ascii="Times New Roman" w:hAnsi="Times New Roman" w:eastAsia="宋体" w:cs="Times New Roman"/>
          <w:color w:val="auto"/>
          <w:kern w:val="2"/>
          <w:sz w:val="24"/>
          <w:szCs w:val="24"/>
          <w:lang w:eastAsia="zh-CN"/>
        </w:rPr>
        <w:t>北票市</w:t>
      </w:r>
      <w:r>
        <w:rPr>
          <w:rFonts w:hint="default" w:ascii="Times New Roman" w:hAnsi="Times New Roman" w:eastAsia="宋体" w:cs="Times New Roman"/>
          <w:color w:val="auto"/>
          <w:kern w:val="2"/>
          <w:sz w:val="24"/>
          <w:szCs w:val="24"/>
        </w:rPr>
        <w:t>东官营</w:t>
      </w:r>
      <w:r>
        <w:rPr>
          <w:rFonts w:hint="default" w:ascii="Times New Roman" w:hAnsi="Times New Roman" w:eastAsia="宋体" w:cs="Times New Roman"/>
          <w:color w:val="auto"/>
          <w:kern w:val="2"/>
          <w:sz w:val="24"/>
          <w:szCs w:val="24"/>
          <w:lang w:eastAsia="zh-CN"/>
        </w:rPr>
        <w:t>鑫升铁选厂年产</w:t>
      </w:r>
      <w:r>
        <w:rPr>
          <w:rFonts w:hint="default" w:ascii="Times New Roman" w:hAnsi="Times New Roman" w:eastAsia="宋体" w:cs="Times New Roman"/>
          <w:color w:val="auto"/>
          <w:kern w:val="2"/>
          <w:sz w:val="24"/>
          <w:szCs w:val="24"/>
          <w:lang w:val="en-US" w:eastAsia="zh-CN"/>
        </w:rPr>
        <w:t>5万吨铁精粉建设项目环境影响报告书的批复》，文号为北环审【2009】31号，该项</w:t>
      </w:r>
      <w:r>
        <w:rPr>
          <w:rFonts w:hint="default" w:ascii="Times New Roman" w:hAnsi="Times New Roman" w:eastAsia="宋体" w:cs="Times New Roman"/>
          <w:color w:val="auto"/>
          <w:kern w:val="2"/>
          <w:sz w:val="24"/>
          <w:szCs w:val="24"/>
          <w:highlight w:val="none"/>
          <w:lang w:val="en-US" w:eastAsia="zh-CN"/>
        </w:rPr>
        <w:t>目于2011年6月25日完成</w:t>
      </w:r>
      <w:r>
        <w:rPr>
          <w:rFonts w:hint="default" w:ascii="Times New Roman" w:hAnsi="Times New Roman" w:eastAsia="宋体" w:cs="Times New Roman"/>
          <w:color w:val="auto"/>
          <w:kern w:val="2"/>
          <w:sz w:val="24"/>
          <w:szCs w:val="24"/>
          <w:lang w:val="en-US" w:eastAsia="zh-CN"/>
        </w:rPr>
        <w:t>验收。企业于2020年4月14日完成固定污染源排污登记，登记编号为91211381699415532M001Z。</w:t>
      </w:r>
    </w:p>
    <w:p>
      <w:pPr>
        <w:pStyle w:val="73"/>
        <w:spacing w:beforeLines="50" w:line="360" w:lineRule="auto"/>
        <w:rPr>
          <w:rFonts w:hint="default" w:ascii="Times New Roman" w:hAnsi="Times New Roman" w:eastAsia="宋体" w:cs="Times New Roman"/>
          <w:color w:val="auto"/>
          <w:sz w:val="28"/>
        </w:rPr>
      </w:pPr>
      <w:r>
        <w:rPr>
          <w:rFonts w:hint="default" w:ascii="Times New Roman" w:hAnsi="Times New Roman" w:eastAsia="宋体" w:cs="Times New Roman"/>
          <w:color w:val="auto"/>
          <w:sz w:val="28"/>
        </w:rPr>
        <w:t>2.1.3建设内容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建设规模：</w:t>
      </w:r>
      <w:r>
        <w:rPr>
          <w:rFonts w:hint="default" w:ascii="Times New Roman" w:hAnsi="Times New Roman" w:eastAsia="宋体" w:cs="Times New Roman"/>
          <w:color w:val="auto"/>
          <w:sz w:val="24"/>
          <w:szCs w:val="24"/>
          <w:lang w:eastAsia="zh-CN"/>
        </w:rPr>
        <w:t>厂区占地</w:t>
      </w:r>
      <w:r>
        <w:rPr>
          <w:rFonts w:hint="default" w:ascii="Times New Roman" w:hAnsi="Times New Roman" w:eastAsia="宋体" w:cs="Times New Roman"/>
          <w:color w:val="auto"/>
          <w:sz w:val="24"/>
          <w:szCs w:val="24"/>
          <w:lang w:val="en-US" w:eastAsia="zh-CN"/>
        </w:rPr>
        <w:t>2000m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，包括生产车间1座，原料场1处，产品堆场1处，办公生活区1处，循环水池1座，另有尾矿库2个，总库容26m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vertAlign w:val="baseline"/>
          <w:lang w:val="en-US" w:eastAsia="zh-CN"/>
        </w:rPr>
        <w:t>。年处理铁矿石15万吨，年产铁精粉5万吨。</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工程组成一览表见表</w:t>
      </w:r>
      <w:r>
        <w:rPr>
          <w:rFonts w:hint="default" w:ascii="Times New Roman" w:hAnsi="Times New Roman" w:eastAsia="宋体" w:cs="Times New Roman"/>
          <w:color w:val="auto"/>
          <w:sz w:val="24"/>
          <w:lang w:val="en-US" w:eastAsia="zh-CN"/>
        </w:rPr>
        <w:t>2.1-1</w:t>
      </w:r>
      <w:r>
        <w:rPr>
          <w:rFonts w:hint="default" w:ascii="Times New Roman" w:hAnsi="Times New Roman" w:eastAsia="宋体" w:cs="Times New Roman"/>
          <w:color w:val="auto"/>
          <w:sz w:val="24"/>
        </w:rPr>
        <w:t>。</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val="en-US" w:eastAsia="zh-CN"/>
        </w:rPr>
        <w:t xml:space="preserve">表2.1-1                     </w:t>
      </w:r>
      <w:r>
        <w:rPr>
          <w:rFonts w:hint="eastAsia" w:ascii="Times New Roman" w:hAnsi="Times New Roman" w:eastAsia="宋体" w:cs="Times New Roman"/>
          <w:color w:val="auto"/>
          <w:sz w:val="24"/>
          <w:szCs w:val="22"/>
          <w:lang w:val="en-US" w:eastAsia="zh-CN"/>
        </w:rPr>
        <w:t xml:space="preserve">  </w:t>
      </w:r>
      <w:r>
        <w:rPr>
          <w:rFonts w:hint="default" w:ascii="Times New Roman" w:hAnsi="Times New Roman" w:eastAsia="宋体" w:cs="Times New Roman"/>
          <w:color w:val="auto"/>
          <w:sz w:val="24"/>
          <w:szCs w:val="22"/>
          <w:lang w:val="en-US" w:eastAsia="zh-CN"/>
        </w:rPr>
        <w:t xml:space="preserve"> 工程组成一览表</w:t>
      </w:r>
    </w:p>
    <w:tbl>
      <w:tblPr>
        <w:tblStyle w:val="51"/>
        <w:tblW w:w="4998"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59"/>
        <w:gridCol w:w="1345"/>
        <w:gridCol w:w="7181"/>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133" w:type="pct"/>
            <w:gridSpan w:val="2"/>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建设内容</w:t>
            </w:r>
          </w:p>
        </w:tc>
        <w:tc>
          <w:tcPr>
            <w:tcW w:w="3866" w:type="pc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建设规模</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主体</w:t>
            </w:r>
          </w:p>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工程</w:t>
            </w:r>
          </w:p>
        </w:tc>
        <w:tc>
          <w:tcPr>
            <w:tcW w:w="724" w:type="pc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i w:val="0"/>
                <w:color w:val="auto"/>
                <w:kern w:val="0"/>
                <w:sz w:val="21"/>
                <w:szCs w:val="21"/>
                <w:u w:val="none"/>
                <w:lang w:val="en-US" w:eastAsia="zh-CN" w:bidi="ar"/>
              </w:rPr>
              <w:t>生产车间</w:t>
            </w:r>
          </w:p>
        </w:tc>
        <w:tc>
          <w:tcPr>
            <w:tcW w:w="3866" w:type="pc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1</w:t>
            </w:r>
            <w:r>
              <w:rPr>
                <w:rFonts w:hint="default" w:ascii="Times New Roman" w:hAnsi="Times New Roman" w:eastAsia="宋体" w:cs="Times New Roman"/>
                <w:b w:val="0"/>
                <w:bCs/>
                <w:color w:val="auto"/>
                <w:kern w:val="0"/>
                <w:sz w:val="21"/>
                <w:szCs w:val="21"/>
              </w:rPr>
              <w:t>座，建筑面积</w:t>
            </w:r>
            <w:r>
              <w:rPr>
                <w:rFonts w:hint="default" w:ascii="Times New Roman" w:hAnsi="Times New Roman" w:eastAsia="宋体" w:cs="Times New Roman"/>
                <w:b w:val="0"/>
                <w:bCs/>
                <w:color w:val="auto"/>
                <w:sz w:val="21"/>
                <w:szCs w:val="21"/>
                <w:lang w:val="en-US" w:eastAsia="zh-CN"/>
              </w:rPr>
              <w:t>620</w:t>
            </w:r>
            <w:r>
              <w:rPr>
                <w:rFonts w:hint="default" w:ascii="Times New Roman" w:hAnsi="Times New Roman" w:eastAsia="宋体" w:cs="Times New Roman"/>
                <w:b w:val="0"/>
                <w:bCs/>
                <w:color w:val="auto"/>
                <w:sz w:val="21"/>
                <w:szCs w:val="21"/>
              </w:rPr>
              <w:t>m</w:t>
            </w:r>
            <w:r>
              <w:rPr>
                <w:rFonts w:hint="default" w:ascii="Times New Roman" w:hAnsi="Times New Roman" w:eastAsia="宋体" w:cs="Times New Roman"/>
                <w:b w:val="0"/>
                <w:bCs/>
                <w:color w:val="auto"/>
                <w:sz w:val="21"/>
                <w:szCs w:val="21"/>
                <w:vertAlign w:val="superscript"/>
              </w:rPr>
              <w:t>2</w:t>
            </w:r>
            <w:r>
              <w:rPr>
                <w:rFonts w:hint="default" w:ascii="Times New Roman" w:hAnsi="Times New Roman" w:eastAsia="宋体" w:cs="Times New Roman"/>
                <w:b w:val="0"/>
                <w:bCs/>
                <w:color w:val="auto"/>
                <w:sz w:val="21"/>
                <w:szCs w:val="21"/>
              </w:rPr>
              <w:t>。</w:t>
            </w:r>
            <w:r>
              <w:rPr>
                <w:rFonts w:hint="default" w:ascii="Times New Roman" w:hAnsi="Times New Roman" w:eastAsia="宋体" w:cs="Times New Roman"/>
                <w:b w:val="0"/>
                <w:bCs/>
                <w:color w:val="auto"/>
                <w:kern w:val="0"/>
                <w:sz w:val="21"/>
                <w:szCs w:val="21"/>
                <w:shd w:val="clear" w:color="auto" w:fill="auto"/>
                <w:lang w:eastAsia="zh-CN"/>
              </w:rPr>
              <w:t>包括破碎、筛分、球磨及磁选</w:t>
            </w:r>
            <w:r>
              <w:rPr>
                <w:rFonts w:hint="default" w:ascii="Times New Roman" w:hAnsi="Times New Roman" w:eastAsia="宋体" w:cs="Times New Roman"/>
                <w:b w:val="0"/>
                <w:bCs/>
                <w:color w:val="auto"/>
                <w:sz w:val="21"/>
                <w:szCs w:val="21"/>
                <w:lang w:val="en-US" w:eastAsia="zh-CN"/>
              </w:rPr>
              <w:t>，年产铁精粉5万吨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restar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辅助工程</w:t>
            </w:r>
          </w:p>
        </w:tc>
        <w:tc>
          <w:tcPr>
            <w:tcW w:w="724" w:type="pct"/>
            <w:noWrap w:val="0"/>
            <w:vAlign w:val="center"/>
          </w:tcPr>
          <w:p>
            <w:pPr>
              <w:jc w:val="center"/>
              <w:rPr>
                <w:rFonts w:hint="default" w:ascii="Times New Roman" w:hAnsi="Times New Roman" w:eastAsia="宋体" w:cs="Times New Roman"/>
                <w:b w:val="0"/>
                <w:bCs/>
                <w:i w:val="0"/>
                <w:color w:val="auto"/>
                <w:kern w:val="0"/>
                <w:sz w:val="21"/>
                <w:szCs w:val="21"/>
                <w:u w:val="none"/>
                <w:lang w:val="en-US" w:eastAsia="zh-CN" w:bidi="ar"/>
              </w:rPr>
            </w:pPr>
            <w:r>
              <w:rPr>
                <w:rFonts w:hint="default" w:ascii="Times New Roman" w:hAnsi="Times New Roman" w:eastAsia="宋体" w:cs="Times New Roman"/>
                <w:b w:val="0"/>
                <w:bCs/>
                <w:i w:val="0"/>
                <w:color w:val="auto"/>
                <w:kern w:val="0"/>
                <w:sz w:val="21"/>
                <w:szCs w:val="21"/>
                <w:u w:val="none"/>
                <w:lang w:val="en-US" w:eastAsia="zh-CN" w:bidi="ar"/>
              </w:rPr>
              <w:t>办公区</w:t>
            </w:r>
          </w:p>
        </w:tc>
        <w:tc>
          <w:tcPr>
            <w:tcW w:w="3866" w:type="pct"/>
            <w:noWrap w:val="0"/>
            <w:vAlign w:val="center"/>
          </w:tcPr>
          <w:p>
            <w:pPr>
              <w:jc w:val="center"/>
              <w:rPr>
                <w:rFonts w:hint="default" w:ascii="Times New Roman" w:hAnsi="Times New Roman" w:eastAsia="宋体" w:cs="Times New Roman"/>
                <w:b w:val="0"/>
                <w:bCs/>
                <w:color w:val="auto"/>
                <w:kern w:val="0"/>
                <w:sz w:val="21"/>
                <w:szCs w:val="21"/>
                <w:lang w:val="en-US"/>
              </w:rPr>
            </w:pPr>
            <w:r>
              <w:rPr>
                <w:rFonts w:hint="default" w:ascii="Times New Roman" w:hAnsi="Times New Roman" w:eastAsia="宋体" w:cs="Times New Roman"/>
                <w:b w:val="0"/>
                <w:bCs/>
                <w:color w:val="auto"/>
                <w:kern w:val="0"/>
                <w:sz w:val="21"/>
                <w:szCs w:val="21"/>
                <w:lang w:val="en-US" w:eastAsia="zh-CN"/>
              </w:rPr>
              <w:t>1处，</w:t>
            </w:r>
            <w:r>
              <w:rPr>
                <w:rFonts w:hint="default" w:ascii="Times New Roman" w:hAnsi="Times New Roman" w:eastAsia="宋体" w:cs="Times New Roman"/>
                <w:b w:val="0"/>
                <w:bCs/>
                <w:color w:val="auto"/>
                <w:kern w:val="0"/>
                <w:sz w:val="21"/>
                <w:szCs w:val="21"/>
              </w:rPr>
              <w:t>建筑面积</w:t>
            </w:r>
            <w:r>
              <w:rPr>
                <w:rFonts w:hint="default" w:ascii="Times New Roman" w:hAnsi="Times New Roman" w:eastAsia="宋体" w:cs="Times New Roman"/>
                <w:b w:val="0"/>
                <w:bCs/>
                <w:i w:val="0"/>
                <w:color w:val="auto"/>
                <w:kern w:val="0"/>
                <w:sz w:val="21"/>
                <w:szCs w:val="21"/>
                <w:u w:val="none"/>
                <w:lang w:val="en-US" w:eastAsia="zh-CN" w:bidi="ar"/>
              </w:rPr>
              <w:t>150</w:t>
            </w:r>
            <w:r>
              <w:rPr>
                <w:rFonts w:hint="default" w:ascii="Times New Roman" w:hAnsi="Times New Roman" w:eastAsia="宋体" w:cs="Times New Roman"/>
                <w:b w:val="0"/>
                <w:bCs/>
                <w:color w:val="auto"/>
                <w:sz w:val="21"/>
                <w:szCs w:val="21"/>
              </w:rPr>
              <w:t>m</w:t>
            </w:r>
            <w:r>
              <w:rPr>
                <w:rFonts w:hint="default" w:ascii="Times New Roman" w:hAnsi="Times New Roman" w:eastAsia="宋体" w:cs="Times New Roman"/>
                <w:b w:val="0"/>
                <w:bCs/>
                <w:color w:val="auto"/>
                <w:sz w:val="21"/>
                <w:szCs w:val="21"/>
                <w:vertAlign w:val="superscript"/>
              </w:rPr>
              <w:t>2</w:t>
            </w:r>
            <w:r>
              <w:rPr>
                <w:rFonts w:hint="default" w:ascii="Times New Roman" w:hAnsi="Times New Roman" w:eastAsia="宋体" w:cs="Times New Roman"/>
                <w:b w:val="0"/>
                <w:bCs/>
                <w:color w:val="auto"/>
                <w:sz w:val="21"/>
                <w:szCs w:val="21"/>
                <w:lang w:eastAsia="zh-CN"/>
              </w:rPr>
              <w:t>，</w:t>
            </w:r>
            <w:r>
              <w:rPr>
                <w:rFonts w:hint="default" w:ascii="Times New Roman" w:hAnsi="Times New Roman" w:eastAsia="宋体" w:cs="Times New Roman"/>
                <w:b w:val="0"/>
                <w:bCs/>
                <w:color w:val="auto"/>
                <w:sz w:val="21"/>
                <w:szCs w:val="21"/>
                <w:lang w:val="en-US" w:eastAsia="zh-CN"/>
              </w:rPr>
              <w:t>主要用作办公使用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i w:val="0"/>
                <w:color w:val="auto"/>
                <w:kern w:val="0"/>
                <w:sz w:val="21"/>
                <w:szCs w:val="21"/>
                <w:u w:val="none"/>
                <w:lang w:val="en-US" w:eastAsia="zh-CN" w:bidi="ar"/>
              </w:rPr>
              <w:t>变电所</w:t>
            </w:r>
          </w:p>
        </w:tc>
        <w:tc>
          <w:tcPr>
            <w:tcW w:w="3866"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0"/>
                <w:sz w:val="21"/>
                <w:szCs w:val="21"/>
                <w:lang w:val="en-US" w:eastAsia="zh-CN"/>
              </w:rPr>
              <w:t>1处，</w:t>
            </w:r>
            <w:r>
              <w:rPr>
                <w:rFonts w:hint="default" w:ascii="Times New Roman" w:hAnsi="Times New Roman" w:eastAsia="宋体" w:cs="Times New Roman"/>
                <w:b w:val="0"/>
                <w:bCs/>
                <w:color w:val="auto"/>
                <w:kern w:val="0"/>
                <w:sz w:val="21"/>
                <w:szCs w:val="21"/>
              </w:rPr>
              <w:t>建筑面积</w:t>
            </w:r>
            <w:r>
              <w:rPr>
                <w:rFonts w:hint="default" w:ascii="Times New Roman" w:hAnsi="Times New Roman" w:eastAsia="宋体" w:cs="Times New Roman"/>
                <w:b w:val="0"/>
                <w:bCs/>
                <w:color w:val="auto"/>
                <w:kern w:val="0"/>
                <w:sz w:val="21"/>
                <w:szCs w:val="21"/>
                <w:lang w:val="en-US" w:eastAsia="zh-CN"/>
              </w:rPr>
              <w:t>50</w:t>
            </w:r>
            <w:r>
              <w:rPr>
                <w:rFonts w:hint="default" w:ascii="Times New Roman" w:hAnsi="Times New Roman" w:eastAsia="宋体" w:cs="Times New Roman"/>
                <w:b w:val="0"/>
                <w:bCs/>
                <w:color w:val="auto"/>
                <w:sz w:val="21"/>
                <w:szCs w:val="21"/>
              </w:rPr>
              <w:t>m</w:t>
            </w:r>
            <w:r>
              <w:rPr>
                <w:rFonts w:hint="default" w:ascii="Times New Roman" w:hAnsi="Times New Roman" w:eastAsia="宋体" w:cs="Times New Roman"/>
                <w:b w:val="0"/>
                <w:bCs/>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color w:val="auto"/>
                <w:kern w:val="0"/>
                <w:sz w:val="21"/>
                <w:szCs w:val="21"/>
                <w:lang w:bidi="ar"/>
              </w:rPr>
            </w:pPr>
            <w:r>
              <w:rPr>
                <w:rFonts w:hint="default" w:ascii="Times New Roman" w:hAnsi="Times New Roman" w:eastAsia="宋体" w:cs="Times New Roman"/>
                <w:b w:val="0"/>
                <w:bCs/>
                <w:i w:val="0"/>
                <w:color w:val="auto"/>
                <w:kern w:val="0"/>
                <w:sz w:val="21"/>
                <w:szCs w:val="21"/>
                <w:u w:val="none"/>
                <w:lang w:val="en-US" w:eastAsia="zh-CN" w:bidi="ar"/>
              </w:rPr>
              <w:t>原料库</w:t>
            </w:r>
          </w:p>
        </w:tc>
        <w:tc>
          <w:tcPr>
            <w:tcW w:w="3866"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kern w:val="0"/>
                <w:sz w:val="21"/>
                <w:szCs w:val="21"/>
                <w:lang w:val="en-US" w:eastAsia="zh-CN"/>
              </w:rPr>
              <w:t>1处，</w:t>
            </w:r>
            <w:r>
              <w:rPr>
                <w:rFonts w:hint="default" w:ascii="Times New Roman" w:hAnsi="Times New Roman" w:eastAsia="宋体" w:cs="Times New Roman"/>
                <w:b w:val="0"/>
                <w:bCs/>
                <w:color w:val="auto"/>
                <w:kern w:val="0"/>
                <w:sz w:val="21"/>
                <w:szCs w:val="21"/>
              </w:rPr>
              <w:t>建筑面积</w:t>
            </w:r>
            <w:r>
              <w:rPr>
                <w:rFonts w:hint="default" w:ascii="Times New Roman" w:hAnsi="Times New Roman" w:eastAsia="宋体" w:cs="Times New Roman"/>
                <w:b w:val="0"/>
                <w:bCs/>
                <w:color w:val="auto"/>
                <w:kern w:val="0"/>
                <w:sz w:val="21"/>
                <w:szCs w:val="21"/>
                <w:lang w:val="en-US" w:eastAsia="zh-CN"/>
              </w:rPr>
              <w:t>500</w:t>
            </w:r>
            <w:r>
              <w:rPr>
                <w:rFonts w:hint="default" w:ascii="Times New Roman" w:hAnsi="Times New Roman" w:eastAsia="宋体" w:cs="Times New Roman"/>
                <w:b w:val="0"/>
                <w:bCs/>
                <w:color w:val="auto"/>
                <w:sz w:val="21"/>
                <w:szCs w:val="21"/>
              </w:rPr>
              <w:t>m</w:t>
            </w:r>
            <w:r>
              <w:rPr>
                <w:rFonts w:hint="default" w:ascii="Times New Roman" w:hAnsi="Times New Roman" w:eastAsia="宋体" w:cs="Times New Roman"/>
                <w:b w:val="0"/>
                <w:bCs/>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i w:val="0"/>
                <w:color w:val="auto"/>
                <w:kern w:val="0"/>
                <w:sz w:val="21"/>
                <w:szCs w:val="21"/>
                <w:u w:val="none"/>
                <w:lang w:val="en-US" w:eastAsia="zh-CN" w:bidi="ar"/>
              </w:rPr>
            </w:pPr>
            <w:r>
              <w:rPr>
                <w:rFonts w:hint="default" w:ascii="Times New Roman" w:hAnsi="Times New Roman" w:eastAsia="宋体" w:cs="Times New Roman"/>
                <w:b w:val="0"/>
                <w:bCs/>
                <w:i w:val="0"/>
                <w:color w:val="auto"/>
                <w:kern w:val="0"/>
                <w:sz w:val="21"/>
                <w:szCs w:val="21"/>
                <w:u w:val="none"/>
                <w:lang w:val="en-US" w:eastAsia="zh-CN" w:bidi="ar"/>
              </w:rPr>
              <w:t>产品库</w:t>
            </w:r>
          </w:p>
        </w:tc>
        <w:tc>
          <w:tcPr>
            <w:tcW w:w="3866"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lang w:val="en-US" w:eastAsia="zh-CN"/>
              </w:rPr>
              <w:t>1处，</w:t>
            </w:r>
            <w:r>
              <w:rPr>
                <w:rFonts w:hint="default" w:ascii="Times New Roman" w:hAnsi="Times New Roman" w:eastAsia="宋体" w:cs="Times New Roman"/>
                <w:b w:val="0"/>
                <w:bCs/>
                <w:color w:val="auto"/>
                <w:kern w:val="0"/>
                <w:sz w:val="21"/>
                <w:szCs w:val="21"/>
              </w:rPr>
              <w:t>建筑面积</w:t>
            </w:r>
            <w:r>
              <w:rPr>
                <w:rFonts w:hint="default" w:ascii="Times New Roman" w:hAnsi="Times New Roman" w:eastAsia="宋体" w:cs="Times New Roman"/>
                <w:b w:val="0"/>
                <w:bCs/>
                <w:color w:val="auto"/>
                <w:kern w:val="0"/>
                <w:sz w:val="21"/>
                <w:szCs w:val="21"/>
                <w:lang w:val="en-US" w:eastAsia="zh-CN"/>
              </w:rPr>
              <w:t>400</w:t>
            </w:r>
            <w:r>
              <w:rPr>
                <w:rFonts w:hint="default" w:ascii="Times New Roman" w:hAnsi="Times New Roman" w:eastAsia="宋体" w:cs="Times New Roman"/>
                <w:b w:val="0"/>
                <w:bCs/>
                <w:color w:val="auto"/>
                <w:sz w:val="21"/>
                <w:szCs w:val="21"/>
              </w:rPr>
              <w:t>m</w:t>
            </w:r>
            <w:r>
              <w:rPr>
                <w:rFonts w:hint="default" w:ascii="Times New Roman" w:hAnsi="Times New Roman" w:eastAsia="宋体" w:cs="Times New Roman"/>
                <w:b w:val="0"/>
                <w:bCs/>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i w:val="0"/>
                <w:color w:val="auto"/>
                <w:kern w:val="0"/>
                <w:sz w:val="21"/>
                <w:szCs w:val="21"/>
                <w:u w:val="none"/>
                <w:lang w:val="en-US" w:eastAsia="zh-CN" w:bidi="ar"/>
              </w:rPr>
            </w:pPr>
            <w:r>
              <w:rPr>
                <w:rFonts w:hint="default" w:ascii="Times New Roman" w:hAnsi="Times New Roman" w:eastAsia="宋体" w:cs="Times New Roman"/>
                <w:b w:val="0"/>
                <w:bCs/>
                <w:i w:val="0"/>
                <w:color w:val="auto"/>
                <w:kern w:val="0"/>
                <w:sz w:val="21"/>
                <w:szCs w:val="21"/>
                <w:u w:val="none"/>
                <w:lang w:val="en-US" w:eastAsia="zh-CN" w:bidi="ar"/>
              </w:rPr>
              <w:t>尾矿库（已闭库）</w:t>
            </w:r>
          </w:p>
        </w:tc>
        <w:tc>
          <w:tcPr>
            <w:tcW w:w="3866"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2个，总库容26m</w:t>
            </w:r>
            <w:r>
              <w:rPr>
                <w:rFonts w:hint="default" w:ascii="Times New Roman" w:hAnsi="Times New Roman" w:eastAsia="宋体" w:cs="Times New Roman"/>
                <w:b w:val="0"/>
                <w:bCs/>
                <w:color w:val="auto"/>
                <w:kern w:val="0"/>
                <w:sz w:val="21"/>
                <w:szCs w:val="21"/>
                <w:vertAlign w:val="superscript"/>
                <w:lang w:val="en-US" w:eastAsia="zh-CN"/>
              </w:rPr>
              <w:t>3</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restart"/>
            <w:tcBorders>
              <w:top w:val="single" w:color="auto" w:sz="4" w:space="0"/>
            </w:tcBorders>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公用</w:t>
            </w:r>
          </w:p>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工程</w:t>
            </w:r>
          </w:p>
        </w:tc>
        <w:tc>
          <w:tcPr>
            <w:tcW w:w="724" w:type="pc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给水</w:t>
            </w:r>
          </w:p>
        </w:tc>
        <w:tc>
          <w:tcPr>
            <w:tcW w:w="3866" w:type="pct"/>
            <w:noWrap w:val="0"/>
            <w:vAlign w:val="center"/>
          </w:tcPr>
          <w:p>
            <w:pPr>
              <w:jc w:val="center"/>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eastAsia="zh-CN"/>
              </w:rPr>
              <w:t>来自厂区自有水井</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排水</w:t>
            </w:r>
          </w:p>
        </w:tc>
        <w:tc>
          <w:tcPr>
            <w:tcW w:w="3866" w:type="pct"/>
            <w:noWrap w:val="0"/>
            <w:vAlign w:val="center"/>
          </w:tcPr>
          <w:p>
            <w:pPr>
              <w:jc w:val="center"/>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eastAsia="zh-CN"/>
              </w:rPr>
              <w:t>生产用水经沉淀后循环使用，不外排；</w:t>
            </w:r>
            <w:r>
              <w:rPr>
                <w:rFonts w:hint="default" w:ascii="Times New Roman" w:hAnsi="Times New Roman" w:eastAsia="宋体" w:cs="Times New Roman"/>
                <w:b w:val="0"/>
                <w:bCs/>
                <w:color w:val="auto"/>
                <w:sz w:val="21"/>
                <w:szCs w:val="21"/>
              </w:rPr>
              <w:t>生活污水排入化粪池，</w:t>
            </w:r>
            <w:r>
              <w:rPr>
                <w:rFonts w:hint="default" w:ascii="Times New Roman" w:hAnsi="Times New Roman" w:eastAsia="宋体" w:cs="Times New Roman"/>
                <w:b w:val="0"/>
                <w:bCs/>
                <w:color w:val="auto"/>
                <w:sz w:val="21"/>
                <w:szCs w:val="21"/>
                <w:lang w:eastAsia="zh-CN"/>
              </w:rPr>
              <w:t>定期清掏</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供电</w:t>
            </w:r>
          </w:p>
        </w:tc>
        <w:tc>
          <w:tcPr>
            <w:tcW w:w="3866" w:type="pc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val="en-US" w:eastAsia="zh-CN"/>
              </w:rPr>
              <w:t>电源引自上级变电所</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供暖</w:t>
            </w:r>
          </w:p>
        </w:tc>
        <w:tc>
          <w:tcPr>
            <w:tcW w:w="3866" w:type="pct"/>
            <w:noWrap w:val="0"/>
            <w:vAlign w:val="center"/>
          </w:tcPr>
          <w:p>
            <w:pPr>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eastAsia="zh-CN"/>
              </w:rPr>
              <w:t>冬季采用电取暖</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restar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环保</w:t>
            </w:r>
          </w:p>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工程</w:t>
            </w:r>
          </w:p>
        </w:tc>
        <w:tc>
          <w:tcPr>
            <w:tcW w:w="724" w:type="pct"/>
            <w:vMerge w:val="restart"/>
            <w:tcBorders>
              <w:top w:val="single" w:color="auto" w:sz="4" w:space="0"/>
            </w:tcBorders>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废气</w:t>
            </w:r>
          </w:p>
        </w:tc>
        <w:tc>
          <w:tcPr>
            <w:tcW w:w="3866" w:type="pct"/>
            <w:noWrap w:val="0"/>
            <w:vAlign w:val="center"/>
          </w:tcPr>
          <w:p>
            <w:pPr>
              <w:jc w:val="center"/>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eastAsia="zh-CN"/>
              </w:rPr>
              <w:t>破碎粉尘：采用封闭降尘间</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3866" w:type="pct"/>
            <w:noWrap w:val="0"/>
            <w:vAlign w:val="center"/>
          </w:tcPr>
          <w:p>
            <w:pPr>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输送粉尘：破碎后的矿石采用封闭皮带输送，落料点洒水逸尘</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3866" w:type="pct"/>
            <w:noWrap w:val="0"/>
            <w:vAlign w:val="center"/>
          </w:tcPr>
          <w:p>
            <w:pPr>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原料库及产品库采用全封闭式</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vMerge w:val="restar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废水</w:t>
            </w:r>
          </w:p>
        </w:tc>
        <w:tc>
          <w:tcPr>
            <w:tcW w:w="386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rPr>
            </w:pPr>
            <w:r>
              <w:rPr>
                <w:rFonts w:hint="default" w:ascii="Times New Roman" w:hAnsi="Times New Roman" w:eastAsia="宋体" w:cs="Times New Roman"/>
                <w:b w:val="0"/>
                <w:bCs/>
                <w:color w:val="auto"/>
                <w:sz w:val="21"/>
                <w:szCs w:val="21"/>
                <w:lang w:eastAsia="zh-CN"/>
              </w:rPr>
              <w:t>生产用水经沉淀后循环使用，不外排</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3866" w:type="pct"/>
            <w:noWrap w:val="0"/>
            <w:vAlign w:val="center"/>
          </w:tcPr>
          <w:p>
            <w:pPr>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rPr>
              <w:t>生活污水排入化粪池，</w:t>
            </w:r>
            <w:r>
              <w:rPr>
                <w:rFonts w:hint="default" w:ascii="Times New Roman" w:hAnsi="Times New Roman" w:eastAsia="宋体" w:cs="Times New Roman"/>
                <w:b w:val="0"/>
                <w:bCs/>
                <w:color w:val="auto"/>
                <w:sz w:val="21"/>
                <w:szCs w:val="21"/>
                <w:lang w:eastAsia="zh-CN"/>
              </w:rPr>
              <w:t>定期清掏</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噪声</w:t>
            </w:r>
          </w:p>
        </w:tc>
        <w:tc>
          <w:tcPr>
            <w:tcW w:w="3866" w:type="pc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设备噪声通过选用低噪声设备、加装减振垫、室内操作等措施，厂界达标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vMerge w:val="restar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固废</w:t>
            </w:r>
          </w:p>
        </w:tc>
        <w:tc>
          <w:tcPr>
            <w:tcW w:w="3866" w:type="pct"/>
            <w:noWrap w:val="0"/>
            <w:vAlign w:val="center"/>
          </w:tcPr>
          <w:p>
            <w:pPr>
              <w:ind w:firstLine="420" w:firstLineChars="200"/>
              <w:jc w:val="center"/>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eastAsia="zh-CN"/>
              </w:rPr>
              <w:t>尾矿：闭库后采用干排系统，尾矿渣定期外售</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3866" w:type="pct"/>
            <w:noWrap w:val="0"/>
            <w:vAlign w:val="center"/>
          </w:tcPr>
          <w:p>
            <w:pPr>
              <w:ind w:firstLine="420" w:firstLineChars="200"/>
              <w:jc w:val="center"/>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eastAsia="zh-CN"/>
              </w:rPr>
              <w:t>碎石：外售作为建筑材料</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3866" w:type="pc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生活垃圾收集后由环卫部门统一处置</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3866" w:type="pct"/>
            <w:noWrap w:val="0"/>
            <w:vAlign w:val="center"/>
          </w:tcPr>
          <w:p>
            <w:pPr>
              <w:jc w:val="center"/>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eastAsia="zh-CN"/>
              </w:rPr>
              <w:t>废机油暂存后委托资质单位处置</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9" w:type="pct"/>
            <w:vMerge w:val="continue"/>
            <w:noWrap w:val="0"/>
            <w:vAlign w:val="center"/>
          </w:tcPr>
          <w:p>
            <w:pPr>
              <w:jc w:val="center"/>
              <w:rPr>
                <w:rFonts w:hint="default" w:ascii="Times New Roman" w:hAnsi="Times New Roman" w:eastAsia="宋体" w:cs="Times New Roman"/>
                <w:b w:val="0"/>
                <w:bCs/>
                <w:color w:val="auto"/>
                <w:sz w:val="21"/>
                <w:szCs w:val="21"/>
              </w:rPr>
            </w:pPr>
          </w:p>
        </w:tc>
        <w:tc>
          <w:tcPr>
            <w:tcW w:w="724" w:type="pct"/>
            <w:noWrap w:val="0"/>
            <w:vAlign w:val="center"/>
          </w:tcPr>
          <w:p>
            <w:pPr>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风险</w:t>
            </w:r>
          </w:p>
        </w:tc>
        <w:tc>
          <w:tcPr>
            <w:tcW w:w="386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val="en-US" w:eastAsia="zh-CN"/>
              </w:rPr>
              <w:t>尾矿库服役期满，目前已闭库</w:t>
            </w:r>
          </w:p>
        </w:tc>
      </w:tr>
    </w:tbl>
    <w:p>
      <w:pPr>
        <w:pStyle w:val="73"/>
        <w:spacing w:beforeLines="50" w:line="480" w:lineRule="exact"/>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2.1.4主要原辅材料及能源消耗</w:t>
      </w:r>
    </w:p>
    <w:p>
      <w:pPr>
        <w:pStyle w:val="150"/>
        <w:spacing w:beforeLines="50" w:line="480" w:lineRule="exact"/>
        <w:ind w:firstLine="480"/>
        <w:rPr>
          <w:rFonts w:hint="default" w:ascii="Times New Roman" w:hAnsi="Times New Roman" w:eastAsia="宋体" w:cs="Times New Roman"/>
          <w:color w:val="auto"/>
          <w:kern w:val="2"/>
          <w:szCs w:val="22"/>
        </w:rPr>
      </w:pPr>
      <w:r>
        <w:rPr>
          <w:rFonts w:hint="default" w:ascii="Times New Roman" w:hAnsi="Times New Roman" w:eastAsia="宋体" w:cs="Times New Roman"/>
          <w:color w:val="auto"/>
          <w:kern w:val="2"/>
          <w:szCs w:val="22"/>
        </w:rPr>
        <w:t>项目主要原辅料及能源消耗情况，见表2.1-</w:t>
      </w:r>
      <w:r>
        <w:rPr>
          <w:rFonts w:hint="default" w:ascii="Times New Roman" w:hAnsi="Times New Roman" w:eastAsia="宋体" w:cs="Times New Roman"/>
          <w:color w:val="auto"/>
          <w:kern w:val="2"/>
          <w:szCs w:val="22"/>
          <w:lang w:val="en-US" w:eastAsia="zh-CN"/>
        </w:rPr>
        <w:t>2</w:t>
      </w:r>
      <w:r>
        <w:rPr>
          <w:rFonts w:hint="default" w:ascii="Times New Roman" w:hAnsi="Times New Roman" w:eastAsia="宋体" w:cs="Times New Roman"/>
          <w:color w:val="auto"/>
          <w:kern w:val="2"/>
          <w:szCs w:val="22"/>
        </w:rPr>
        <w:t>。</w:t>
      </w:r>
    </w:p>
    <w:p>
      <w:pPr>
        <w:pStyle w:val="150"/>
        <w:spacing w:beforeLines="50" w:line="480" w:lineRule="exact"/>
        <w:ind w:firstLine="0" w:firstLineChars="0"/>
        <w:rPr>
          <w:rFonts w:hint="default" w:ascii="Times New Roman" w:hAnsi="Times New Roman" w:eastAsia="宋体" w:cs="Times New Roman"/>
          <w:color w:val="auto"/>
          <w:kern w:val="2"/>
          <w:szCs w:val="22"/>
        </w:rPr>
      </w:pPr>
      <w:r>
        <w:rPr>
          <w:rFonts w:hint="default" w:ascii="Times New Roman" w:hAnsi="Times New Roman" w:eastAsia="宋体" w:cs="Times New Roman"/>
          <w:color w:val="auto"/>
          <w:kern w:val="2"/>
          <w:szCs w:val="22"/>
        </w:rPr>
        <w:t>表2.1-</w:t>
      </w:r>
      <w:r>
        <w:rPr>
          <w:rFonts w:hint="default" w:ascii="Times New Roman" w:hAnsi="Times New Roman" w:eastAsia="宋体" w:cs="Times New Roman"/>
          <w:color w:val="auto"/>
          <w:kern w:val="2"/>
          <w:szCs w:val="22"/>
          <w:lang w:val="en-US" w:eastAsia="zh-CN"/>
        </w:rPr>
        <w:t>2</w:t>
      </w:r>
      <w:r>
        <w:rPr>
          <w:rFonts w:hint="default" w:ascii="Times New Roman" w:hAnsi="Times New Roman" w:eastAsia="宋体" w:cs="Times New Roman"/>
          <w:color w:val="auto"/>
          <w:kern w:val="2"/>
          <w:szCs w:val="22"/>
        </w:rPr>
        <w:t xml:space="preserve">              </w:t>
      </w:r>
      <w:r>
        <w:rPr>
          <w:rFonts w:hint="eastAsia" w:ascii="Times New Roman" w:hAnsi="Times New Roman" w:eastAsia="宋体" w:cs="Times New Roman"/>
          <w:color w:val="auto"/>
          <w:kern w:val="2"/>
          <w:szCs w:val="22"/>
          <w:lang w:val="en-US" w:eastAsia="zh-CN"/>
        </w:rPr>
        <w:t xml:space="preserve">    </w:t>
      </w:r>
      <w:r>
        <w:rPr>
          <w:rFonts w:hint="default" w:ascii="Times New Roman" w:hAnsi="Times New Roman" w:eastAsia="宋体" w:cs="Times New Roman"/>
          <w:color w:val="auto"/>
          <w:kern w:val="2"/>
          <w:szCs w:val="22"/>
        </w:rPr>
        <w:t xml:space="preserve"> 主要原辅料及能源消耗情况</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4"/>
        <w:gridCol w:w="1726"/>
        <w:gridCol w:w="1449"/>
        <w:gridCol w:w="1717"/>
        <w:gridCol w:w="1791"/>
        <w:gridCol w:w="156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4"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序号</w:t>
            </w:r>
          </w:p>
        </w:tc>
        <w:tc>
          <w:tcPr>
            <w:tcW w:w="1726"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名称</w:t>
            </w:r>
          </w:p>
        </w:tc>
        <w:tc>
          <w:tcPr>
            <w:tcW w:w="1449"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单位</w:t>
            </w:r>
          </w:p>
        </w:tc>
        <w:tc>
          <w:tcPr>
            <w:tcW w:w="1717"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用量</w:t>
            </w:r>
          </w:p>
        </w:tc>
        <w:tc>
          <w:tcPr>
            <w:tcW w:w="1791"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储存地点</w:t>
            </w:r>
          </w:p>
        </w:tc>
        <w:tc>
          <w:tcPr>
            <w:tcW w:w="1562"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最大储存量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4"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1</w:t>
            </w:r>
          </w:p>
        </w:tc>
        <w:tc>
          <w:tcPr>
            <w:tcW w:w="1726" w:type="dxa"/>
            <w:vAlign w:val="center"/>
          </w:tcPr>
          <w:p>
            <w:pPr>
              <w:pStyle w:val="50"/>
              <w:snapToGrid w:val="0"/>
              <w:spacing w:after="0"/>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铁矿石</w:t>
            </w:r>
          </w:p>
        </w:tc>
        <w:tc>
          <w:tcPr>
            <w:tcW w:w="1449" w:type="dxa"/>
            <w:vAlign w:val="center"/>
          </w:tcPr>
          <w:p>
            <w:pPr>
              <w:pStyle w:val="50"/>
              <w:snapToGrid w:val="0"/>
              <w:spacing w:after="0"/>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t/a</w:t>
            </w:r>
          </w:p>
        </w:tc>
        <w:tc>
          <w:tcPr>
            <w:tcW w:w="1717"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lang w:val="en-US" w:eastAsia="zh-CN"/>
              </w:rPr>
              <w:t>15</w:t>
            </w:r>
            <w:r>
              <w:rPr>
                <w:rFonts w:hint="default" w:ascii="Times New Roman" w:hAnsi="Times New Roman" w:eastAsia="宋体" w:cs="Times New Roman"/>
                <w:bCs/>
                <w:szCs w:val="21"/>
              </w:rPr>
              <w:t>万</w:t>
            </w:r>
          </w:p>
        </w:tc>
        <w:tc>
          <w:tcPr>
            <w:tcW w:w="1791"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 w:val="0"/>
                <w:bCs/>
                <w:i w:val="0"/>
                <w:color w:val="auto"/>
                <w:kern w:val="0"/>
                <w:sz w:val="21"/>
                <w:szCs w:val="21"/>
                <w:u w:val="none"/>
                <w:lang w:val="en-US" w:eastAsia="zh-CN" w:bidi="ar"/>
              </w:rPr>
              <w:t>原料场</w:t>
            </w:r>
          </w:p>
        </w:tc>
        <w:tc>
          <w:tcPr>
            <w:tcW w:w="1562"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1</w:t>
            </w:r>
            <w:r>
              <w:rPr>
                <w:rFonts w:hint="default" w:ascii="Times New Roman" w:hAnsi="Times New Roman" w:eastAsia="宋体" w:cs="Times New Roman"/>
                <w:bCs/>
                <w:szCs w:val="21"/>
                <w:lang w:val="en-US" w:eastAsia="zh-CN"/>
              </w:rPr>
              <w:t>5</w:t>
            </w:r>
            <w:r>
              <w:rPr>
                <w:rFonts w:hint="default" w:ascii="Times New Roman" w:hAnsi="Times New Roman" w:eastAsia="宋体" w:cs="Times New Roman"/>
                <w:bCs/>
                <w:szCs w:val="21"/>
              </w:rPr>
              <w:t>00t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4"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2</w:t>
            </w:r>
          </w:p>
        </w:tc>
        <w:tc>
          <w:tcPr>
            <w:tcW w:w="1726" w:type="dxa"/>
            <w:vAlign w:val="center"/>
          </w:tcPr>
          <w:p>
            <w:pPr>
              <w:pStyle w:val="50"/>
              <w:snapToGrid w:val="0"/>
              <w:spacing w:after="0"/>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钢球</w:t>
            </w:r>
          </w:p>
        </w:tc>
        <w:tc>
          <w:tcPr>
            <w:tcW w:w="1449" w:type="dxa"/>
            <w:vAlign w:val="center"/>
          </w:tcPr>
          <w:p>
            <w:pPr>
              <w:pStyle w:val="50"/>
              <w:snapToGrid w:val="0"/>
              <w:spacing w:after="0"/>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t/a</w:t>
            </w:r>
          </w:p>
        </w:tc>
        <w:tc>
          <w:tcPr>
            <w:tcW w:w="1717"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50</w:t>
            </w:r>
          </w:p>
        </w:tc>
        <w:tc>
          <w:tcPr>
            <w:tcW w:w="1791"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 w:val="0"/>
                <w:bCs/>
                <w:i w:val="0"/>
                <w:color w:val="auto"/>
                <w:kern w:val="0"/>
                <w:sz w:val="21"/>
                <w:szCs w:val="21"/>
                <w:u w:val="none"/>
                <w:lang w:val="en-US" w:eastAsia="zh-CN" w:bidi="ar"/>
              </w:rPr>
              <w:t>生产车间</w:t>
            </w:r>
          </w:p>
        </w:tc>
        <w:tc>
          <w:tcPr>
            <w:tcW w:w="1562"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5t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4"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3</w:t>
            </w:r>
          </w:p>
        </w:tc>
        <w:tc>
          <w:tcPr>
            <w:tcW w:w="1726" w:type="dxa"/>
            <w:vAlign w:val="center"/>
          </w:tcPr>
          <w:p>
            <w:pPr>
              <w:pStyle w:val="50"/>
              <w:snapToGrid w:val="0"/>
              <w:spacing w:after="0"/>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衬板</w:t>
            </w:r>
          </w:p>
        </w:tc>
        <w:tc>
          <w:tcPr>
            <w:tcW w:w="1449" w:type="dxa"/>
            <w:vAlign w:val="center"/>
          </w:tcPr>
          <w:p>
            <w:pPr>
              <w:pStyle w:val="50"/>
              <w:snapToGrid w:val="0"/>
              <w:spacing w:after="0"/>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t/a</w:t>
            </w:r>
          </w:p>
        </w:tc>
        <w:tc>
          <w:tcPr>
            <w:tcW w:w="1717"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20</w:t>
            </w:r>
          </w:p>
        </w:tc>
        <w:tc>
          <w:tcPr>
            <w:tcW w:w="1791"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 w:val="0"/>
                <w:bCs/>
                <w:i w:val="0"/>
                <w:color w:val="auto"/>
                <w:kern w:val="0"/>
                <w:sz w:val="21"/>
                <w:szCs w:val="21"/>
                <w:u w:val="none"/>
                <w:lang w:val="en-US" w:eastAsia="zh-CN" w:bidi="ar"/>
              </w:rPr>
              <w:t>生产车间</w:t>
            </w:r>
          </w:p>
        </w:tc>
        <w:tc>
          <w:tcPr>
            <w:tcW w:w="1562"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2t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4"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4</w:t>
            </w:r>
          </w:p>
        </w:tc>
        <w:tc>
          <w:tcPr>
            <w:tcW w:w="1726" w:type="dxa"/>
            <w:vAlign w:val="center"/>
          </w:tcPr>
          <w:p>
            <w:pPr>
              <w:pStyle w:val="50"/>
              <w:snapToGrid w:val="0"/>
              <w:spacing w:after="0"/>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过滤布</w:t>
            </w:r>
          </w:p>
        </w:tc>
        <w:tc>
          <w:tcPr>
            <w:tcW w:w="1449" w:type="dxa"/>
            <w:vAlign w:val="center"/>
          </w:tcPr>
          <w:p>
            <w:pPr>
              <w:pStyle w:val="50"/>
              <w:snapToGrid w:val="0"/>
              <w:spacing w:after="0"/>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rPr>
              <w:t>/a</w:t>
            </w:r>
          </w:p>
        </w:tc>
        <w:tc>
          <w:tcPr>
            <w:tcW w:w="1717"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3000</w:t>
            </w:r>
          </w:p>
        </w:tc>
        <w:tc>
          <w:tcPr>
            <w:tcW w:w="1791"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 w:val="0"/>
                <w:bCs/>
                <w:i w:val="0"/>
                <w:color w:val="auto"/>
                <w:kern w:val="0"/>
                <w:sz w:val="21"/>
                <w:szCs w:val="21"/>
                <w:u w:val="none"/>
                <w:lang w:val="en-US" w:eastAsia="zh-CN" w:bidi="ar"/>
              </w:rPr>
              <w:t>生产车间</w:t>
            </w:r>
          </w:p>
        </w:tc>
        <w:tc>
          <w:tcPr>
            <w:tcW w:w="1562"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300</w:t>
            </w: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4" w:type="dxa"/>
            <w:vAlign w:val="center"/>
          </w:tcPr>
          <w:p>
            <w:pPr>
              <w:jc w:val="center"/>
              <w:rPr>
                <w:rFonts w:hint="eastAsia" w:ascii="Times New Roman" w:hAnsi="Times New Roman" w:eastAsia="宋体" w:cs="Times New Roman"/>
                <w:bCs/>
                <w:szCs w:val="21"/>
                <w:lang w:val="en-US" w:eastAsia="zh-CN"/>
              </w:rPr>
            </w:pPr>
            <w:r>
              <w:rPr>
                <w:rFonts w:hint="eastAsia" w:ascii="Times New Roman" w:hAnsi="Times New Roman" w:eastAsia="宋体" w:cs="Times New Roman"/>
                <w:bCs/>
                <w:szCs w:val="21"/>
                <w:lang w:val="en-US" w:eastAsia="zh-CN"/>
              </w:rPr>
              <w:t>5</w:t>
            </w:r>
          </w:p>
        </w:tc>
        <w:tc>
          <w:tcPr>
            <w:tcW w:w="1726" w:type="dxa"/>
            <w:vAlign w:val="center"/>
          </w:tcPr>
          <w:p>
            <w:pPr>
              <w:pStyle w:val="50"/>
              <w:snapToGrid w:val="0"/>
              <w:spacing w:after="0"/>
              <w:ind w:left="0" w:lef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水</w:t>
            </w:r>
          </w:p>
        </w:tc>
        <w:tc>
          <w:tcPr>
            <w:tcW w:w="1449" w:type="dxa"/>
            <w:vAlign w:val="center"/>
          </w:tcPr>
          <w:p>
            <w:pPr>
              <w:pStyle w:val="50"/>
              <w:snapToGrid w:val="0"/>
              <w:spacing w:after="0"/>
              <w:ind w:left="0" w:lef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/a</w:t>
            </w:r>
          </w:p>
        </w:tc>
        <w:tc>
          <w:tcPr>
            <w:tcW w:w="1717" w:type="dxa"/>
            <w:vAlign w:val="center"/>
          </w:tcPr>
          <w:p>
            <w:pPr>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135000</w:t>
            </w:r>
          </w:p>
        </w:tc>
        <w:tc>
          <w:tcPr>
            <w:tcW w:w="1791" w:type="dxa"/>
            <w:vAlign w:val="center"/>
          </w:tcPr>
          <w:p>
            <w:pPr>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rPr>
              <w:t>/</w:t>
            </w:r>
          </w:p>
        </w:tc>
        <w:tc>
          <w:tcPr>
            <w:tcW w:w="1562" w:type="dxa"/>
            <w:vAlign w:val="center"/>
          </w:tcPr>
          <w:p>
            <w:pPr>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4" w:type="dxa"/>
            <w:vAlign w:val="center"/>
          </w:tcPr>
          <w:p>
            <w:pPr>
              <w:jc w:val="center"/>
              <w:rPr>
                <w:rFonts w:hint="eastAsia" w:ascii="Times New Roman" w:hAnsi="Times New Roman" w:eastAsia="宋体" w:cs="Times New Roman"/>
                <w:bCs/>
                <w:szCs w:val="21"/>
                <w:lang w:val="en-US" w:eastAsia="zh-CN"/>
              </w:rPr>
            </w:pPr>
            <w:r>
              <w:rPr>
                <w:rFonts w:hint="eastAsia" w:ascii="Times New Roman" w:hAnsi="Times New Roman" w:eastAsia="宋体" w:cs="Times New Roman"/>
                <w:bCs/>
                <w:szCs w:val="21"/>
                <w:lang w:val="en-US" w:eastAsia="zh-CN"/>
              </w:rPr>
              <w:t>6</w:t>
            </w:r>
          </w:p>
        </w:tc>
        <w:tc>
          <w:tcPr>
            <w:tcW w:w="1726" w:type="dxa"/>
            <w:vAlign w:val="center"/>
          </w:tcPr>
          <w:p>
            <w:pPr>
              <w:pStyle w:val="50"/>
              <w:snapToGrid w:val="0"/>
              <w:spacing w:after="0"/>
              <w:ind w:left="0" w:lef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电</w:t>
            </w:r>
          </w:p>
        </w:tc>
        <w:tc>
          <w:tcPr>
            <w:tcW w:w="1449" w:type="dxa"/>
            <w:vAlign w:val="center"/>
          </w:tcPr>
          <w:p>
            <w:pPr>
              <w:pStyle w:val="50"/>
              <w:snapToGrid w:val="0"/>
              <w:spacing w:after="0"/>
              <w:ind w:left="0" w:lef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kW·h</w:t>
            </w:r>
          </w:p>
        </w:tc>
        <w:tc>
          <w:tcPr>
            <w:tcW w:w="1717" w:type="dxa"/>
            <w:vAlign w:val="center"/>
          </w:tcPr>
          <w:p>
            <w:pPr>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rPr>
              <w:t>100万</w:t>
            </w:r>
          </w:p>
        </w:tc>
        <w:tc>
          <w:tcPr>
            <w:tcW w:w="1791" w:type="dxa"/>
            <w:vAlign w:val="center"/>
          </w:tcPr>
          <w:p>
            <w:pPr>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rPr>
              <w:t>/</w:t>
            </w:r>
          </w:p>
        </w:tc>
        <w:tc>
          <w:tcPr>
            <w:tcW w:w="1562" w:type="dxa"/>
            <w:vAlign w:val="center"/>
          </w:tcPr>
          <w:p>
            <w:pPr>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rPr>
              <w:t>/</w:t>
            </w:r>
          </w:p>
        </w:tc>
      </w:tr>
    </w:tbl>
    <w:p>
      <w:pPr>
        <w:pStyle w:val="73"/>
        <w:spacing w:beforeLines="50" w:line="480" w:lineRule="exact"/>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2.1.5主要设备明细</w:t>
      </w:r>
    </w:p>
    <w:p>
      <w:pPr>
        <w:spacing w:beforeLines="50" w:line="480" w:lineRule="exact"/>
        <w:ind w:firstLine="480" w:firstLineChars="20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主要设备使用情况见表2.1-</w:t>
      </w:r>
      <w:r>
        <w:rPr>
          <w:rFonts w:hint="default" w:ascii="Times New Roman" w:hAnsi="Times New Roman" w:eastAsia="宋体" w:cs="Times New Roman"/>
          <w:color w:val="auto"/>
          <w:sz w:val="24"/>
          <w:szCs w:val="22"/>
          <w:lang w:val="en-US" w:eastAsia="zh-CN"/>
        </w:rPr>
        <w:t>3</w:t>
      </w:r>
      <w:r>
        <w:rPr>
          <w:rFonts w:hint="default" w:ascii="Times New Roman" w:hAnsi="Times New Roman" w:eastAsia="宋体" w:cs="Times New Roman"/>
          <w:color w:val="auto"/>
          <w:sz w:val="24"/>
          <w:szCs w:val="22"/>
        </w:rPr>
        <w:t>。</w:t>
      </w:r>
    </w:p>
    <w:p>
      <w:pPr>
        <w:spacing w:beforeLines="50" w:line="480" w:lineRule="exact"/>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表2.1-</w:t>
      </w:r>
      <w:r>
        <w:rPr>
          <w:rFonts w:hint="default" w:ascii="Times New Roman" w:hAnsi="Times New Roman" w:eastAsia="宋体" w:cs="Times New Roman"/>
          <w:color w:val="auto"/>
          <w:sz w:val="24"/>
          <w:szCs w:val="22"/>
          <w:lang w:val="en-US" w:eastAsia="zh-CN"/>
        </w:rPr>
        <w:t>3</w:t>
      </w:r>
      <w:r>
        <w:rPr>
          <w:rFonts w:hint="default" w:ascii="Times New Roman" w:hAnsi="Times New Roman" w:eastAsia="宋体" w:cs="Times New Roman"/>
          <w:color w:val="auto"/>
          <w:sz w:val="24"/>
          <w:szCs w:val="22"/>
        </w:rPr>
        <w:t xml:space="preserve">                </w:t>
      </w:r>
      <w:r>
        <w:rPr>
          <w:rFonts w:hint="eastAsia" w:ascii="Times New Roman" w:hAnsi="Times New Roman" w:eastAsia="宋体" w:cs="Times New Roman"/>
          <w:color w:val="auto"/>
          <w:sz w:val="24"/>
          <w:szCs w:val="22"/>
          <w:lang w:val="en-US" w:eastAsia="zh-CN"/>
        </w:rPr>
        <w:t xml:space="preserve">  </w:t>
      </w:r>
      <w:r>
        <w:rPr>
          <w:rFonts w:hint="default" w:ascii="Times New Roman" w:hAnsi="Times New Roman" w:eastAsia="宋体" w:cs="Times New Roman"/>
          <w:color w:val="auto"/>
          <w:sz w:val="24"/>
          <w:szCs w:val="22"/>
        </w:rPr>
        <w:t xml:space="preserve">    </w:t>
      </w:r>
      <w:r>
        <w:rPr>
          <w:rFonts w:hint="default" w:ascii="Times New Roman" w:hAnsi="Times New Roman" w:eastAsia="宋体" w:cs="Times New Roman"/>
          <w:color w:val="auto"/>
          <w:sz w:val="24"/>
          <w:szCs w:val="22"/>
          <w:lang w:eastAsia="zh-CN"/>
        </w:rPr>
        <w:t>现有</w:t>
      </w:r>
      <w:r>
        <w:rPr>
          <w:rFonts w:hint="default" w:ascii="Times New Roman" w:hAnsi="Times New Roman" w:eastAsia="宋体" w:cs="Times New Roman"/>
          <w:color w:val="auto"/>
          <w:sz w:val="24"/>
          <w:szCs w:val="22"/>
        </w:rPr>
        <w:t>工程主要设备</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72"/>
        <w:gridCol w:w="2650"/>
        <w:gridCol w:w="2894"/>
        <w:gridCol w:w="207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33" w:type="dxa"/>
            <w:vAlign w:val="center"/>
          </w:tcPr>
          <w:p>
            <w:pPr>
              <w:jc w:val="center"/>
              <w:rPr>
                <w:rFonts w:hint="default" w:ascii="Times New Roman" w:hAnsi="Times New Roman" w:eastAsia="宋体" w:cs="Times New Roman"/>
                <w:szCs w:val="21"/>
                <w:lang w:eastAsia="zh-CN"/>
              </w:rPr>
            </w:pPr>
            <w:r>
              <w:rPr>
                <w:rFonts w:hint="default" w:ascii="Times New Roman" w:hAnsi="Times New Roman" w:eastAsia="宋体" w:cs="Times New Roman"/>
                <w:szCs w:val="21"/>
                <w:lang w:eastAsia="zh-CN"/>
              </w:rPr>
              <w:t>序号</w:t>
            </w:r>
          </w:p>
        </w:tc>
        <w:tc>
          <w:tcPr>
            <w:tcW w:w="2431" w:type="dxa"/>
            <w:vAlign w:val="center"/>
          </w:tcPr>
          <w:p>
            <w:pPr>
              <w:jc w:val="center"/>
              <w:rPr>
                <w:rFonts w:hint="default" w:ascii="Times New Roman" w:hAnsi="Times New Roman" w:eastAsia="宋体" w:cs="Times New Roman"/>
                <w:szCs w:val="21"/>
                <w:lang w:eastAsia="zh-CN"/>
              </w:rPr>
            </w:pPr>
            <w:r>
              <w:rPr>
                <w:rFonts w:hint="default" w:ascii="Times New Roman" w:hAnsi="Times New Roman" w:eastAsia="宋体" w:cs="Times New Roman"/>
                <w:szCs w:val="21"/>
                <w:lang w:eastAsia="zh-CN"/>
              </w:rPr>
              <w:t>名称</w:t>
            </w:r>
          </w:p>
        </w:tc>
        <w:tc>
          <w:tcPr>
            <w:tcW w:w="2656"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规格/型号</w:t>
            </w:r>
          </w:p>
        </w:tc>
        <w:tc>
          <w:tcPr>
            <w:tcW w:w="1902"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数量（台/套）</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33" w:type="dxa"/>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w:t>
            </w:r>
          </w:p>
        </w:tc>
        <w:tc>
          <w:tcPr>
            <w:tcW w:w="2431"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颚式破碎机</w:t>
            </w:r>
          </w:p>
        </w:tc>
        <w:tc>
          <w:tcPr>
            <w:tcW w:w="2656" w:type="dxa"/>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rPr>
              <w:t>4</w:t>
            </w:r>
            <w:r>
              <w:rPr>
                <w:rFonts w:hint="default" w:ascii="Times New Roman" w:hAnsi="Times New Roman" w:eastAsia="宋体" w:cs="Times New Roman"/>
                <w:kern w:val="0"/>
                <w:szCs w:val="21"/>
                <w:lang w:val="en-US" w:eastAsia="zh-CN"/>
              </w:rPr>
              <w:t>00</w:t>
            </w:r>
            <w:r>
              <w:rPr>
                <w:rFonts w:hint="default" w:ascii="Times New Roman" w:hAnsi="Times New Roman" w:eastAsia="宋体" w:cs="Times New Roman"/>
                <w:kern w:val="0"/>
                <w:szCs w:val="21"/>
              </w:rPr>
              <w:t>×6</w:t>
            </w:r>
            <w:r>
              <w:rPr>
                <w:rFonts w:hint="default" w:ascii="Times New Roman" w:hAnsi="Times New Roman" w:eastAsia="宋体" w:cs="Times New Roman"/>
                <w:kern w:val="0"/>
                <w:szCs w:val="21"/>
                <w:lang w:val="en-US" w:eastAsia="zh-CN"/>
              </w:rPr>
              <w:t>00</w:t>
            </w:r>
          </w:p>
        </w:tc>
        <w:tc>
          <w:tcPr>
            <w:tcW w:w="1902"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33" w:type="dxa"/>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2</w:t>
            </w:r>
          </w:p>
        </w:tc>
        <w:tc>
          <w:tcPr>
            <w:tcW w:w="2431"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锤式破碎机</w:t>
            </w:r>
          </w:p>
        </w:tc>
        <w:tc>
          <w:tcPr>
            <w:tcW w:w="2656" w:type="dxa"/>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1000</w:t>
            </w:r>
            <w:r>
              <w:rPr>
                <w:rFonts w:hint="default" w:ascii="Times New Roman" w:hAnsi="Times New Roman" w:eastAsia="宋体" w:cs="Times New Roman"/>
                <w:kern w:val="0"/>
                <w:szCs w:val="21"/>
              </w:rPr>
              <w:t>×</w:t>
            </w:r>
            <w:r>
              <w:rPr>
                <w:rFonts w:hint="default" w:ascii="Times New Roman" w:hAnsi="Times New Roman" w:eastAsia="宋体" w:cs="Times New Roman"/>
                <w:kern w:val="0"/>
                <w:szCs w:val="21"/>
                <w:lang w:val="en-US" w:eastAsia="zh-CN"/>
              </w:rPr>
              <w:t>250</w:t>
            </w:r>
          </w:p>
        </w:tc>
        <w:tc>
          <w:tcPr>
            <w:tcW w:w="1902"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33" w:type="dxa"/>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3</w:t>
            </w:r>
          </w:p>
        </w:tc>
        <w:tc>
          <w:tcPr>
            <w:tcW w:w="2431"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球磨机</w:t>
            </w:r>
          </w:p>
        </w:tc>
        <w:tc>
          <w:tcPr>
            <w:tcW w:w="2656" w:type="dxa"/>
            <w:vAlign w:val="center"/>
          </w:tcPr>
          <w:p>
            <w:pPr>
              <w:widowControl/>
              <w:jc w:val="center"/>
              <w:rPr>
                <w:rFonts w:hint="default" w:ascii="Times New Roman" w:hAnsi="Times New Roman" w:eastAsia="宋体" w:cs="Times New Roman"/>
                <w:kern w:val="0"/>
                <w:szCs w:val="21"/>
                <w:lang w:val="en-US"/>
              </w:rPr>
            </w:pPr>
            <w:r>
              <w:rPr>
                <w:rFonts w:hint="default" w:ascii="Times New Roman" w:hAnsi="Times New Roman" w:eastAsia="宋体" w:cs="Times New Roman"/>
                <w:kern w:val="0"/>
                <w:szCs w:val="21"/>
                <w:lang w:val="en-US" w:eastAsia="zh-CN"/>
              </w:rPr>
              <w:t>1830</w:t>
            </w:r>
            <w:r>
              <w:rPr>
                <w:rFonts w:hint="default" w:ascii="Times New Roman" w:hAnsi="Times New Roman" w:eastAsia="宋体" w:cs="Times New Roman"/>
                <w:kern w:val="0"/>
                <w:szCs w:val="21"/>
              </w:rPr>
              <w:t>×</w:t>
            </w:r>
            <w:r>
              <w:rPr>
                <w:rFonts w:hint="default" w:ascii="Times New Roman" w:hAnsi="Times New Roman" w:eastAsia="宋体" w:cs="Times New Roman"/>
                <w:kern w:val="0"/>
                <w:szCs w:val="21"/>
                <w:lang w:val="en-US" w:eastAsia="zh-CN"/>
              </w:rPr>
              <w:t>4500</w:t>
            </w:r>
          </w:p>
        </w:tc>
        <w:tc>
          <w:tcPr>
            <w:tcW w:w="1902" w:type="dxa"/>
            <w:vAlign w:val="center"/>
          </w:tcPr>
          <w:p>
            <w:pPr>
              <w:widowControl/>
              <w:jc w:val="center"/>
              <w:rPr>
                <w:rFonts w:hint="default" w:ascii="Times New Roman" w:hAnsi="Times New Roman" w:eastAsia="宋体" w:cs="Times New Roman"/>
                <w:kern w:val="0"/>
                <w:szCs w:val="21"/>
                <w:lang w:eastAsia="zh-CN"/>
              </w:rPr>
            </w:pPr>
            <w:r>
              <w:rPr>
                <w:rFonts w:hint="default" w:ascii="Times New Roman" w:hAnsi="Times New Roman" w:eastAsia="宋体" w:cs="Times New Roman"/>
                <w:kern w:val="0"/>
                <w:szCs w:val="21"/>
                <w:lang w:val="en-US" w:eastAsia="zh-CN"/>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33" w:type="dxa"/>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4</w:t>
            </w:r>
          </w:p>
        </w:tc>
        <w:tc>
          <w:tcPr>
            <w:tcW w:w="2431"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磁选机</w:t>
            </w:r>
          </w:p>
        </w:tc>
        <w:tc>
          <w:tcPr>
            <w:tcW w:w="2656"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900</w:t>
            </w:r>
            <w:r>
              <w:rPr>
                <w:rFonts w:hint="default" w:ascii="Times New Roman" w:hAnsi="Times New Roman" w:eastAsia="宋体" w:cs="Times New Roman"/>
                <w:kern w:val="0"/>
                <w:szCs w:val="21"/>
              </w:rPr>
              <w:t>×</w:t>
            </w:r>
            <w:r>
              <w:rPr>
                <w:rFonts w:hint="default" w:ascii="Times New Roman" w:hAnsi="Times New Roman" w:eastAsia="宋体" w:cs="Times New Roman"/>
                <w:kern w:val="0"/>
                <w:szCs w:val="21"/>
                <w:lang w:val="en-US" w:eastAsia="zh-CN"/>
              </w:rPr>
              <w:t>1800</w:t>
            </w:r>
          </w:p>
        </w:tc>
        <w:tc>
          <w:tcPr>
            <w:tcW w:w="1902"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533" w:type="dxa"/>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5</w:t>
            </w:r>
          </w:p>
        </w:tc>
        <w:tc>
          <w:tcPr>
            <w:tcW w:w="2431" w:type="dxa"/>
            <w:vAlign w:val="center"/>
          </w:tcPr>
          <w:p>
            <w:pPr>
              <w:widowControl/>
              <w:jc w:val="center"/>
              <w:rPr>
                <w:rFonts w:hint="default" w:ascii="Times New Roman" w:hAnsi="Times New Roman" w:eastAsia="宋体" w:cs="Times New Roman"/>
                <w:kern w:val="0"/>
                <w:szCs w:val="21"/>
                <w:lang w:eastAsia="zh-CN"/>
              </w:rPr>
            </w:pPr>
            <w:r>
              <w:rPr>
                <w:rFonts w:hint="default" w:ascii="Times New Roman" w:hAnsi="Times New Roman" w:eastAsia="宋体" w:cs="Times New Roman"/>
                <w:kern w:val="0"/>
                <w:szCs w:val="21"/>
                <w:lang w:eastAsia="zh-CN"/>
              </w:rPr>
              <w:t>水泵</w:t>
            </w:r>
          </w:p>
        </w:tc>
        <w:tc>
          <w:tcPr>
            <w:tcW w:w="2656" w:type="dxa"/>
            <w:vAlign w:val="center"/>
          </w:tcPr>
          <w:p>
            <w:pPr>
              <w:widowControl/>
              <w:jc w:val="center"/>
              <w:rPr>
                <w:rFonts w:hint="default" w:ascii="Times New Roman" w:hAnsi="Times New Roman" w:eastAsia="宋体" w:cs="Times New Roman"/>
                <w:kern w:val="0"/>
                <w:szCs w:val="21"/>
                <w:lang w:eastAsia="zh-CN"/>
              </w:rPr>
            </w:pPr>
            <w:r>
              <w:rPr>
                <w:rFonts w:hint="default" w:ascii="Times New Roman" w:hAnsi="Times New Roman" w:eastAsia="宋体" w:cs="Times New Roman"/>
                <w:kern w:val="0"/>
                <w:szCs w:val="21"/>
                <w:lang w:val="en-US" w:eastAsia="zh-CN"/>
              </w:rPr>
              <w:t>/</w:t>
            </w:r>
          </w:p>
        </w:tc>
        <w:tc>
          <w:tcPr>
            <w:tcW w:w="1902" w:type="dxa"/>
            <w:vAlign w:val="center"/>
          </w:tcPr>
          <w:p>
            <w:pPr>
              <w:widowControl/>
              <w:jc w:val="center"/>
              <w:rPr>
                <w:rFonts w:hint="default" w:ascii="Times New Roman" w:hAnsi="Times New Roman" w:eastAsia="宋体" w:cs="Times New Roman"/>
                <w:kern w:val="0"/>
                <w:szCs w:val="21"/>
                <w:lang w:eastAsia="zh-CN"/>
              </w:rPr>
            </w:pPr>
            <w:r>
              <w:rPr>
                <w:rFonts w:hint="default" w:ascii="Times New Roman" w:hAnsi="Times New Roman" w:eastAsia="宋体" w:cs="Times New Roman"/>
                <w:kern w:val="0"/>
                <w:szCs w:val="21"/>
                <w:lang w:val="en-US" w:eastAsia="zh-CN"/>
              </w:rPr>
              <w:t>2</w:t>
            </w:r>
          </w:p>
        </w:tc>
      </w:tr>
    </w:tbl>
    <w:p>
      <w:pPr>
        <w:pStyle w:val="73"/>
        <w:spacing w:beforeLines="50" w:line="360" w:lineRule="auto"/>
        <w:rPr>
          <w:rFonts w:hint="default" w:ascii="Times New Roman" w:hAnsi="Times New Roman" w:eastAsia="宋体" w:cs="Times New Roman"/>
          <w:color w:val="auto"/>
          <w:sz w:val="28"/>
          <w:szCs w:val="28"/>
          <w:lang w:eastAsia="zh-CN"/>
        </w:rPr>
      </w:pPr>
      <w:r>
        <w:rPr>
          <w:rFonts w:hint="default" w:ascii="Times New Roman" w:hAnsi="Times New Roman" w:eastAsia="宋体" w:cs="Times New Roman"/>
          <w:color w:val="auto"/>
          <w:sz w:val="28"/>
          <w:szCs w:val="28"/>
        </w:rPr>
        <w:t>2.1.5</w:t>
      </w:r>
      <w:r>
        <w:rPr>
          <w:rFonts w:hint="default" w:ascii="Times New Roman" w:hAnsi="Times New Roman" w:eastAsia="宋体" w:cs="Times New Roman"/>
          <w:color w:val="auto"/>
          <w:sz w:val="28"/>
          <w:szCs w:val="28"/>
          <w:lang w:eastAsia="zh-CN"/>
        </w:rPr>
        <w:t>产品方案</w:t>
      </w:r>
    </w:p>
    <w:p>
      <w:pPr>
        <w:spacing w:beforeLines="50" w:line="360" w:lineRule="auto"/>
        <w:ind w:firstLine="480" w:firstLineChars="200"/>
        <w:rPr>
          <w:rFonts w:hint="default" w:ascii="Times New Roman" w:hAnsi="Times New Roman" w:eastAsia="宋体" w:cs="Times New Roman"/>
          <w:color w:val="auto"/>
          <w:sz w:val="24"/>
          <w:szCs w:val="22"/>
          <w:lang w:eastAsia="zh-CN"/>
        </w:rPr>
      </w:pPr>
      <w:r>
        <w:rPr>
          <w:rFonts w:hint="default" w:ascii="Times New Roman" w:hAnsi="Times New Roman" w:eastAsia="宋体" w:cs="Times New Roman"/>
          <w:color w:val="auto"/>
          <w:sz w:val="24"/>
          <w:szCs w:val="22"/>
          <w:lang w:val="en-US" w:eastAsia="zh-CN"/>
        </w:rPr>
        <w:t>现有项目</w:t>
      </w:r>
      <w:r>
        <w:rPr>
          <w:rFonts w:hint="default" w:ascii="Times New Roman" w:hAnsi="Times New Roman" w:eastAsia="宋体" w:cs="Times New Roman"/>
          <w:color w:val="auto"/>
          <w:sz w:val="24"/>
          <w:szCs w:val="24"/>
          <w:vertAlign w:val="baseline"/>
          <w:lang w:val="en-US" w:eastAsia="zh-CN"/>
        </w:rPr>
        <w:t>年处理铁矿石15万吨，年产铁精粉5万吨</w:t>
      </w:r>
      <w:r>
        <w:rPr>
          <w:rFonts w:hint="default" w:ascii="Times New Roman" w:hAnsi="Times New Roman" w:eastAsia="宋体" w:cs="Times New Roman"/>
          <w:color w:val="auto"/>
          <w:sz w:val="24"/>
          <w:szCs w:val="22"/>
          <w:lang w:eastAsia="zh-CN"/>
        </w:rPr>
        <w:t>。</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eastAsia="zh-CN"/>
        </w:rPr>
        <w:t>表</w:t>
      </w:r>
      <w:r>
        <w:rPr>
          <w:rFonts w:hint="default" w:ascii="Times New Roman" w:hAnsi="Times New Roman" w:eastAsia="宋体" w:cs="Times New Roman"/>
          <w:color w:val="auto"/>
          <w:sz w:val="24"/>
          <w:szCs w:val="22"/>
          <w:lang w:val="en-US" w:eastAsia="zh-CN"/>
        </w:rPr>
        <w:t>2.1-4                        产品方案</w:t>
      </w:r>
    </w:p>
    <w:tbl>
      <w:tblPr>
        <w:tblStyle w:val="51"/>
        <w:tblW w:w="4998" w:type="pct"/>
        <w:tblInd w:w="0" w:type="dxa"/>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102"/>
        <w:gridCol w:w="2796"/>
        <w:gridCol w:w="2687"/>
        <w:gridCol w:w="2508"/>
      </w:tblGrid>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606" w:type="pct"/>
            <w:tcBorders>
              <w:tl2br w:val="nil"/>
              <w:tr2bl w:val="nil"/>
            </w:tcBorders>
            <w:noWrap w:val="0"/>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i w:val="0"/>
                <w:color w:val="auto"/>
                <w:sz w:val="21"/>
                <w:szCs w:val="21"/>
                <w:u w:val="none"/>
              </w:rPr>
            </w:pPr>
            <w:r>
              <w:rPr>
                <w:rFonts w:hint="default" w:ascii="Times New Roman" w:hAnsi="Times New Roman" w:eastAsia="宋体" w:cs="Times New Roman"/>
                <w:b w:val="0"/>
                <w:bCs w:val="0"/>
                <w:i w:val="0"/>
                <w:color w:val="auto"/>
                <w:kern w:val="0"/>
                <w:sz w:val="21"/>
                <w:szCs w:val="21"/>
                <w:u w:val="none"/>
                <w:lang w:val="en-US" w:eastAsia="zh-CN" w:bidi="ar"/>
              </w:rPr>
              <w:t>序号</w:t>
            </w:r>
          </w:p>
        </w:tc>
        <w:tc>
          <w:tcPr>
            <w:tcW w:w="1537" w:type="pct"/>
            <w:tcBorders>
              <w:tl2br w:val="nil"/>
              <w:tr2bl w:val="nil"/>
            </w:tcBorders>
            <w:noWrap w:val="0"/>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i w:val="0"/>
                <w:color w:val="auto"/>
                <w:sz w:val="21"/>
                <w:szCs w:val="21"/>
                <w:u w:val="none"/>
              </w:rPr>
            </w:pPr>
            <w:r>
              <w:rPr>
                <w:rFonts w:hint="default" w:ascii="Times New Roman" w:hAnsi="Times New Roman" w:eastAsia="宋体" w:cs="Times New Roman"/>
                <w:b w:val="0"/>
                <w:bCs w:val="0"/>
                <w:i w:val="0"/>
                <w:color w:val="auto"/>
                <w:kern w:val="0"/>
                <w:sz w:val="21"/>
                <w:szCs w:val="21"/>
                <w:u w:val="none"/>
                <w:lang w:val="en-US" w:eastAsia="zh-CN" w:bidi="ar"/>
              </w:rPr>
              <w:t>产品名称</w:t>
            </w:r>
          </w:p>
        </w:tc>
        <w:tc>
          <w:tcPr>
            <w:tcW w:w="1477" w:type="pct"/>
            <w:tcBorders>
              <w:tl2br w:val="nil"/>
              <w:tr2bl w:val="nil"/>
            </w:tcBorders>
            <w:noWrap w:val="0"/>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i w:val="0"/>
                <w:color w:val="auto"/>
                <w:sz w:val="21"/>
                <w:szCs w:val="21"/>
                <w:u w:val="none"/>
              </w:rPr>
            </w:pPr>
            <w:r>
              <w:rPr>
                <w:rFonts w:hint="default" w:ascii="Times New Roman" w:hAnsi="Times New Roman" w:eastAsia="宋体" w:cs="Times New Roman"/>
                <w:b w:val="0"/>
                <w:bCs w:val="0"/>
                <w:i w:val="0"/>
                <w:color w:val="auto"/>
                <w:kern w:val="0"/>
                <w:sz w:val="21"/>
                <w:szCs w:val="21"/>
                <w:u w:val="none"/>
                <w:lang w:val="en-US" w:eastAsia="zh-CN" w:bidi="ar"/>
              </w:rPr>
              <w:t>总产量（吨）</w:t>
            </w:r>
          </w:p>
        </w:tc>
        <w:tc>
          <w:tcPr>
            <w:tcW w:w="1379" w:type="pct"/>
            <w:tcBorders>
              <w:tl2br w:val="nil"/>
              <w:tr2bl w:val="nil"/>
            </w:tcBorders>
            <w:noWrap w:val="0"/>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i w:val="0"/>
                <w:color w:val="auto"/>
                <w:kern w:val="0"/>
                <w:sz w:val="21"/>
                <w:szCs w:val="21"/>
                <w:u w:val="none"/>
                <w:lang w:val="en-US" w:eastAsia="zh-CN" w:bidi="ar"/>
              </w:rPr>
            </w:pPr>
            <w:r>
              <w:rPr>
                <w:rFonts w:hint="default" w:ascii="Times New Roman" w:hAnsi="Times New Roman" w:eastAsia="宋体" w:cs="Times New Roman"/>
                <w:b w:val="0"/>
                <w:bCs w:val="0"/>
                <w:i w:val="0"/>
                <w:color w:val="auto"/>
                <w:kern w:val="0"/>
                <w:sz w:val="21"/>
                <w:szCs w:val="21"/>
                <w:u w:val="none"/>
                <w:lang w:val="en-US" w:eastAsia="zh-CN" w:bidi="ar"/>
              </w:rPr>
              <w:t>品位%</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606" w:type="pct"/>
            <w:tcBorders>
              <w:tl2br w:val="nil"/>
              <w:tr2bl w:val="nil"/>
            </w:tcBorders>
            <w:noWrap w:val="0"/>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i w:val="0"/>
                <w:color w:val="auto"/>
                <w:sz w:val="21"/>
                <w:szCs w:val="21"/>
                <w:u w:val="none"/>
              </w:rPr>
            </w:pPr>
            <w:r>
              <w:rPr>
                <w:rFonts w:hint="default" w:ascii="Times New Roman" w:hAnsi="Times New Roman" w:eastAsia="宋体" w:cs="Times New Roman"/>
                <w:b w:val="0"/>
                <w:bCs w:val="0"/>
                <w:i w:val="0"/>
                <w:color w:val="auto"/>
                <w:kern w:val="0"/>
                <w:sz w:val="21"/>
                <w:szCs w:val="21"/>
                <w:u w:val="none"/>
                <w:lang w:val="en-US" w:eastAsia="zh-CN" w:bidi="ar"/>
              </w:rPr>
              <w:t>1</w:t>
            </w:r>
          </w:p>
        </w:tc>
        <w:tc>
          <w:tcPr>
            <w:tcW w:w="1537" w:type="pct"/>
            <w:tcBorders>
              <w:tl2br w:val="nil"/>
              <w:tr2bl w:val="nil"/>
            </w:tcBorders>
            <w:noWrap w:val="0"/>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i w:val="0"/>
                <w:color w:val="auto"/>
                <w:sz w:val="21"/>
                <w:szCs w:val="21"/>
                <w:u w:val="none"/>
              </w:rPr>
            </w:pPr>
            <w:r>
              <w:rPr>
                <w:rFonts w:hint="default" w:ascii="Times New Roman" w:hAnsi="Times New Roman" w:eastAsia="宋体" w:cs="Times New Roman"/>
                <w:b w:val="0"/>
                <w:bCs w:val="0"/>
                <w:i w:val="0"/>
                <w:color w:val="auto"/>
                <w:sz w:val="21"/>
                <w:szCs w:val="21"/>
                <w:u w:val="none"/>
                <w:lang w:val="en-US" w:eastAsia="zh-CN"/>
              </w:rPr>
              <w:t>铁精粉</w:t>
            </w:r>
          </w:p>
        </w:tc>
        <w:tc>
          <w:tcPr>
            <w:tcW w:w="1477" w:type="pct"/>
            <w:tcBorders>
              <w:tl2br w:val="nil"/>
              <w:tr2bl w:val="nil"/>
            </w:tcBorders>
            <w:noWrap w:val="0"/>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i w:val="0"/>
                <w:color w:val="auto"/>
                <w:sz w:val="21"/>
                <w:szCs w:val="21"/>
                <w:u w:val="none"/>
                <w:lang w:val="en-US"/>
              </w:rPr>
            </w:pPr>
            <w:r>
              <w:rPr>
                <w:rFonts w:hint="default" w:ascii="Times New Roman" w:hAnsi="Times New Roman" w:eastAsia="宋体" w:cs="Times New Roman"/>
                <w:b w:val="0"/>
                <w:bCs w:val="0"/>
                <w:i w:val="0"/>
                <w:color w:val="auto"/>
                <w:kern w:val="0"/>
                <w:sz w:val="21"/>
                <w:szCs w:val="21"/>
                <w:u w:val="none"/>
                <w:lang w:val="en-US" w:eastAsia="zh-CN" w:bidi="ar"/>
              </w:rPr>
              <w:t>50000</w:t>
            </w:r>
          </w:p>
        </w:tc>
        <w:tc>
          <w:tcPr>
            <w:tcW w:w="1379" w:type="pct"/>
            <w:tcBorders>
              <w:tl2br w:val="nil"/>
              <w:tr2bl w:val="nil"/>
            </w:tcBorders>
            <w:noWrap w:val="0"/>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i w:val="0"/>
                <w:color w:val="auto"/>
                <w:kern w:val="0"/>
                <w:sz w:val="21"/>
                <w:szCs w:val="21"/>
                <w:u w:val="none"/>
                <w:lang w:val="en-US" w:eastAsia="zh-CN" w:bidi="ar"/>
              </w:rPr>
            </w:pPr>
            <w:r>
              <w:rPr>
                <w:rFonts w:hint="default" w:ascii="Times New Roman" w:hAnsi="Times New Roman" w:eastAsia="宋体" w:cs="Times New Roman"/>
                <w:b w:val="0"/>
                <w:bCs w:val="0"/>
                <w:i w:val="0"/>
                <w:color w:val="auto"/>
                <w:kern w:val="0"/>
                <w:sz w:val="21"/>
                <w:szCs w:val="21"/>
                <w:u w:val="none"/>
                <w:lang w:val="en-US" w:eastAsia="zh-CN" w:bidi="ar"/>
              </w:rPr>
              <w:t>66</w:t>
            </w:r>
          </w:p>
        </w:tc>
      </w:tr>
    </w:tbl>
    <w:p>
      <w:pPr>
        <w:pStyle w:val="266"/>
        <w:spacing w:beforeLines="50" w:line="360" w:lineRule="auto"/>
        <w:rPr>
          <w:rFonts w:hint="default" w:ascii="Times New Roman" w:hAnsi="Times New Roman" w:eastAsia="宋体" w:cs="Times New Roman"/>
          <w:color w:val="auto"/>
          <w:sz w:val="24"/>
          <w:szCs w:val="22"/>
        </w:rPr>
      </w:pPr>
      <w:bookmarkStart w:id="112" w:name="_Toc11012"/>
      <w:r>
        <w:rPr>
          <w:rFonts w:hint="default" w:ascii="Times New Roman" w:hAnsi="Times New Roman" w:eastAsia="宋体" w:cs="Times New Roman"/>
          <w:color w:val="auto"/>
          <w:szCs w:val="28"/>
        </w:rPr>
        <w:t>2.2</w:t>
      </w:r>
      <w:r>
        <w:rPr>
          <w:rFonts w:hint="default" w:ascii="Times New Roman" w:hAnsi="Times New Roman" w:eastAsia="宋体" w:cs="Times New Roman"/>
          <w:color w:val="auto"/>
          <w:szCs w:val="28"/>
          <w:lang w:eastAsia="zh-CN"/>
        </w:rPr>
        <w:t>现有</w:t>
      </w:r>
      <w:r>
        <w:rPr>
          <w:rFonts w:hint="default" w:ascii="Times New Roman" w:hAnsi="Times New Roman" w:eastAsia="宋体" w:cs="Times New Roman"/>
          <w:color w:val="auto"/>
          <w:szCs w:val="28"/>
        </w:rPr>
        <w:t>项目工程分析</w:t>
      </w:r>
      <w:bookmarkEnd w:id="112"/>
    </w:p>
    <w:p>
      <w:pPr>
        <w:pStyle w:val="73"/>
        <w:spacing w:beforeLines="50" w:line="360" w:lineRule="auto"/>
        <w:rPr>
          <w:rFonts w:hint="default" w:ascii="Times New Roman" w:hAnsi="Times New Roman" w:eastAsia="宋体" w:cs="Times New Roman"/>
          <w:color w:val="auto"/>
          <w:szCs w:val="22"/>
        </w:rPr>
      </w:pPr>
      <w:r>
        <w:rPr>
          <w:rFonts w:hint="default" w:ascii="Times New Roman" w:hAnsi="Times New Roman" w:eastAsia="宋体" w:cs="Times New Roman"/>
          <w:color w:val="auto"/>
          <w:sz w:val="28"/>
          <w:szCs w:val="28"/>
        </w:rPr>
        <w:t>2.2.1工艺流程</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b w:val="0"/>
          <w:color w:val="auto"/>
          <w:sz w:val="24"/>
          <w:szCs w:val="24"/>
        </w:rPr>
        <w:t>项目</w:t>
      </w:r>
      <w:r>
        <w:rPr>
          <w:rFonts w:hint="default" w:ascii="Times New Roman" w:hAnsi="Times New Roman" w:eastAsia="宋体" w:cs="Times New Roman"/>
          <w:kern w:val="0"/>
          <w:sz w:val="24"/>
        </w:rPr>
        <w:t>采用磁选法生产，尾矿干排，主要步骤如下：</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（1）破碎筛分</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破碎产品粒度0～50mm。原矿通过汽车运至</w:t>
      </w:r>
      <w:r>
        <w:rPr>
          <w:rFonts w:hint="default" w:ascii="Times New Roman" w:hAnsi="Times New Roman" w:eastAsia="宋体" w:cs="Times New Roman"/>
          <w:kern w:val="0"/>
          <w:sz w:val="24"/>
          <w:lang w:eastAsia="zh-CN"/>
        </w:rPr>
        <w:t>料仓</w:t>
      </w:r>
      <w:r>
        <w:rPr>
          <w:rFonts w:hint="default" w:ascii="Times New Roman" w:hAnsi="Times New Roman" w:eastAsia="宋体" w:cs="Times New Roman"/>
          <w:kern w:val="0"/>
          <w:sz w:val="24"/>
        </w:rPr>
        <w:t>。通过电振给料机给入颚式破碎机进行粗碎，粗碎产品经输送机给入锤式破碎机进行细碎，再经皮带输送给振动筛进行筛分，筛下产品经输送机给入球磨机。筛上产品经由胶带输送机返回锤式破碎机细碎。</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（2）磨选</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经过破碎、筛分的原矿（0mm～2mm）由皮带机给入球磨机进行磨矿，分级机分级，粗颗粒返回球磨机继续研磨，细颗粒经磁选机一次磁选后进入高频筛，经过二次磁选、三次磁选后产出成品；粗颗粒进入二次磨矿，二次分级后再进入高频筛，进行循环，最多经三次磁选后即为精矿粉。</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（3）精矿脱水</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精矿选用精矿脱水机进行脱水，精矿粉经卸矿皮带卸到精矿堆场，脱水后精矿粉品位在66％以上，水份小于10％，装袋后定期外卖。</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（4）尾矿干排</w:t>
      </w:r>
    </w:p>
    <w:p>
      <w:pPr>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尾矿浓度低、流量大，磁选后尾矿经泵输送至尾矿甩干脱水机旋流脱水，旋流器采用圆形机组布局，利用离心沉降的原理，旋流器底流自流入脱水筛，脱水筛筛下料需返回旋流器形成闭路循环，旋流器溢流后进入</w:t>
      </w:r>
      <w:r>
        <w:rPr>
          <w:rFonts w:hint="default" w:ascii="Times New Roman" w:hAnsi="Times New Roman" w:eastAsia="宋体" w:cs="Times New Roman"/>
          <w:sz w:val="24"/>
          <w:szCs w:val="24"/>
          <w:lang w:eastAsia="zh-CN"/>
        </w:rPr>
        <w:t>浓密罐</w:t>
      </w:r>
      <w:r>
        <w:rPr>
          <w:rFonts w:hint="default" w:ascii="Times New Roman" w:hAnsi="Times New Roman" w:eastAsia="宋体" w:cs="Times New Roman"/>
          <w:sz w:val="24"/>
          <w:szCs w:val="24"/>
        </w:rPr>
        <w:t>，上层清液经泵送回磨选车间，循环使用，尾矿渣定期清掏、脱水后（含水率低于20%）送至尾矿仓，定期</w:t>
      </w:r>
      <w:r>
        <w:rPr>
          <w:rFonts w:hint="default" w:ascii="Times New Roman" w:hAnsi="Times New Roman" w:eastAsia="宋体" w:cs="Times New Roman"/>
          <w:sz w:val="24"/>
          <w:szCs w:val="24"/>
          <w:lang w:eastAsia="zh-CN"/>
        </w:rPr>
        <w:t>外售</w:t>
      </w:r>
      <w:r>
        <w:rPr>
          <w:rFonts w:hint="default" w:ascii="Times New Roman" w:hAnsi="Times New Roman" w:eastAsia="宋体" w:cs="Times New Roman"/>
          <w:sz w:val="24"/>
          <w:szCs w:val="24"/>
          <w:lang w:val="en-US" w:eastAsia="zh-CN"/>
        </w:rPr>
        <w:t>。</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sectPr>
          <w:pgSz w:w="11907" w:h="16840"/>
          <w:pgMar w:top="1417" w:right="1417" w:bottom="1417" w:left="1417" w:header="964" w:footer="964" w:gutter="0"/>
          <w:cols w:space="720" w:num="1"/>
          <w:docGrid w:linePitch="312" w:charSpace="0"/>
        </w:sectPr>
      </w:pPr>
      <w:r>
        <w:rPr>
          <w:rFonts w:hint="default" w:ascii="Times New Roman" w:hAnsi="Times New Roman" w:eastAsia="宋体" w:cs="Times New Roman"/>
          <w:sz w:val="24"/>
          <w:szCs w:val="24"/>
          <w:lang w:eastAsia="zh-CN"/>
        </w:rPr>
        <w:t>铁精粉</w:t>
      </w:r>
      <w:r>
        <w:rPr>
          <w:rFonts w:hint="default" w:ascii="Times New Roman" w:hAnsi="Times New Roman" w:eastAsia="宋体" w:cs="Times New Roman"/>
          <w:sz w:val="24"/>
          <w:szCs w:val="24"/>
          <w:lang w:val="en-US" w:eastAsia="zh-CN"/>
        </w:rPr>
        <w:t>生产</w:t>
      </w:r>
      <w:r>
        <w:rPr>
          <w:rFonts w:hint="default" w:ascii="Times New Roman" w:hAnsi="Times New Roman" w:eastAsia="宋体" w:cs="Times New Roman"/>
          <w:sz w:val="24"/>
          <w:szCs w:val="24"/>
        </w:rPr>
        <w:t>工艺流程及产污节点图如下。</w:t>
      </w:r>
    </w:p>
    <w:p>
      <w:pPr>
        <w:widowControl w:val="0"/>
        <w:spacing w:after="120" w:line="480" w:lineRule="auto"/>
        <w:ind w:left="0" w:leftChars="0" w:firstLine="0" w:firstLineChars="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_x0000_s2927" o:spid="_x0000_s2927" o:spt="202" type="#_x0000_t202" style="position:absolute;left:0pt;margin-left:65.55pt;margin-top:5.1pt;height:24pt;width:58.5pt;z-index:251751424;mso-width-relative:page;mso-height-relative:page;" fillcolor="#FFFFFF" filled="t" stroked="t" coordsize="21600,21600" o:gfxdata="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FH1E7dUAAAAJAQAADwAAAAAAAAABACAAAAAiAAAAZHJzL2Rvd25yZXYueG1s&#10;UEsBAhQAFAAAAAgAh07iQOYO5GptAgAA0wQAAA4AAAAAAAAAAQAgAAAAJAEAAGRycy9lMm9Eb2Mu&#10;eG1sUEsFBgAAAAAGAAYAWQEAAAMGA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破碎车间</w:t>
                  </w:r>
                </w:p>
              </w:txbxContent>
            </v:textbox>
          </v:shape>
        </w:pict>
      </w:r>
    </w:p>
    <w:p>
      <w:pPr>
        <w:widowControl w:val="0"/>
        <w:spacing w:after="120" w:line="480" w:lineRule="auto"/>
        <w:ind w:left="0" w:leftChars="0" w:firstLine="0" w:firstLineChars="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文本框 250" o:spid="_x0000_s2926" o:spt="202" type="#_x0000_t202" style="position:absolute;left:0pt;margin-left:135.3pt;margin-top:26.8pt;height:24pt;width:29.3pt;z-index:251799552;mso-width-relative:page;mso-height-relative:page;" filled="f" stroked="f" coordsize="21600,21600" o:gfxdata="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F9Xyx7bAAAACgEAAA8A&#10;AAAAAAAAAQAgAAAAIgAAAGRycy9kb3ducmV2LnhtbFBLAQIUABQAAAAIAIdO4kCejAVBTQIAAIME&#10;AAAOAAAAAAAAAAEAIAAAACoBAABkcnMvZTJvRG9jLnhtbFBLBQYAAAAABgAGAFkBAADp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G</w:t>
                  </w:r>
                </w:p>
              </w:txbxContent>
            </v:textbox>
          </v:shape>
        </w:pict>
      </w:r>
      <w:r>
        <w:rPr>
          <w:rFonts w:hint="default" w:ascii="Times New Roman" w:hAnsi="Times New Roman" w:eastAsia="宋体" w:cs="Times New Roman"/>
          <w:kern w:val="2"/>
          <w:sz w:val="21"/>
          <w:szCs w:val="24"/>
          <w:lang w:val="en-US" w:eastAsia="zh-CN" w:bidi="ar-SA"/>
        </w:rPr>
        <w:pict>
          <v:shape id="直接箭头连接符 281" o:spid="_x0000_s2925" o:spt="32" type="#_x0000_t32" style="position:absolute;left:0pt;margin-left:97.45pt;margin-top:0.2pt;height:21.75pt;width:0.35pt;z-index:251752448;mso-width-relative:page;mso-height-relative:page;" filled="f" stroked="t" coordsize="21600,21600" o:gfxdata="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64PbLWAAAABwEAAA8AAAAAAAAAAQAg&#10;AAAAIgAAAGRycy9kb3ducmV2LnhtbFBLAQIUABQAAAAIAIdO4kD46iDIEAIAAPIDAAAOAAAAAAAA&#10;AAEAIAAAACUBAABkcnMvZTJvRG9jLnhtbFBLBQYAAAAABgAGAFkBAACnBQAA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文本框 282" o:spid="_x0000_s2924" o:spt="202" type="#_x0000_t202" style="position:absolute;left:0pt;margin-left:70.8pt;margin-top:23pt;height:24pt;width:52.5pt;z-index:251751424;mso-width-relative:page;mso-height-relative:page;" fillcolor="#FFFFFF" filled="t" stroked="t" coordsize="21600,21600" o:gfxdata="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3&#10;V7RG1QAAAAkBAAAPAAAAAAAAAAEAIAAAACIAAABkcnMvZG93bnJldi54bWxQSwECFAAUAAAACACH&#10;TuJAAdMTcGACAADIBAAADgAAAAAAAAABACAAAAAkAQAAZHJzL2Uyb0RvYy54bWxQSwUGAAAAAAYA&#10;BgBZAQAA9gU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上料</w:t>
                  </w:r>
                </w:p>
              </w:txbxContent>
            </v:textbox>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直接箭头连接符 249" o:spid="_x0000_s2923" o:spt="32" type="#_x0000_t32" style="position:absolute;left:0pt;flip:y;margin-left:124.8pt;margin-top:4.9pt;height:0.25pt;width:19.9pt;z-index:251800576;mso-width-relative:page;mso-height-relative:page;" filled="f" stroked="t" coordsize="21600,21600" o:gfxdata="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Epj&#10;YPjUAAAACAEAAA8AAAAAAAAAAQAgAAAAIgAAAGRycy9kb3ducmV2LnhtbFBLAQIUABQAAAAIAIdO&#10;4kCdBbcKJwIAAAcEAAAOAAAAAAAAAAEAIAAAACMBAABkcnMvZTJvRG9jLnhtbFBLBQYAAAAABgAG&#10;AFkBAAC8BQAAAAA=&#10;">
            <v:path arrowok="t"/>
            <v:fill on="f" focussize="0,0"/>
            <v:stroke color="#000000" joinstyle="round" dashstyle="dash" endarrow="block"/>
            <v:imagedata o:title=""/>
            <o:lock v:ext="edit" aspectratio="f"/>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直接箭头连接符 127" o:spid="_x0000_s2928" o:spt="32" type="#_x0000_t32" style="position:absolute;left:0pt;margin-left:97.8pt;margin-top:5.95pt;height:24pt;width:0pt;z-index:251752448;mso-width-relative:page;mso-height-relative:page;" filled="f" stroked="t" coordsize="21600,21600" o:gfxdata="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G7DgBXXAAAACQEA&#10;AA8AAAAAAAAAAQAgAAAAIgAAAGRycy9kb3ducmV2LnhtbFBLAQIUABQAAAAIAIdO4kB4tHiJGwIA&#10;APsDAAAOAAAAAAAAAAEAIAAAACYBAABkcnMvZTJvRG9jLnhtbFBLBQYAAAAABgAGAFkBAACzBQAA&#10;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文本框 279" o:spid="_x0000_s2929" o:spt="202" type="#_x0000_t202" style="position:absolute;left:0pt;margin-left:118.8pt;margin-top:16.8pt;height:24pt;width:41.25pt;z-index:251784192;mso-width-relative:page;mso-height-relative:page;" filled="f" stroked="f" coordsize="21600,21600" o:gfxdata="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2wRRl2gAAAAkBAAAPAAAAAAAAAAEA&#10;IAAAACIAAABkcnMvZG93bnJldi54bWxQSwECFAAUAAAACACHTuJAIE348EYCAAB3BAAADgAAAAAA&#10;AAABACAAAAApAQAAZHJzL2Uyb0RvYy54bWxQSwUGAAAAAAYABgBZAQAA4QU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N</w:t>
                  </w:r>
                </w:p>
              </w:txbxContent>
            </v:textbox>
          </v:shape>
        </w:pict>
      </w:r>
      <w:r>
        <w:rPr>
          <w:rFonts w:hint="default" w:ascii="Times New Roman" w:hAnsi="Times New Roman" w:eastAsia="宋体" w:cs="Times New Roman"/>
          <w:kern w:val="2"/>
          <w:sz w:val="21"/>
          <w:szCs w:val="24"/>
          <w:lang w:val="en-US" w:eastAsia="zh-CN" w:bidi="ar-SA"/>
        </w:rPr>
        <w:pict>
          <v:shape id="文本框 133" o:spid="_x0000_s2930" o:spt="202" type="#_x0000_t202" style="position:absolute;left:0pt;margin-left:97.05pt;margin-top:5.55pt;height:24pt;width:52.5pt;z-index:251774976;mso-width-relative:page;mso-height-relative:page;" filled="f" stroked="f" coordsize="21600,21600" o:gfxdata="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SRaoLXAAAACQEAAA8AAAAAAAAAAQAgAAAAIgAA&#10;AGRycy9kb3ducmV2LnhtbFBLAQIUABQAAAAIAIdO4kDhuJr9QgIAAHcEAAAOAAAAAAAAAAEAIAAA&#10;ACYBAABkcnMvZTJvRG9jLnhtbFBLBQYAAAAABgAGAFkBAADa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粗破</w:t>
                  </w:r>
                </w:p>
              </w:txbxContent>
            </v:textbox>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文本框 134" o:spid="_x0000_s2931" o:spt="202" type="#_x0000_t202" style="position:absolute;left:0pt;margin-left:61.8pt;margin-top:0.1pt;height:24pt;width:69.75pt;z-index:251753472;mso-width-relative:page;mso-height-relative:page;" fillcolor="#FFFFFF" filled="t" stroked="t" coordsize="21600,21600" o:gfxdata="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4ygv00gAAAAcBAAAPAAAAAAAAAAEAIAAAACIAAABkcnMvZG93bnJldi54bWxQ&#10;SwECFAAUAAAACACHTuJAm8zMmm8CAADUBAAADgAAAAAAAAABACAAAAAhAQAAZHJzL2Uyb0RvYy54&#10;bWxQSwUGAAAAAAYABgBZAQAAAgY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颚式破碎机</w:t>
                  </w:r>
                </w:p>
              </w:txbxContent>
            </v:textbox>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文本框 149" o:spid="_x0000_s2932" o:spt="202" type="#_x0000_t202" style="position:absolute;left:0pt;margin-left:91.8pt;margin-top:11.35pt;height:24pt;width:62.25pt;z-index:251749376;mso-width-relative:page;mso-height-relative:page;" filled="f" stroked="f" coordsize="21600,21600" o:gfxdata="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9W5hY2gAAAAkBAAAPAAAAAAAAAAEA&#10;IAAAACIAAABkcnMvZG93bnJldi54bWxQSwECFAAUAAAACACHTuJAi8UOMUYCAAB3BAAADgAAAAAA&#10;AAABACAAAAApAQAAZHJzL2Uyb0RvYy54bWxQSwUGAAAAAAYABgBZAQAA4QU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二次破碎</w:t>
                  </w:r>
                </w:p>
              </w:txbxContent>
            </v:textbox>
          </v:shape>
        </w:pict>
      </w:r>
      <w:r>
        <w:rPr>
          <w:rFonts w:hint="default" w:ascii="Times New Roman" w:hAnsi="Times New Roman" w:eastAsia="宋体" w:cs="Times New Roman"/>
          <w:kern w:val="2"/>
          <w:sz w:val="21"/>
          <w:szCs w:val="24"/>
          <w:lang w:val="en-US" w:eastAsia="zh-CN" w:bidi="ar-SA"/>
        </w:rPr>
        <w:pict>
          <v:shape id="直接箭头连接符 148" o:spid="_x0000_s2933" o:spt="32" type="#_x0000_t32" style="position:absolute;left:0pt;margin-left:97.05pt;margin-top:13.25pt;height:24pt;width:0pt;z-index:251760640;mso-width-relative:page;mso-height-relative:page;" filled="f" stroked="t" coordsize="21600,21600" o:gfxdata="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Fu2DDZAAAA&#10;CQEAAA8AAAAAAAAAAQAgAAAAIgAAAGRycy9kb3ducmV2LnhtbFBLAQIUABQAAAAIAIdO4kBgZi/I&#10;HAIAAPsDAAAOAAAAAAAAAAEAIAAAACgBAABkcnMvZTJvRG9jLnhtbFBLBQYAAAAABgAGAFkBAAC2&#10;BQAA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934" o:spid="_x0000_s2934" o:spt="202" type="#_x0000_t202" style="position:absolute;left:0pt;margin-left:121.8pt;margin-top:21.1pt;height:24pt;width:41.25pt;z-index:251788288;mso-width-relative:page;mso-height-relative:page;" filled="f" stroked="f" coordsize="21600,21600" o:gfxdata="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tp0Oa2gAAAAkBAAAPAAAAAAAAAAEA&#10;IAAAACIAAABkcnMvZG93bnJldi54bWxQSwECFAAUAAAACACHTuJAYHsiqUYCAAB3BAAADgAAAAAA&#10;AAABACAAAAApAQAAZHJzL2Uyb0RvYy54bWxQSwUGAAAAAAYABgBZAQAA4QU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N</w:t>
                  </w:r>
                </w:p>
              </w:txbxContent>
            </v:textbox>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文本框 150" o:spid="_x0000_s2935" o:spt="202" type="#_x0000_t202" style="position:absolute;left:0pt;margin-left:64.05pt;margin-top:6.65pt;height:24pt;width:69.75pt;z-index:251761664;mso-width-relative:page;mso-height-relative:page;" fillcolor="#FFFFFF" filled="t" stroked="t" coordsize="21600,21600" o:gfxdata="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o3TQq9UAAAAJAQAADwAAAAAAAAABACAAAAAiAAAAZHJzL2Rvd25yZXYueG1s&#10;UEsBAhQAFAAAAAgAh07iQFKA47xtAgAA1AQAAA4AAAAAAAAAAQAgAAAAJAEAAGRycy9lMm9Eb2Mu&#10;eG1sUEsFBgAAAAAGAAYAWQEAAAMGA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锤式破碎机</w:t>
                  </w:r>
                </w:p>
              </w:txbxContent>
            </v:textbox>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直接箭头连接符 193" o:spid="_x0000_s2945" o:spt="32" type="#_x0000_t32" style="position:absolute;left:0pt;margin-left:97.05pt;margin-top:19pt;height:24pt;width:0pt;z-index:251758592;mso-width-relative:page;mso-height-relative:page;" filled="f" stroked="t" coordsize="21600,21600" o:gfxdata="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Z7hFwNcAAAAJ&#10;AQAADwAAAAAAAAABACAAAAAiAAAAZHJzL2Rvd25yZXYueG1sUEsBAhQAFAAAAAgAh07iQBba0IAd&#10;AgAA+wMAAA4AAAAAAAAAAQAgAAAAJgEAAGRycy9lMm9Eb2MueG1sUEsFBgAAAAAGAAYAWQEAALUF&#10;AAA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946" o:spid="_x0000_s2946" o:spt="202" type="#_x0000_t202" style="position:absolute;left:0pt;margin-left:107.55pt;margin-top:26.1pt;height:24pt;width:41.25pt;z-index:251789312;mso-width-relative:page;mso-height-relative:page;" filled="f" stroked="f" coordsize="21600,21600" o:gfxdata="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G47wR2gAAAAoBAAAPAAAAAAAAAAEA&#10;IAAAACIAAABkcnMvZG93bnJldi54bWxQSwECFAAUAAAACACHTuJAux2s8kYCAAB3BAAADgAAAAAA&#10;AAABACAAAAApAQAAZHJzL2Uyb0RvYy54bWxQSwUGAAAAAAYABgBZAQAA4QU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N</w:t>
                  </w:r>
                </w:p>
              </w:txbxContent>
            </v:textbox>
          </v:shape>
        </w:pict>
      </w:r>
    </w:p>
    <w:p>
      <w:pPr>
        <w:rPr>
          <w:rFonts w:hint="default" w:ascii="Times New Roman" w:hAnsi="Times New Roman" w:eastAsia="宋体" w:cs="Times New Roman"/>
        </w:rPr>
      </w:pP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文本框 194" o:spid="_x0000_s2956" o:spt="202" type="#_x0000_t202" style="position:absolute;left:0pt;margin-left:71.55pt;margin-top:0.35pt;height:24pt;width:52.5pt;z-index:251762688;mso-width-relative:page;mso-height-relative:page;" fillcolor="#FFFFFF" filled="t" stroked="t" coordsize="21600,21600" o:gfxdata="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DlWGD0gAAAAcBAAAPAAAAAAAAAAEAIAAAACIAAABkcnMvZG93bnJldi54bWxQ&#10;SwECFAAUAAAACACHTuJA+yNG8W8CAADUBAAADgAAAAAAAAABACAAAAAhAQAAZHJzL2Uyb0RvYy54&#10;bWxQSwUGAAAAAAYABgBZAQAAAgY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振动筛</w:t>
                  </w:r>
                </w:p>
              </w:txbxContent>
            </v:textbox>
          </v:shape>
        </w:pict>
      </w:r>
      <w:r>
        <w:rPr>
          <w:rFonts w:hint="default" w:ascii="Times New Roman" w:hAnsi="Times New Roman" w:eastAsia="宋体" w:cs="Times New Roman"/>
          <w:kern w:val="2"/>
          <w:sz w:val="21"/>
          <w:szCs w:val="24"/>
          <w:lang w:val="en-US" w:eastAsia="zh-CN" w:bidi="ar-SA"/>
        </w:rPr>
        <w:pict>
          <v:shape id="直接箭头连接符 151" o:spid="_x0000_s2957" o:spt="32" type="#_x0000_t32" style="position:absolute;left:0pt;margin-left:97.8pt;margin-top:24.8pt;height:24pt;width:0pt;z-index:251759616;mso-width-relative:page;mso-height-relative:page;" filled="f" stroked="t" coordsize="21600,21600" o:gfxdata="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mixiXtgAAAAJAQAA&#10;DwAAAAAAAAABACAAAAAiAAAAZHJzL2Rvd25yZXYueG1sUEsBAhQAFAAAAAgAh07iQHh1gW0ZAgAA&#10;+wMAAA4AAAAAAAAAAQAgAAAAJwEAAGRycy9lMm9Eb2MueG1sUEsFBgAAAAAGAAYAWQEAALIFAAAA&#10;AA==&#10;">
            <v:path arrowok="t"/>
            <v:fill on="f" focussize="0,0"/>
            <v:stroke color="#000000" joinstyle="round" endarrow="block"/>
            <v:imagedata o:title=""/>
            <o:lock v:ext="edit" aspectratio="f"/>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_x0000_s2958" o:spid="_x0000_s2958" o:spt="202" type="#_x0000_t202" style="position:absolute;left:0pt;margin-left:103.05pt;margin-top:1.75pt;height:24pt;width:41.25pt;z-index:251786240;mso-width-relative:page;mso-height-relative:page;" filled="f" stroked="f" coordsize="21600,21600" o:gfxdata="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ZDk0u2AAAAAgBAAAP&#10;AAAAAAAAAAEAIAAAACIAAABkcnMvZG93bnJldi54bWxQSwECFAAUAAAACACHTuJACkRQ9lECAACD&#10;BAAADgAAAAAAAAABACAAAAAnAQAAZHJzL2Uyb0RvYy54bWxQSwUGAAAAAAYABgBZAQAA6gU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N</w:t>
                  </w:r>
                </w:p>
              </w:txbxContent>
            </v:textbox>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文本框 195" o:spid="_x0000_s2883" o:spt="202" type="#_x0000_t202" style="position:absolute;left:0pt;margin-left:70.8pt;margin-top:6.1pt;height:24pt;width:52.5pt;z-index:251763712;mso-width-relative:page;mso-height-relative:page;" fillcolor="#FFFFFF" filled="t" stroked="t" coordsize="21600,21600" o:gfxdata="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MzAN51QAAAAkBAAAPAAAAAAAAAAEAIAAAACIAAABkcnMvZG93bnJldi54&#10;bWxQSwECFAAUAAAACACHTuJAX6pijW8CAADUBAAADgAAAAAAAAABACAAAAAkAQAAZHJzL2Uyb0Rv&#10;Yy54bWxQSwUGAAAAAAYABgBZAQAABQY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球磨机</w:t>
                  </w:r>
                </w:p>
              </w:txbxContent>
            </v:textbox>
          </v:shape>
        </w:pict>
      </w:r>
      <w:r>
        <w:rPr>
          <w:rFonts w:hint="default" w:ascii="Times New Roman" w:hAnsi="Times New Roman" w:eastAsia="宋体" w:cs="Times New Roman"/>
          <w:kern w:val="2"/>
          <w:sz w:val="21"/>
          <w:szCs w:val="24"/>
          <w:lang w:val="en-US" w:eastAsia="zh-CN" w:bidi="ar-SA"/>
        </w:rPr>
        <w:pict>
          <v:group id="组合 292" o:spid="_x0000_s2881" o:spt="203" style="position:absolute;left:0pt;margin-left:49.5pt;margin-top:18.15pt;height:48.4pt;width:22.8pt;z-index:251794432;mso-width-relative:page;mso-height-relative:page;" coordorigin="8064,715586" coordsize="426,968" o:gfxdata="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">
            <o:lock v:ext="edit" aspectratio="f"/>
            <v:shape id="直接箭头连接符 244" o:spid="_x0000_s2878" o:spt="32" type="#_x0000_t32" style="position:absolute;left:8064;top:715596;flip:x y;height:959;width:0;" filled="f" stroked="t" coordsize="21600,21600" o:gfxdata="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2wGL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shape>
            <v:shape id="直接箭头连接符 245" o:spid="_x0000_s2879" o:spt="32" type="#_x0000_t32" style="position:absolute;left:8064;top:715586;flip:x;height:10;width:426;" filled="f" stroked="t" coordsize="21600,21600" o:gfxdata="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elm8e8AAAA&#10;3AAAAA8AAAAAAAAAAQAgAAAAIgAAAGRycy9kb3ducmV2LnhtbFBLAQIUABQAAAAIAIdO4kAzLwWe&#10;OwAAADkAAAAQAAAAAAAAAAEAIAAAAAsBAABkcnMvc2hhcGV4bWwueG1sUEsFBgAAAAAGAAYAWwEA&#10;ALUDAAAAAA==&#10;">
              <v:path arrowok="t"/>
              <v:fill on="f" focussize="0,0"/>
              <v:stroke color="#000000" joinstyle="round" startarrow="block"/>
              <v:imagedata o:title=""/>
              <o:lock v:ext="edit" aspectratio="f"/>
            </v:shape>
            <v:shape id="直接箭头连接符 245" o:spid="_x0000_s2880" o:spt="32" type="#_x0000_t32" style="position:absolute;left:8079;top:716547;flip:x y;height:2;width:358;" filled="f" stroked="t" coordsize="21600,21600" o:gfxdata="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TeLNb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shape>
          </v:group>
        </w:pict>
      </w:r>
    </w:p>
    <w:p>
      <w:pPr>
        <w:rPr>
          <w:rFonts w:hint="default" w:ascii="Times New Roman" w:hAnsi="Times New Roman" w:eastAsia="宋体" w:cs="Times New Roman"/>
        </w:rPr>
      </w:pPr>
      <w:r>
        <w:rPr>
          <w:rFonts w:hint="default" w:ascii="Times New Roman" w:hAnsi="Times New Roman" w:eastAsia="宋体" w:cs="Times New Roman"/>
          <w:sz w:val="21"/>
        </w:rPr>
        <w:pict>
          <v:shape id="直接箭头连接符 155" o:spid="_x0000_s2882" o:spt="32" type="#_x0000_t32" style="position:absolute;left:0pt;margin-left:97.8pt;margin-top:1.15pt;height:24pt;width:0pt;z-index:251754496;mso-width-relative:page;mso-height-relative:page;" filled="f" stroked="t" coordsize="21600,21600" o:gfxdata="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A+2QOLXAAAA&#10;CAEAAA8AAAAAAAAAAQAgAAAAIgAAAGRycy9kb3ducmV2LnhtbFBLAQIUABQAAAAIAIdO4kDnHLt2&#10;HgIAAPsDAAAOAAAAAAAAAAEAIAAAACYBAABkcnMvZTJvRG9jLnhtbFBLBQYAAAAABgAGAFkBAAC2&#10;BQAAAAA=&#10;">
            <v:path arrowok="t"/>
            <v:fill on="f" focussize="0,0"/>
            <v:stroke color="#000000" joinstyle="round" endarrow="block"/>
            <v:imagedata o:title=""/>
            <o:lock v:ext="edit" aspectratio="f"/>
          </v:shape>
        </w:pict>
      </w:r>
      <w:r>
        <w:rPr>
          <w:rFonts w:hint="default" w:ascii="Times New Roman" w:hAnsi="Times New Roman" w:eastAsia="宋体" w:cs="Times New Roman"/>
          <w:sz w:val="21"/>
        </w:rPr>
        <w:pict>
          <v:shape id="_x0000_s2862" o:spid="_x0000_s2862" o:spt="202" type="#_x0000_t202" style="position:absolute;left:0pt;margin-left:105.3pt;margin-top:6.75pt;height:24pt;width:41.25pt;z-index:251787264;mso-width-relative:page;mso-height-relative:page;" filled="f" stroked="f" coordsize="21600,21600" o:gfxdata="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Vl9KfaAAAACQEA&#10;AA8AAAAAAAAAAQAgAAAAIgAAAGRycy9kb3ducmV2LnhtbFBLAQIUABQAAAAIAIdO4kAtfty9UQIA&#10;AIMEAAAOAAAAAAAAAAEAIAAAACkBAABkcnMvZTJvRG9jLnhtbFBLBQYAAAAABgAGAFkBAADsBQAA&#10;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N</w:t>
                  </w:r>
                </w:p>
              </w:txbxContent>
            </v:textbox>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文本框 198" o:spid="_x0000_s2871" o:spt="202" type="#_x0000_t202" style="position:absolute;left:0pt;margin-left:70.05pt;margin-top:12.65pt;height:24pt;width:52.5pt;z-index:251765760;mso-width-relative:page;mso-height-relative:page;" fillcolor="#FFFFFF" filled="t" stroked="t" coordsize="21600,21600" o:gfxdata="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bv9919UAAAAJAQAADwAAAAAAAAABACAAAAAiAAAAZHJzL2Rvd25yZXYueG1s&#10;UEsBAhQAFAAAAAgAh07iQDKUAMltAgAA0gQAAA4AAAAAAAAAAQAgAAAAJAEAAGRycy9lMm9Eb2Mu&#10;eG1sUEsFBgAAAAAGAAYAWQEAAAMGA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分级机</w:t>
                  </w:r>
                </w:p>
              </w:txbxContent>
            </v:textbox>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直接箭头连接符 157" o:spid="_x0000_s2863" o:spt="32" type="#_x0000_t32" style="position:absolute;left:0pt;margin-left:96.3pt;margin-top:7.7pt;height:24pt;width:0pt;z-index:251755520;mso-width-relative:page;mso-height-relative:page;" filled="f" stroked="t" coordsize="21600,21600" o:gfxdata="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qPHpl2AAAAAkB&#10;AAAPAAAAAAAAAAEAIAAAACIAAABkcnMvZG93bnJldi54bWxQSwECFAAUAAAACACHTuJA9nD6mBsC&#10;AAD7AwAADgAAAAAAAAABACAAAAAnAQAAZHJzL2Uyb0RvYy54bWxQSwUGAAAAAAYABgBZAQAAtAUA&#10;AAAA&#10;">
            <v:path arrowok="t"/>
            <v:fill on="f" focussize="0,0"/>
            <v:stroke color="#000000" joinstyle="round" endarrow="block"/>
            <v:imagedata o:title=""/>
            <o:lock v:ext="edit" aspectratio="f"/>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文本框 201" o:spid="_x0000_s2869" o:spt="202" type="#_x0000_t202" style="position:absolute;left:0pt;margin-left:67.8pt;margin-top:19.9pt;height:24pt;width:60.75pt;z-index:251764736;mso-width-relative:page;mso-height-relative:page;" fillcolor="#FFFFFF" filled="t" stroked="t" coordsize="21600,21600" o:gfxdata="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8QGrBtYAAAAJAQAADwAAAAAAAAABACAAAAAiAAAAZHJzL2Rvd25yZXYueG1s&#10;UEsBAhQAFAAAAAgAh07iQDsGWsJsAgAA0wQAAA4AAAAAAAAAAQAgAAAAJQEAAGRycy9lMm9Eb2Mu&#10;eG1sUEsFBgAAAAAGAAYAWQEAAAMGA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一段磁选</w:t>
                  </w:r>
                </w:p>
              </w:txbxContent>
            </v:textbox>
          </v:shape>
        </w:pict>
      </w:r>
      <w:r>
        <w:rPr>
          <w:rFonts w:hint="default" w:ascii="Times New Roman" w:hAnsi="Times New Roman" w:eastAsia="宋体" w:cs="Times New Roman"/>
          <w:kern w:val="2"/>
          <w:sz w:val="21"/>
          <w:szCs w:val="24"/>
          <w:lang w:val="en-US" w:eastAsia="zh-CN" w:bidi="ar-SA"/>
        </w:rPr>
        <w:pict>
          <v:shape id="_x0000_s2868" o:spid="_x0000_s2868" o:spt="202" type="#_x0000_t202" style="position:absolute;left:0pt;margin-left:124.05pt;margin-top:25.2pt;height:24pt;width:41.25pt;z-index:251793408;mso-width-relative:page;mso-height-relative:page;" filled="f" stroked="f" coordsize="21600,21600" o:gfxdata="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1PBkXbAAAACQEAAA8AAAAAAAAA&#10;AQAgAAAAIgAAAGRycy9kb3ducmV2LnhtbFBLAQIUABQAAAAIAIdO4kCNvAT2RwIAAHcEAAAOAAAA&#10;AAAAAAEAIAAAACoBAABkcnMvZTJvRG9jLnhtbFBLBQYAAAAABgAGAFkBAADj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S、W</w:t>
                  </w:r>
                </w:p>
              </w:txbxContent>
            </v:textbox>
          </v:shape>
        </w:pict>
      </w:r>
      <w:r>
        <w:rPr>
          <w:rFonts w:hint="default" w:ascii="Times New Roman" w:hAnsi="Times New Roman" w:eastAsia="宋体" w:cs="Times New Roman"/>
          <w:kern w:val="2"/>
          <w:sz w:val="21"/>
          <w:szCs w:val="24"/>
          <w:lang w:val="en-US" w:eastAsia="zh-CN" w:bidi="ar-SA"/>
        </w:rPr>
        <w:pict>
          <v:shape id="_x0000_s2870" o:spid="_x0000_s2870" o:spt="202" type="#_x0000_t202" style="position:absolute;left:0pt;margin-left:109.05pt;margin-top:4.95pt;height:24pt;width:41.25pt;z-index:251790336;mso-width-relative:page;mso-height-relative:page;" filled="f" stroked="f" coordsize="21600,21600" o:gfxdata="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ABdJU7YAAAACAEAAA8AAAAAAAAAAQAg&#10;AAAAIgAAAGRycy9kb3ducmV2LnhtbFBLAQIUABQAAAAIAIdO4kDWtj4eRwIAAHcEAAAOAAAAAAAA&#10;AAEAIAAAACcBAABkcnMvZTJvRG9jLnhtbFBLBQYAAAAABgAGAFkBAADg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N</w:t>
                  </w:r>
                </w:p>
              </w:txbxContent>
            </v:textbox>
          </v:shape>
        </w:pict>
      </w:r>
      <w:r>
        <w:rPr>
          <w:rFonts w:hint="default" w:ascii="Times New Roman" w:hAnsi="Times New Roman" w:eastAsia="宋体" w:cs="Times New Roman"/>
          <w:kern w:val="2"/>
          <w:sz w:val="21"/>
          <w:szCs w:val="24"/>
          <w:lang w:val="en-US" w:eastAsia="zh-CN" w:bidi="ar-SA"/>
        </w:rPr>
        <w:pict>
          <v:group id="组合 246" o:spid="_x0000_s2867" o:spt="203" style="position:absolute;left:0pt;margin-left:130.05pt;margin-top:26.4pt;height:194.45pt;width:283.1pt;z-index:251782144;mso-width-relative:page;mso-height-relative:page;" coordorigin="8018,717440" coordsize="5662,3889" o:gfxdata="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">
            <o:lock v:ext="edit" aspectratio="f"/>
            <v:shape id="直接箭头连接符 244" o:spid="_x0000_s2864" o:spt="32" type="#_x0000_t32" style="position:absolute;left:13665;top:717445;flip:y;height:3885;width:0;" filled="f" stroked="t" coordsize="21600,21600" o:gfxdata="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f0kDrsAAADc&#10;AAAADwAAAAAAAAABACAAAAAiAAAAZHJzL2Rvd25yZXYueG1sUEsBAhQAFAAAAAgAh07iQDMvBZ47&#10;AAAAOQAAABAAAAAAAAAAAQAgAAAACgEAAGRycy9zaGFwZXhtbC54bWxQSwUGAAAAAAYABgBbAQAA&#10;tAMAAAAA&#10;">
              <v:path arrowok="t"/>
              <v:fill on="f" focussize="0,0"/>
              <v:stroke color="#000000" joinstyle="round"/>
              <v:imagedata o:title=""/>
              <o:lock v:ext="edit" aspectratio="f"/>
            </v:shape>
            <v:shape id="直接箭头连接符 245" o:spid="_x0000_s2865" o:spt="32" type="#_x0000_t32" style="position:absolute;left:8018;top:717440;height:5;width:5647;" filled="f" stroked="t" coordsize="21600,21600" o:gfxdata="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c7XkvQAA&#10;ANwAAAAPAAAAAAAAAAEAIAAAACIAAABkcnMvZG93bnJldi54bWxQSwECFAAUAAAACACHTuJAMy8F&#10;njsAAAA5AAAAEAAAAAAAAAABACAAAAAMAQAAZHJzL3NoYXBleG1sLnhtbFBLBQYAAAAABgAGAFsB&#10;AAC2AwAAAAA=&#10;">
              <v:path arrowok="t"/>
              <v:fill on="f" focussize="0,0"/>
              <v:stroke color="#000000" joinstyle="round" startarrow="block"/>
              <v:imagedata o:title=""/>
              <o:lock v:ext="edit" aspectratio="f"/>
            </v:shape>
            <v:shape id="直接箭头连接符 243" o:spid="_x0000_s2866" o:spt="32" type="#_x0000_t32" style="position:absolute;left:11948;top:721325;height:5;width:1732;" filled="f" stroked="t" coordsize="21600,21600" o:gfxdata="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mfNrL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shape>
          </v:group>
        </w:pict>
      </w:r>
    </w:p>
    <w:p>
      <w:pPr>
        <w:rPr>
          <w:rFonts w:hint="default" w:ascii="Times New Roman" w:hAnsi="Times New Roman" w:eastAsia="宋体" w:cs="Times New Roman"/>
        </w:rPr>
      </w:pPr>
      <w:r>
        <w:rPr>
          <w:rFonts w:hint="default" w:ascii="Times New Roman" w:hAnsi="Times New Roman" w:eastAsia="宋体" w:cs="Times New Roman"/>
          <w:sz w:val="21"/>
        </w:rPr>
        <w:pict>
          <v:group id="组合 300" o:spid="_x0000_s2877" o:spt="203" style="position:absolute;left:0pt;margin-left:129.3pt;margin-top:11.15pt;height:91.2pt;width:27.7pt;z-index:251778048;mso-width-relative:page;mso-height-relative:page;" coordorigin="9630,717738" coordsize="554,1824" o:gfxdata="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PANciDaAAAACgEAAA8AAAAAAAAAAQAgAAAA&#10;IgAAAGRycy9kb3ducmV2LnhtbFBLAQIUABQAAAAIAIdO4kBwCJ957QIAAGsLAAAOAAAAAAAAAAEA&#10;IAAAACkBAABkcnMvZTJvRG9jLnhtbFBLBQYAAAAABgAGAFkBAACIBgAAAAA=&#10;">
            <o:lock v:ext="edit" aspectratio="f"/>
            <v:shape id="直接箭头连接符 230" o:spid="_x0000_s2873" o:spt="32" type="#_x0000_t32" style="position:absolute;left:9660;top:718559;height:6;width:525;" filled="f" stroked="t" coordsize="21600,21600" o:gfxdata="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pLSrb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shape>
            <v:shape id="直接箭头连接符 231" o:spid="_x0000_s2874" o:spt="32" type="#_x0000_t32" style="position:absolute;left:9630;top:717738;height:6;width:525;" filled="f" stroked="t" coordsize="21600,21600" o:gfxdata="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53Nr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shape>
            <v:shape id="直接箭头连接符 167" o:spid="_x0000_s2875" o:spt="32" type="#_x0000_t32" style="position:absolute;left:10155;top:717738;height:1824;width:0;" filled="f" stroked="t" coordsize="21600,21600" o:gfxdata="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jfvQr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shape>
            <v:shape id="直接箭头连接符 179" o:spid="_x0000_s2876" o:spt="32" type="#_x0000_t32" style="position:absolute;left:9630;top:719531;height:6;width:525;" filled="f" stroked="t" coordsize="21600,21600" o:gfxdata="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XtK2b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shape>
          </v:group>
        </w:pict>
      </w:r>
      <w:r>
        <w:rPr>
          <w:rFonts w:hint="default" w:ascii="Times New Roman" w:hAnsi="Times New Roman" w:eastAsia="宋体" w:cs="Times New Roman"/>
          <w:sz w:val="21"/>
        </w:rPr>
        <w:pict>
          <v:shape id="文本框 239" o:spid="_x0000_s2872" o:spt="202" type="#_x0000_t202" style="position:absolute;left:0pt;margin-left:278.55pt;margin-top:7.8pt;height:24pt;width:52.5pt;z-index:251798528;mso-width-relative:page;mso-height-relative:page;" filled="f" stroked="f" coordsize="21600,21600" o:gfxdata="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cw9TWdkAAAAJAQAADwAAAAAAAAABACAAAAAi&#10;AAAAZHJzL2Rvd25yZXYueG1sUEsBAhQAFAAAAAgAh07iQDZTXXlCAgAAdwQAAA4AAAAAAAAAAQAg&#10;AAAAKAEAAGRycy9lMm9Eb2MueG1sUEsFBgAAAAAGAAYAWQEAANwFA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尾矿渣</w:t>
                  </w:r>
                </w:p>
              </w:txbxContent>
            </v:textbox>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文本框 202" o:spid="_x0000_s2912" o:spt="202" type="#_x0000_t202" style="position:absolute;left:0pt;margin-left:67.05pt;margin-top:26.45pt;height:24pt;width:60.75pt;z-index:251766784;mso-width-relative:page;mso-height-relative:page;" fillcolor="#FFFFFF" filled="t" stroked="t" coordsize="21600,21600" o:gfxdata="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nJBjHWAAAACgEAAA8AAAAAAAAAAQAgAAAAIgAAAGRycy9kb3ducmV2&#10;LnhtbFBLAQIUABQAAAAIAIdO4kBM3QB2cAIAANQEAAAOAAAAAAAAAAEAIAAAACUBAABkcnMvZTJv&#10;RG9jLnhtbFBLBQYAAAAABgAGAFkBAAAHBg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二段磁选</w:t>
                  </w:r>
                </w:p>
              </w:txbxContent>
            </v:textbox>
          </v:shape>
        </w:pict>
      </w:r>
      <w:r>
        <w:rPr>
          <w:rFonts w:hint="default" w:ascii="Times New Roman" w:hAnsi="Times New Roman" w:eastAsia="宋体" w:cs="Times New Roman"/>
          <w:kern w:val="2"/>
          <w:sz w:val="21"/>
          <w:szCs w:val="24"/>
          <w:lang w:val="en-US" w:eastAsia="zh-CN" w:bidi="ar-SA"/>
        </w:rPr>
        <w:pict>
          <v:shape id="直接箭头连接符 187" o:spid="_x0000_s2913" o:spt="32" type="#_x0000_t32" style="position:absolute;left:0pt;margin-left:97.05pt;margin-top:2.15pt;height:24pt;width:0pt;z-index:251757568;mso-width-relative:page;mso-height-relative:page;" filled="f" stroked="t" coordsize="21600,21600" o:gfxdata="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r7DmvYAAAA&#10;CAEAAA8AAAAAAAAAAQAgAAAAIgAAAGRycy9kb3ducmV2LnhtbFBLAQIUABQAAAAIAIdO4kCST06U&#10;HQIAAPsDAAAOAAAAAAAAAAEAIAAAACcBAABkcnMvZTJvRG9jLnhtbFBLBQYAAAAABgAGAFkBAAC2&#10;BQAA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911" o:spid="_x0000_s2911" o:spt="202" type="#_x0000_t202" style="position:absolute;left:0pt;margin-left:121.05pt;margin-top:25pt;height:24pt;width:41.25pt;z-index:251771904;mso-width-relative:page;mso-height-relative:page;" filled="f" stroked="f" coordsize="21600,21600" o:gfxdata="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GMFVx2gAAAAkBAAAPAAAAAAAAAAEA&#10;IAAAACIAAABkcnMvZG93bnJldi54bWxQSwECFAAUAAAACACHTuJAS693GkYCAAB3BAAADgAAAAAA&#10;AAABACAAAAApAQAAZHJzL2Uyb0RvYy54bWxQSwUGAAAAAAYABgBZAQAA4QU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S、W</w:t>
                  </w:r>
                </w:p>
              </w:txbxContent>
            </v:textbox>
          </v:shape>
        </w:pict>
      </w:r>
      <w:r>
        <w:rPr>
          <w:rFonts w:hint="default" w:ascii="Times New Roman" w:hAnsi="Times New Roman" w:eastAsia="宋体" w:cs="Times New Roman"/>
          <w:kern w:val="2"/>
          <w:sz w:val="21"/>
          <w:szCs w:val="24"/>
          <w:lang w:val="en-US" w:eastAsia="zh-CN" w:bidi="ar-SA"/>
        </w:rPr>
        <w:pict>
          <v:shape id="_x0000_s2910" o:spid="_x0000_s2910" o:spt="202" type="#_x0000_t202" style="position:absolute;left:0pt;margin-left:112.8pt;margin-top:10.75pt;height:24pt;width:41.25pt;z-index:251791360;mso-width-relative:page;mso-height-relative:page;" filled="f" stroked="f" coordsize="21600,21600" o:gfxdata="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UpJuT2gAAAAkBAAAPAAAAAAAAAAEA&#10;IAAAACIAAABkcnMvZG93bnJldi54bWxQSwECFAAUAAAACACHTuJADdCwRUYCAAB3BAAADgAAAAAA&#10;AAABACAAAAApAQAAZHJzL2Uyb0RvYy54bWxQSwUGAAAAAAYABgBZAQAA4QU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N</w:t>
                  </w:r>
                </w:p>
              </w:txbxContent>
            </v:textbox>
          </v:shape>
        </w:pict>
      </w:r>
      <w:r>
        <w:rPr>
          <w:rFonts w:hint="default" w:ascii="Times New Roman" w:hAnsi="Times New Roman" w:eastAsia="宋体" w:cs="Times New Roman"/>
          <w:kern w:val="2"/>
          <w:sz w:val="21"/>
          <w:szCs w:val="24"/>
          <w:lang w:val="en-US" w:eastAsia="zh-CN" w:bidi="ar-SA"/>
        </w:rPr>
        <w:pict>
          <v:shape id="文本框 234" o:spid="_x0000_s2909" o:spt="202" type="#_x0000_t202" style="position:absolute;left:0pt;margin-left:182.55pt;margin-top:28.75pt;height:24pt;width:52.5pt;z-index:251768832;mso-width-relative:page;mso-height-relative:page;" filled="f" stroked="f" coordsize="21600,21600" o:gfxdata="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HvXpgvaAAAACgEAAA8AAAAAAAAAAQAgAAAA&#10;IgAAAGRycy9kb3ducmV2LnhtbFBLAQIUABQAAAAIAIdO4kDC91kFQgIAAHcEAAAOAAAAAAAAAAEA&#10;IAAAACkBAABkcnMvZTJvRG9jLnhtbFBLBQYAAAAABgAGAFkBAADd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尾矿渣</w:t>
                  </w:r>
                </w:p>
              </w:txbxContent>
            </v:textbox>
          </v:shape>
        </w:pict>
      </w:r>
      <w:r>
        <w:rPr>
          <w:rFonts w:hint="default" w:ascii="Times New Roman" w:hAnsi="Times New Roman" w:eastAsia="宋体" w:cs="Times New Roman"/>
          <w:kern w:val="2"/>
          <w:sz w:val="21"/>
          <w:szCs w:val="24"/>
          <w:lang w:val="en-US" w:eastAsia="zh-CN" w:bidi="ar-SA"/>
        </w:rPr>
        <w:pict>
          <v:shape id="直接箭头连接符 159" o:spid="_x0000_s2908" o:spt="32" type="#_x0000_t32" style="position:absolute;left:0pt;flip:x y;margin-left:302.9pt;margin-top:12.95pt;height:16.25pt;width:0.4pt;z-index:251750400;mso-width-relative:page;mso-height-relative:page;" filled="f" stroked="t" coordsize="21600,21600" o:gfxdata="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mDp0r9gAAAAJ&#10;AQAADwAAAAAAAAABACAAAAAiAAAAZHJzL2Rvd25yZXYueG1sUEsBAhQAFAAAAAgAh07iQKsadDIc&#10;AgAABgQAAA4AAAAAAAAAAQAgAAAAJwEAAGRycy9lMm9Eb2MueG1sUEsFBgAAAAAGAAYAWQEAALUF&#10;AAA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文本框 237" o:spid="_x0000_s2907" o:spt="202" type="#_x0000_t202" style="position:absolute;left:0pt;margin-left:250.4pt;margin-top:29.65pt;height:21.75pt;width:110.25pt;z-index:251796480;mso-width-relative:page;mso-height-relative:page;" fillcolor="#FFFFFF" filled="t" stroked="t" coordsize="21600,21600" o:gfxdata="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F2qdbVAAAACgEAAA8AAAAAAAAAAQAgAAAAIgAAAGRycy9kb3ducmV2LnhtbFBLAQIUABQAAAAI&#10;AIdO4kD+ESdjYgIAAMkEAAAOAAAAAAAAAAEAIAAAACQBAABkcnMvZTJvRG9jLnhtbFBLBQYAAAAA&#10;BgAGAFkBAAD4BQAAAAA=&#10;">
            <v:path/>
            <v:fill on="t" focussize="0,0"/>
            <v:stroke weight="0.5pt" color="#000000" joinstyle="round"/>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尾矿渣甩干脱水机</w:t>
                  </w:r>
                </w:p>
              </w:txbxContent>
            </v:textbox>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直接箭头连接符 16" o:spid="_x0000_s2906" o:spt="32" type="#_x0000_t32" style="position:absolute;left:0pt;margin-left:157.05pt;margin-top:10.3pt;height:0.35pt;width:26.6pt;z-index:251750400;mso-width-relative:page;mso-height-relative:page;" filled="f" stroked="t" coordsize="21600,21600" o:gfxdata="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TMpuutkAAAAJAQAADwAAAAAAAAAB&#10;ACAAAAAiAAAAZHJzL2Rvd25yZXYueG1sUEsBAhQAFAAAAAgAh07iQGq2kSUPAgAA8AMAAA4AAAAA&#10;AAAAAQAgAAAAKAEAAGRycy9lMm9Eb2MueG1sUEsFBgAAAAAGAAYAWQEAAKkFAAAAAA==&#10;">
            <v:path arrowok="t"/>
            <v:fill on="f" focussize="0,0"/>
            <v:stroke color="#000000" joinstyle="round" endarrow="block"/>
            <v:imagedata o:title=""/>
            <o:lock v:ext="edit" aspectratio="f"/>
          </v:shape>
        </w:pict>
      </w:r>
      <w:r>
        <w:rPr>
          <w:rFonts w:hint="default" w:ascii="Times New Roman" w:hAnsi="Times New Roman" w:eastAsia="宋体" w:cs="Times New Roman"/>
          <w:sz w:val="21"/>
        </w:rPr>
        <w:pict>
          <v:shape id="直接箭头连接符 162" o:spid="_x0000_s2905" o:spt="32" type="#_x0000_t32" style="position:absolute;left:0pt;margin-left:227.55pt;margin-top:8.8pt;height:0.45pt;width:22.85pt;z-index:251750400;mso-width-relative:page;mso-height-relative:page;" filled="f" stroked="t" coordsize="21600,21600" o:gfxdata="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4Iyny2AAAAAkBAAAPAAAAAAAAAAEA&#10;IAAAACIAAABkcnMvZG93bnJldi54bWxQSwECFAAUAAAACACHTuJA6HczXQ8CAADxAwAADgAAAAAA&#10;AAABACAAAAAnAQAAZHJzL2Uyb0RvYy54bWxQSwUGAAAAAAYABgBZAQAAqAUAAAAA&#10;">
            <v:path arrowok="t"/>
            <v:fill on="f" focussize="0,0"/>
            <v:stroke color="#000000" joinstyle="round" endarrow="block"/>
            <v:imagedata o:title=""/>
            <o:lock v:ext="edit" aspectratio="f"/>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直接箭头连接符 180" o:spid="_x0000_s2904" o:spt="32" type="#_x0000_t32" style="position:absolute;left:0pt;margin-left:97.8pt;margin-top:8.7pt;height:24pt;width:0pt;z-index:251756544;mso-width-relative:page;mso-height-relative:page;" filled="f" stroked="t" coordsize="21600,21600" o:gfxdata="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WvwePYAAAACQEA&#10;AA8AAAAAAAAAAQAgAAAAIgAAAGRycy9kb3ducmV2LnhtbFBLAQIUABQAAAAIAIdO4kB+DA9RGgIA&#10;APsDAAAOAAAAAAAAAAEAIAAAACcBAABkcnMvZTJvRG9jLnhtbFBLBQYAAAAABgAGAFkBAACzBQAA&#10;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直接箭头连接符 242" o:spid="_x0000_s2903" o:spt="32" type="#_x0000_t32" style="position:absolute;left:0pt;margin-left:283.8pt;margin-top:11pt;height:24.35pt;width:0pt;z-index:251784192;mso-width-relative:page;mso-height-relative:page;" filled="f" stroked="t" coordsize="21600,21600" o:gfxdata="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z3kdQAAAAJAQAADwAAAAAAAAABACAAAAAi&#10;AAAAZHJzL2Rvd25yZXYueG1sUEsBAhQAFAAAAAgAh07iQLxwb8QOAgAA7gMAAA4AAAAAAAAAAQAg&#10;AAAAIwEAAGRycy9lMm9Eb2MueG1sUEsFBgAAAAAGAAYAWQEAAKMFAAAAAA==&#10;">
            <v:path arrowok="t"/>
            <v:fill on="f" focussize="0,0"/>
            <v:stroke color="#000000" joinstyle="round" dashstyle="dash"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902" o:spid="_x0000_s2902" o:spt="202" type="#_x0000_t202" style="position:absolute;left:0pt;margin-left:109.05pt;margin-top:15.05pt;height:24pt;width:41.25pt;z-index:251792384;mso-width-relative:page;mso-height-relative:page;" filled="f" stroked="f" coordsize="21600,21600" o:gfxdata="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p2iVg1wAAAAkBAAAPAAAAAAAAAAEAIAAA&#10;ACIAAABkcnMvZG93bnJldi54bWxQSwECFAAUAAAACACHTuJAVtqKrUYCAAB3BAAADgAAAAAAAAAB&#10;ACAAAAAmAQAAZHJzL2Uyb0RvYy54bWxQSwUGAAAAAAYABgBZAQAA3gU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N</w:t>
                  </w:r>
                </w:p>
              </w:txbxContent>
            </v:textbox>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文本框 206" o:spid="_x0000_s2901" o:spt="202" type="#_x0000_t202" style="position:absolute;left:0pt;margin-left:67.8pt;margin-top:2.85pt;height:24pt;width:60.75pt;z-index:251767808;mso-width-relative:page;mso-height-relative:page;" fillcolor="#FFFFFF" filled="t" stroked="t" coordsize="21600,21600" o:gfxdata="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ciboDUAAAACAEAAA8AAAAAAAAAAQAgAAAAIgAAAGRycy9kb3ducmV2Lnht&#10;bFBLAQIUABQAAAAIAIdO4kAi+13FbwIAANQEAAAOAAAAAAAAAAEAIAAAACMBAABkcnMvZTJvRG9j&#10;LnhtbFBLBQYAAAAABgAGAFkBAAAEBg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三段磁选</w:t>
                  </w:r>
                </w:p>
              </w:txbxContent>
            </v:textbox>
          </v:shape>
        </w:pict>
      </w:r>
      <w:r>
        <w:rPr>
          <w:rFonts w:hint="default" w:ascii="Times New Roman" w:hAnsi="Times New Roman" w:eastAsia="宋体" w:cs="Times New Roman"/>
          <w:sz w:val="21"/>
        </w:rPr>
        <w:pict>
          <v:shape id="_x0000_s2900" o:spid="_x0000_s2900" o:spt="202" type="#_x0000_t202" style="position:absolute;left:0pt;margin-left:271.05pt;margin-top:3.65pt;height:24pt;width:33.75pt;z-index:251797504;mso-width-relative:page;mso-height-relative:page;" filled="f" stroked="f" coordsize="21600,21600" o:gfxdata="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Ex1Y+vZAAAACAEAAA8AAAAAAAAAAQAg&#10;AAAAIgAAAGRycy9kb3ducmV2LnhtbFBLAQIUABQAAAAIAIdO4kBa7fJ/RgIAAHcEAAAOAAAAAAAA&#10;AAEAIAAAACgBAABkcnMvZTJvRG9jLnhtbFBLBQYAAAAABgAGAFkBAADg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W</w:t>
                  </w:r>
                </w:p>
              </w:txbxContent>
            </v:textbox>
          </v:shape>
        </w:pict>
      </w:r>
      <w:r>
        <w:rPr>
          <w:rFonts w:hint="default" w:ascii="Times New Roman" w:hAnsi="Times New Roman" w:eastAsia="宋体" w:cs="Times New Roman"/>
          <w:sz w:val="21"/>
        </w:rPr>
        <w:pict>
          <v:shape id="_x0000_s2899" o:spid="_x0000_s2899" o:spt="202" type="#_x0000_t202" style="position:absolute;left:0pt;margin-left:123.3pt;margin-top:1.4pt;height:24pt;width:41.25pt;z-index:251777024;mso-width-relative:page;mso-height-relative:page;" filled="f" stroked="f" coordsize="21600,21600" o:gfxdata="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nNY0vZAAAACAEAAA8AAAAAAAAAAQAg&#10;AAAAIgAAAGRycy9kb3ducmV2LnhtbFBLAQIUABQAAAAIAIdO4kAmBOX2RgIAAHcEAAAOAAAAAAAA&#10;AAEAIAAAACgBAABkcnMvZTJvRG9jLnhtbFBLBQYAAAAABgAGAFkBAADg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S、W</w:t>
                  </w:r>
                </w:p>
              </w:txbxContent>
            </v:textbox>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直接箭头连接符 304" o:spid="_x0000_s2898" o:spt="32" type="#_x0000_t32" style="position:absolute;left:0pt;margin-left:283.8pt;margin-top:9.25pt;height:70.1pt;width:0.35pt;z-index:251772928;mso-width-relative:page;mso-height-relative:page;" filled="f" stroked="t" coordsize="21600,21600" o:gfxdata="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uatNk2QAAAAoBAAAPAAAAAAAA&#10;AAEAIAAAACIAAABkcnMvZG93bnJldi54bWxQSwECFAAUAAAACACHTuJAX1hZMBECAADyAwAADgAA&#10;AAAAAAABACAAAAAoAQAAZHJzL2Uyb0RvYy54bWxQSwUGAAAAAAYABgBZAQAAqwUAA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直接箭头连接符 158" o:spid="_x0000_s2897" o:spt="32" type="#_x0000_t32" style="position:absolute;left:0pt;margin-left:100.05pt;margin-top:17.5pt;height:24pt;width:0pt;z-index:251750400;mso-width-relative:page;mso-height-relative:page;" filled="f" stroked="t" coordsize="21600,21600" o:gfxdata="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tEA51wAAAAkBAAAPAAAAAAAAAAEAIAAA&#10;ACIAAABkcnMvZG93bnJldi54bWxQSwECFAAUAAAACACHTuJAZge0TQ0CAADvAwAADgAAAAAAAAAB&#10;ACAAAAAmAQAAZHJzL2Uyb0RvYy54bWxQSwUGAAAAAAYABgBZAQAApQUAAAAA&#10;">
            <v:path arrowok="t"/>
            <v:fill on="f" focussize="0,0"/>
            <v:stroke color="#000000" joinstyle="round" endarrow="block"/>
            <v:imagedata o:title=""/>
            <o:lock v:ext="edit" aspectratio="f"/>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_x0000_s2896" o:spid="_x0000_s2896" o:spt="202" type="#_x0000_t202" style="position:absolute;left:0pt;margin-left:295.8pt;margin-top:10.9pt;height:24pt;width:33.75pt;z-index:251783168;mso-width-relative:page;mso-height-relative:page;" filled="f" stroked="f" coordsize="21600,21600" o:gfxdata="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GHBLm/ZAAAACQEAAA8AAAAAAAAAAQAg&#10;AAAAIgAAAGRycy9kb3ducmV2LnhtbFBLAQIUABQAAAAIAIdO4kANwzqCRgIAAHcEAAAOAAAAAAAA&#10;AAEAIAAAACgBAABkcnMvZTJvRG9jLnhtbFBLBQYAAAAABgAGAFkBAADg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S</w:t>
                  </w:r>
                </w:p>
              </w:txbxContent>
            </v:textbox>
          </v:shape>
        </w:pict>
      </w:r>
      <w:r>
        <w:rPr>
          <w:rFonts w:hint="default" w:ascii="Times New Roman" w:hAnsi="Times New Roman" w:eastAsia="宋体" w:cs="Times New Roman"/>
          <w:sz w:val="21"/>
        </w:rPr>
        <w:pict>
          <v:shape id="直接箭头连接符 248" o:spid="_x0000_s2895" o:spt="32" type="#_x0000_t32" style="position:absolute;left:0pt;flip:y;margin-left:306.3pt;margin-top:-58.9pt;height:67.6pt;width:0.35pt;z-index:251779072;mso-width-relative:page;mso-height-relative:page;" filled="f" stroked="t" coordsize="21600,21600" o:gfxdata="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fLqDjtoAAAALAQAA&#10;DwAAAAAAAAABACAAAAAiAAAAZHJzL2Rvd25yZXYueG1sUEsBAhQAFAAAAAgAh07iQE7qk2UXAgAA&#10;/AMAAA4AAAAAAAAAAQAgAAAAKQEAAGRycy9lMm9Eb2MueG1sUEsFBgAAAAAGAAYAWQEAALIFAAAA&#10;AA==&#10;">
            <v:path arrowok="t"/>
            <v:fill on="f" focussize="0,0"/>
            <v:stroke color="#000000" joinstyle="round" endarrow="block"/>
            <v:imagedata o:title=""/>
            <o:lock v:ext="edit" aspectratio="f"/>
          </v:shape>
        </w:pict>
      </w:r>
      <w:r>
        <w:rPr>
          <w:rFonts w:hint="default" w:ascii="Times New Roman" w:hAnsi="Times New Roman" w:eastAsia="宋体" w:cs="Times New Roman"/>
          <w:sz w:val="21"/>
        </w:rPr>
        <w:pict>
          <v:shape id="文本框 233" o:spid="_x0000_s2894" o:spt="202" type="#_x0000_t202" style="position:absolute;left:0pt;margin-left:72.3pt;margin-top:10.9pt;height:24pt;width:52.5pt;z-index:251780096;mso-width-relative:page;mso-height-relative:page;" filled="f" stroked="f" coordsize="21600,21600" o:gfxdata="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DVmHAtkAAAAJAQAADwAAAAAAAAABACAAAAAi&#10;AAAAZHJzL2Rvd25yZXYueG1sUEsBAhQAFAAAAAgAh07iQFCOvvtCAgAAdwQAAA4AAAAAAAAAAQAg&#10;AAAAKAEAAGRycy9lMm9Eb2MueG1sUEsFBgAAAAAGAAYAWQEAANwFA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铁精粉</w:t>
                  </w:r>
                </w:p>
              </w:txbxContent>
            </v:textbox>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直接箭头连接符 305" o:spid="_x0000_s2893" o:spt="32" type="#_x0000_t32" style="position:absolute;left:0pt;flip:y;margin-left:306.3pt;margin-top:16.9pt;height:24pt;width:0.35pt;z-index:251776000;mso-width-relative:page;mso-height-relative:page;" filled="f" stroked="t" coordsize="21600,21600" o:gfxdata="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haSnNQAAAAJAQAADwAAAAAA&#10;AAABACAAAAAiAAAAZHJzL2Rvd25yZXYueG1sUEsBAhQAFAAAAAgAh07iQPKqgcgXAgAA+wMAAA4A&#10;AAAAAAAAAQAgAAAAIwEAAGRycy9lMm9Eb2MueG1sUEsFBgAAAAAGAAYAWQEAAKwFAAAAAA==&#10;">
            <v:path arrowok="t"/>
            <v:fill on="f" focussize="0,0"/>
            <v:stroke color="#000000" joinstyle="round" dashstyle="dash"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直接箭头连接符 18" o:spid="_x0000_s2892" o:spt="32" type="#_x0000_t32" style="position:absolute;left:0pt;margin-left:99.3pt;margin-top:15.8pt;height:24pt;width:0pt;z-index:251750400;mso-width-relative:page;mso-height-relative:page;" filled="f" stroked="t" coordsize="21600,21600" o:gfxdata="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GCN0I1wAAAAkBAAAPAAAAAAAAAAEAIAAAACIA&#10;AABkcnMvZG93bnJldi54bWxQSwECFAAUAAAACACHTuJAETKs2QoCAADtAwAADgAAAAAAAAABACAA&#10;AAAmAQAAZHJzL2Uyb0RvYy54bWxQSwUGAAAAAAYABgBZAQAAogUAAAAA&#10;">
            <v:path arrowok="t"/>
            <v:fill on="f" focussize="0,0"/>
            <v:stroke color="#000000" joinstyle="round" endarrow="block"/>
            <v:imagedata o:title=""/>
            <o:lock v:ext="edit" aspectratio="f"/>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文本框 236" o:spid="_x0000_s2888" o:spt="202" type="#_x0000_t202" style="position:absolute;left:0pt;margin-left:57.9pt;margin-top:9.35pt;height:23.7pt;width:82.25pt;z-index:251769856;mso-width-relative:page;mso-height-relative:page;" fillcolor="#FFFFFF" filled="t" stroked="t" coordsize="21600,21600" o:gfxdata="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6lpMPVAAAACQEAAA8AAAAAAAAAAQAgAAAAIgAAAGRycy9kb3ducmV2&#10;LnhtbFBLAQIUABQAAAAIAIdO4kByNy7dcQIAANUEAAAOAAAAAAAAAAEAIAAAACQBAABkcnMvZTJv&#10;RG9jLnhtbFBLBQYAAAAABgAGAFkBAAAHBgAAAAA=&#10;">
            <v:path/>
            <v:fill on="t" color2="#FFFFFF" focussize="0,0"/>
            <v:stroke weight="0.5pt" color="#000000" joinstyle="round"/>
            <v:imagedata o:title=""/>
            <o:lock v:ext="edit" aspectratio="f"/>
            <v:textbox>
              <w:txbxContent>
                <w:p>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精粉甩干脱水</w:t>
                  </w:r>
                </w:p>
              </w:txbxContent>
            </v:textbox>
          </v:shape>
        </w:pict>
      </w:r>
      <w:r>
        <w:rPr>
          <w:rFonts w:hint="default" w:ascii="Times New Roman" w:hAnsi="Times New Roman" w:eastAsia="宋体" w:cs="Times New Roman"/>
          <w:sz w:val="21"/>
        </w:rPr>
        <w:pict>
          <v:shape id="_x0000_s2891" o:spid="_x0000_s2891" o:spt="202" type="#_x0000_t202" style="position:absolute;left:0pt;margin-left:163.8pt;margin-top:11.45pt;height:24pt;width:41.25pt;z-index:251784192;mso-width-relative:page;mso-height-relative:page;" filled="f" stroked="f" coordsize="21600,21600" o:gfxdata="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CMkLKNsAAAAJAQAADwAAAAAAAAAB&#10;ACAAAAAiAAAAZHJzL2Rvd25yZXYueG1sUEsBAhQAFAAAAAgAh07iQND/IxhGAgAAdwQAAA4AAAAA&#10;AAAAAQAgAAAAKgEAAGRycy9lMm9Eb2MueG1sUEsFBgAAAAAGAAYAWQEAAOIFA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W</w:t>
                  </w:r>
                </w:p>
              </w:txbxContent>
            </v:textbox>
          </v:shape>
        </w:pict>
      </w:r>
      <w:r>
        <w:rPr>
          <w:rFonts w:hint="default" w:ascii="Times New Roman" w:hAnsi="Times New Roman" w:eastAsia="宋体" w:cs="Times New Roman"/>
          <w:sz w:val="21"/>
        </w:rPr>
        <w:pict>
          <v:shape id="文本框 247" o:spid="_x0000_s2890" o:spt="202" type="#_x0000_t202" style="position:absolute;left:0pt;margin-left:326.55pt;margin-top:3.2pt;height:24pt;width:71.25pt;z-index:251785216;mso-width-relative:page;mso-height-relative:page;" filled="f" stroked="f" coordsize="21600,21600" o:gfxdata="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L6uXevaAAAACAEAAA8AAAAAAAAAAQAg&#10;AAAAIgAAAGRycy9kb3ducmV2LnhtbFBLAQIUABQAAAAIAIdO4kDzDYDlRQIAAHcEAAAOAAAAAAAA&#10;AAEAIAAAACkBAABkcnMvZTJvRG9jLnhtbFBLBQYAAAAABgAGAFkBAADg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上层清液</w:t>
                  </w:r>
                </w:p>
              </w:txbxContent>
            </v:textbox>
          </v:shape>
        </w:pict>
      </w:r>
      <w:r>
        <w:rPr>
          <w:rFonts w:hint="default" w:ascii="Times New Roman" w:hAnsi="Times New Roman" w:eastAsia="宋体" w:cs="Times New Roman"/>
          <w:sz w:val="21"/>
        </w:rPr>
        <w:pict>
          <v:shape id="文本框 241" o:spid="_x0000_s2889" o:spt="202" type="#_x0000_t202" style="position:absolute;left:0pt;margin-left:268.4pt;margin-top:11.6pt;height:21.75pt;width:57.75pt;z-index:251781120;mso-width-relative:page;mso-height-relative:page;" fillcolor="#FFFFFF" filled="t" stroked="t" coordsize="21600,21600" o:gfxdata="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l0dOXWAAAACQEAAA8AAAAAAAAAAQAgAAAAIgAAAGRycy9kb3ducmV2LnhtbFBLAQIUABQAAAAI&#10;AIdO4kDnbnH1YQIAAMgEAAAOAAAAAAAAAAEAIAAAACUBAABkcnMvZTJvRG9jLnhtbFBLBQYAAAAA&#10;BgAGAFkBAAD4BQAAAAA=&#10;">
            <v:path/>
            <v:fill on="t" focussize="0,0"/>
            <v:stroke weight="0.5pt" color="#000000" joinstyle="round"/>
            <v:imagedata o:title=""/>
            <o:lock v:ext="edit" aspectratio="f"/>
            <v:textbox>
              <w:txbxContent>
                <w:p>
                  <w:pPr>
                    <w:jc w:val="center"/>
                    <w:rPr>
                      <w:rFonts w:hint="default" w:ascii="Times New Roman" w:hAnsi="Times New Roman" w:eastAsia="宋体" w:cs="Times New Roman"/>
                      <w:lang w:val="en-US" w:eastAsia="zh-CN"/>
                    </w:rPr>
                  </w:pPr>
                  <w:r>
                    <w:rPr>
                      <w:rFonts w:hint="eastAsia" w:cs="Times New Roman"/>
                      <w:lang w:val="en-US" w:eastAsia="zh-CN"/>
                    </w:rPr>
                    <w:t>浓密罐</w:t>
                  </w:r>
                </w:p>
              </w:txbxContent>
            </v:textbox>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直接箭头连接符 240" o:spid="_x0000_s2887" o:spt="32" type="#_x0000_t32" style="position:absolute;left:0pt;margin-left:181.8pt;margin-top:10.75pt;height:0pt;width:81.35pt;z-index:251795456;mso-width-relative:page;mso-height-relative:page;" filled="f" stroked="t" coordsize="21600,21600" o:gfxdata="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sDustgAAAAJAQAADwAAAAAAAAABACAA&#10;AAAiAAAAZHJzL2Rvd25yZXYueG1sUEsBAhQAFAAAAAgAh07iQBbXjBwNAgAA8AMAAA4AAAAAAAAA&#10;AQAgAAAAJwEAAGRycy9lMm9Eb2MueG1sUEsFBgAAAAAGAAYAWQEAAKYFAAA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直接箭头连接符 312" o:spid="_x0000_s2886" o:spt="32" type="#_x0000_t32" style="position:absolute;left:0pt;margin-left:143.55pt;margin-top:10pt;height:0pt;width:21.75pt;z-index:251770880;mso-width-relative:page;mso-height-relative:page;" filled="f" stroked="t" coordsize="21600,21600" o:gfxdata="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na9bXUAAAACQEAAA8AAAAAAAAAAQAgAAAAIgAA&#10;AGRycy9kb3ducmV2LnhtbFBLAQIUABQAAAAIAIdO4kBKeDGVDAIAAO4DAAAOAAAAAAAAAAEAIAAA&#10;ACMBAABkcnMvZTJvRG9jLnhtbFBLBQYAAAAABgAGAFkBAAChBQAAAAA=&#10;">
            <v:path arrowok="t"/>
            <v:fill on="f" focussize="0,0"/>
            <v:stroke color="#000000" joinstyle="round" dashstyle="dash"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885" o:spid="_x0000_s2885" o:spt="32" type="#_x0000_t32" style="position:absolute;left:0pt;margin-left:98.55pt;margin-top:20.05pt;height:24pt;width:0pt;z-index:251750400;mso-width-relative:page;mso-height-relative:page;" filled="f" stroked="t" coordsize="21600,21600" o:gfxdata="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tjsRs1wAAAAkBAAAPAAAAAAAAAAEAIAAAACIA&#10;AABkcnMvZG93bnJldi54bWxQSwECFAAUAAAACACHTuJAceLU1woCAADtAwAADgAAAAAAAAABACAA&#10;AAAmAQAAZHJzL2Uyb0RvYy54bWxQSwUGAAAAAAYABgBZAQAAogUAAAAA&#10;">
            <v:path arrowok="t"/>
            <v:fill on="f" focussize="0,0"/>
            <v:stroke color="#000000" joinstyle="round" endarrow="block"/>
            <v:imagedata o:title=""/>
            <o:lock v:ext="edit" aspectratio="f"/>
          </v:shape>
        </w:pict>
      </w:r>
    </w:p>
    <w:p>
      <w:pPr>
        <w:rPr>
          <w:rFonts w:hint="default" w:ascii="Times New Roman" w:hAnsi="Times New Roman" w:eastAsia="宋体" w:cs="Times New Roman"/>
        </w:rPr>
      </w:pP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文本框 238" o:spid="_x0000_s2884" o:spt="202" type="#_x0000_t202" style="position:absolute;left:0pt;margin-left:73.05pt;margin-top:1.4pt;height:24pt;width:52.5pt;z-index:251773952;mso-width-relative:page;mso-height-relative:page;" filled="f" stroked="f" coordsize="21600,21600" o:gfxdata="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GlmgbXAAAACAEAAA8AAAAAAAAAAQAgAAAAIgAA&#10;AGRycy9kb3ducmV2LnhtbFBLAQIUABQAAAAIAIdO4kBCJ5hrQgIAAHcEAAAOAAAAAAAAAAEAIAAA&#10;ACYBAABkcnMvZTJvRG9jLnhtbFBLBQYAAAAABgAGAFkBAADa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产品</w:t>
                  </w:r>
                </w:p>
              </w:txbxContent>
            </v:textbox>
          </v:shape>
        </w:pict>
      </w:r>
    </w:p>
    <w:p>
      <w:pPr>
        <w:spacing w:before="156" w:beforeLines="50" w:line="480" w:lineRule="exact"/>
        <w:jc w:val="center"/>
        <w:rPr>
          <w:rFonts w:hint="default" w:ascii="Times New Roman" w:hAnsi="Times New Roman" w:eastAsia="宋体" w:cs="Times New Roman"/>
          <w:b/>
          <w:bCs/>
          <w:sz w:val="24"/>
          <w:szCs w:val="24"/>
          <w:highlight w:val="none"/>
        </w:rPr>
      </w:pPr>
    </w:p>
    <w:p>
      <w:pPr>
        <w:spacing w:before="156" w:beforeLines="50" w:line="480" w:lineRule="exact"/>
        <w:jc w:val="center"/>
        <w:rPr>
          <w:rFonts w:hint="default" w:ascii="Times New Roman" w:hAnsi="Times New Roman" w:eastAsia="宋体" w:cs="Times New Roman"/>
          <w:b/>
          <w:bCs/>
          <w:sz w:val="24"/>
          <w:szCs w:val="24"/>
        </w:rPr>
        <w:sectPr>
          <w:pgSz w:w="11907" w:h="16840"/>
          <w:pgMar w:top="1440" w:right="1800" w:bottom="1440" w:left="1800"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sz w:val="24"/>
          <w:szCs w:val="24"/>
          <w:highlight w:val="none"/>
        </w:rPr>
        <w:t>图</w:t>
      </w:r>
      <w:r>
        <w:rPr>
          <w:rFonts w:hint="default" w:ascii="Times New Roman" w:hAnsi="Times New Roman" w:eastAsia="宋体" w:cs="Times New Roman"/>
          <w:b/>
          <w:bCs/>
          <w:sz w:val="24"/>
          <w:szCs w:val="24"/>
          <w:highlight w:val="none"/>
          <w:lang w:val="en-US" w:eastAsia="zh-CN"/>
        </w:rPr>
        <w:t>2.2-1</w:t>
      </w:r>
      <w:r>
        <w:rPr>
          <w:rFonts w:hint="default" w:ascii="Times New Roman" w:hAnsi="Times New Roman" w:eastAsia="宋体" w:cs="Times New Roman"/>
          <w:b/>
          <w:bCs/>
          <w:sz w:val="24"/>
          <w:szCs w:val="24"/>
        </w:rPr>
        <w:t xml:space="preserve">  </w:t>
      </w:r>
      <w:r>
        <w:rPr>
          <w:rFonts w:hint="default" w:ascii="Times New Roman" w:hAnsi="Times New Roman" w:eastAsia="宋体" w:cs="Times New Roman"/>
          <w:b/>
          <w:bCs/>
          <w:color w:val="auto"/>
          <w:kern w:val="0"/>
          <w:sz w:val="24"/>
          <w:szCs w:val="24"/>
          <w:lang w:val="en-US" w:eastAsia="zh-CN"/>
        </w:rPr>
        <w:t>铁精粉</w:t>
      </w:r>
      <w:r>
        <w:rPr>
          <w:rFonts w:hint="default" w:ascii="Times New Roman" w:hAnsi="Times New Roman" w:eastAsia="宋体" w:cs="Times New Roman"/>
          <w:b/>
          <w:bCs/>
          <w:color w:val="auto"/>
          <w:kern w:val="0"/>
          <w:sz w:val="24"/>
          <w:szCs w:val="24"/>
        </w:rPr>
        <w:t>生产工艺及产</w:t>
      </w:r>
      <w:r>
        <w:rPr>
          <w:rFonts w:hint="default" w:ascii="Times New Roman" w:hAnsi="Times New Roman" w:eastAsia="宋体" w:cs="Times New Roman"/>
          <w:b/>
          <w:bCs/>
          <w:color w:val="auto"/>
          <w:kern w:val="0"/>
          <w:sz w:val="24"/>
          <w:szCs w:val="24"/>
          <w:lang w:val="en-US" w:eastAsia="zh-CN"/>
        </w:rPr>
        <w:t>污</w:t>
      </w:r>
      <w:r>
        <w:rPr>
          <w:rFonts w:hint="default" w:ascii="Times New Roman" w:hAnsi="Times New Roman" w:eastAsia="宋体" w:cs="Times New Roman"/>
          <w:b/>
          <w:bCs/>
          <w:color w:val="auto"/>
          <w:kern w:val="0"/>
          <w:sz w:val="24"/>
          <w:szCs w:val="24"/>
        </w:rPr>
        <w:t>节点流程图</w:t>
      </w:r>
    </w:p>
    <w:p>
      <w:pPr>
        <w:pStyle w:val="73"/>
        <w:spacing w:beforeLines="50" w:line="360" w:lineRule="auto"/>
        <w:rPr>
          <w:rFonts w:hint="default" w:ascii="Times New Roman" w:hAnsi="Times New Roman" w:eastAsia="宋体" w:cs="Times New Roman"/>
          <w:color w:val="auto"/>
          <w:szCs w:val="22"/>
        </w:rPr>
      </w:pPr>
      <w:r>
        <w:rPr>
          <w:rFonts w:hint="default" w:ascii="Times New Roman" w:hAnsi="Times New Roman" w:eastAsia="宋体" w:cs="Times New Roman"/>
          <w:color w:val="auto"/>
          <w:sz w:val="28"/>
          <w:szCs w:val="28"/>
        </w:rPr>
        <w:t>2.2.2主要污染源及环境保护措施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（1）破碎粉尘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铁矿石在破碎过程中产生粉尘，采用厂房封闭的方式降尘。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（2）输送粉尘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破碎后的矿石采用封闭皮带输送，落料点洒水逸尘。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（3）原料库及产品库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采用全封闭及洒水逸尘方式降尘。</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left"/>
        <w:textAlignment w:val="auto"/>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2、废水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（1）生活污水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现有项目员工总数17人</w:t>
      </w:r>
      <w:r>
        <w:rPr>
          <w:rFonts w:hint="default" w:ascii="Times New Roman" w:hAnsi="Times New Roman" w:eastAsia="宋体" w:cs="Times New Roman"/>
          <w:sz w:val="24"/>
          <w:lang w:val="en-US" w:eastAsia="zh-CN"/>
        </w:rPr>
        <w:t>，</w:t>
      </w:r>
      <w:r>
        <w:rPr>
          <w:rFonts w:hint="default" w:ascii="Times New Roman" w:hAnsi="Times New Roman" w:eastAsia="宋体" w:cs="Times New Roman"/>
          <w:sz w:val="24"/>
        </w:rPr>
        <w:t>生活污水排放量0.</w:t>
      </w:r>
      <w:r>
        <w:rPr>
          <w:rFonts w:hint="default" w:ascii="Times New Roman" w:hAnsi="Times New Roman" w:eastAsia="宋体" w:cs="Times New Roman"/>
          <w:sz w:val="24"/>
          <w:lang w:val="en-US" w:eastAsia="zh-CN"/>
        </w:rPr>
        <w:t>68</w:t>
      </w:r>
      <w:r>
        <w:rPr>
          <w:rFonts w:hint="default" w:ascii="Times New Roman" w:hAnsi="Times New Roman" w:eastAsia="宋体" w:cs="Times New Roman"/>
          <w:sz w:val="24"/>
        </w:rPr>
        <w:t>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/d，</w:t>
      </w:r>
      <w:r>
        <w:rPr>
          <w:rFonts w:hint="default" w:ascii="Times New Roman" w:hAnsi="Times New Roman" w:eastAsia="宋体" w:cs="Times New Roman"/>
          <w:sz w:val="24"/>
          <w:lang w:val="en-US" w:eastAsia="zh-CN"/>
        </w:rPr>
        <w:t>204</w:t>
      </w:r>
      <w:r>
        <w:rPr>
          <w:rFonts w:hint="default" w:ascii="Times New Roman" w:hAnsi="Times New Roman" w:eastAsia="宋体" w:cs="Times New Roman"/>
          <w:sz w:val="24"/>
        </w:rPr>
        <w:t>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/a，生活污水排入1座有</w:t>
      </w:r>
      <w:r>
        <w:rPr>
          <w:rFonts w:hint="default" w:ascii="Times New Roman" w:hAnsi="Times New Roman" w:eastAsia="宋体" w:cs="Times New Roman"/>
          <w:color w:val="auto"/>
          <w:kern w:val="2"/>
          <w:sz w:val="24"/>
          <w:szCs w:val="22"/>
          <w:lang w:val="en-US" w:eastAsia="zh-CN" w:bidi="ar-SA"/>
        </w:rPr>
        <w:t>效容积约15m</w:t>
      </w:r>
      <w:r>
        <w:rPr>
          <w:rFonts w:hint="default" w:ascii="Times New Roman" w:hAnsi="Times New Roman" w:eastAsia="宋体" w:cs="Times New Roman"/>
          <w:color w:val="auto"/>
          <w:kern w:val="2"/>
          <w:sz w:val="24"/>
          <w:szCs w:val="22"/>
          <w:vertAlign w:val="superscript"/>
          <w:lang w:val="en-US" w:eastAsia="zh-CN" w:bidi="ar-SA"/>
        </w:rPr>
        <w:t>3</w:t>
      </w:r>
      <w:r>
        <w:rPr>
          <w:rFonts w:hint="default" w:ascii="Times New Roman" w:hAnsi="Times New Roman" w:eastAsia="宋体" w:cs="Times New Roman"/>
          <w:color w:val="auto"/>
          <w:kern w:val="2"/>
          <w:sz w:val="24"/>
          <w:szCs w:val="22"/>
          <w:lang w:val="en-US" w:eastAsia="zh-CN" w:bidi="ar-SA"/>
        </w:rPr>
        <w:t>的防渗旱厕，旱厕定期清掏、用作农肥。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（2）选矿废水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本工程生产废水主要为磁选生产工艺废水。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2"/>
          <w:lang w:val="en-US" w:eastAsia="zh-CN" w:bidi="ar-SA"/>
        </w:rPr>
        <w:t>设备生产过程中矿浆约有少</w:t>
      </w:r>
      <w:r>
        <w:rPr>
          <w:rFonts w:hint="default" w:ascii="Times New Roman" w:hAnsi="Times New Roman" w:eastAsia="宋体" w:cs="Times New Roman"/>
          <w:kern w:val="0"/>
          <w:sz w:val="24"/>
        </w:rPr>
        <w:t>部分水通过自然蒸发损耗，剩余90％直接回流回用至磨选工艺，生产废水不外排。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2"/>
          <w:lang w:val="en-US" w:eastAsia="zh-CN" w:bidi="ar-SA"/>
        </w:rPr>
      </w:pPr>
      <w:bookmarkStart w:id="113" w:name="_Toc31610"/>
      <w:r>
        <w:rPr>
          <w:rFonts w:hint="default" w:ascii="Times New Roman" w:hAnsi="Times New Roman" w:eastAsia="宋体" w:cs="Times New Roman"/>
          <w:color w:val="auto"/>
          <w:kern w:val="2"/>
          <w:sz w:val="24"/>
          <w:szCs w:val="22"/>
          <w:lang w:val="en-US" w:eastAsia="zh-CN" w:bidi="ar-SA"/>
        </w:rPr>
        <w:t>3、噪声</w:t>
      </w:r>
      <w:bookmarkEnd w:id="113"/>
    </w:p>
    <w:p>
      <w:pPr>
        <w:adjustRightInd w:val="0"/>
        <w:spacing w:line="360" w:lineRule="auto"/>
        <w:ind w:firstLine="48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现有</w:t>
      </w:r>
      <w:r>
        <w:rPr>
          <w:rFonts w:hint="default" w:ascii="Times New Roman" w:hAnsi="Times New Roman" w:eastAsia="宋体" w:cs="Times New Roman"/>
          <w:color w:val="auto"/>
          <w:sz w:val="24"/>
        </w:rPr>
        <w:t>项目</w:t>
      </w:r>
      <w:r>
        <w:rPr>
          <w:rFonts w:hint="default" w:ascii="Times New Roman" w:hAnsi="Times New Roman" w:eastAsia="宋体" w:cs="Times New Roman"/>
          <w:color w:val="auto"/>
          <w:sz w:val="24"/>
          <w:lang w:eastAsia="zh-CN"/>
        </w:rPr>
        <w:t>主要噪声源为破碎机、球磨机、磁选机及各种水泵等，</w:t>
      </w:r>
      <w:r>
        <w:rPr>
          <w:rFonts w:hint="default" w:ascii="Times New Roman" w:hAnsi="Times New Roman" w:eastAsia="宋体" w:cs="Times New Roman"/>
          <w:color w:val="auto"/>
          <w:sz w:val="24"/>
        </w:rPr>
        <w:t>产生的噪声经基础减振、厂房隔声、距离衰减后到达厂界处符合《工业企业厂界环境噪声排放标准》（GB12348-2008）中</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标准（即昼间</w:t>
      </w:r>
      <w:r>
        <w:rPr>
          <w:rFonts w:hint="default" w:ascii="Times New Roman" w:hAnsi="Times New Roman" w:eastAsia="宋体" w:cs="Times New Roman"/>
          <w:color w:val="auto"/>
          <w:sz w:val="24"/>
          <w:lang w:val="en-US" w:eastAsia="zh-CN"/>
        </w:rPr>
        <w:t>55</w:t>
      </w:r>
      <w:r>
        <w:rPr>
          <w:rFonts w:hint="default" w:ascii="Times New Roman" w:hAnsi="Times New Roman" w:eastAsia="宋体" w:cs="Times New Roman"/>
          <w:color w:val="auto"/>
          <w:sz w:val="24"/>
        </w:rPr>
        <w:t>dB(A)，夜间</w:t>
      </w:r>
      <w:r>
        <w:rPr>
          <w:rFonts w:hint="default" w:ascii="Times New Roman" w:hAnsi="Times New Roman" w:eastAsia="宋体" w:cs="Times New Roman"/>
          <w:color w:val="auto"/>
          <w:sz w:val="24"/>
          <w:lang w:val="en-US" w:eastAsia="zh-CN"/>
        </w:rPr>
        <w:t>45</w:t>
      </w:r>
      <w:r>
        <w:rPr>
          <w:rFonts w:hint="default" w:ascii="Times New Roman" w:hAnsi="Times New Roman" w:eastAsia="宋体" w:cs="Times New Roman"/>
          <w:color w:val="auto"/>
          <w:sz w:val="24"/>
        </w:rPr>
        <w:t>dB(A)）要求，对周围声环境造成影响较小。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2"/>
          <w:lang w:val="en-US" w:eastAsia="zh-CN" w:bidi="ar-SA"/>
        </w:rPr>
      </w:pPr>
      <w:bookmarkStart w:id="114" w:name="_Toc1556"/>
      <w:r>
        <w:rPr>
          <w:rFonts w:hint="default" w:ascii="Times New Roman" w:hAnsi="Times New Roman" w:eastAsia="宋体" w:cs="Times New Roman"/>
          <w:color w:val="auto"/>
          <w:kern w:val="2"/>
          <w:sz w:val="24"/>
          <w:szCs w:val="22"/>
          <w:lang w:val="en-US" w:eastAsia="zh-CN" w:bidi="ar-SA"/>
        </w:rPr>
        <w:t>4、固体废物</w:t>
      </w:r>
      <w:bookmarkEnd w:id="11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sz w:val="24"/>
        </w:rPr>
        <w:t>项目的废物主要为生产过程产生的尾矿渣、</w:t>
      </w:r>
      <w:r>
        <w:rPr>
          <w:rFonts w:hint="default" w:ascii="Times New Roman" w:hAnsi="Times New Roman" w:eastAsia="宋体" w:cs="Times New Roman"/>
          <w:sz w:val="24"/>
          <w:lang w:eastAsia="zh-CN"/>
        </w:rPr>
        <w:t>碎石及</w:t>
      </w:r>
      <w:r>
        <w:rPr>
          <w:rFonts w:hint="default" w:ascii="Times New Roman" w:hAnsi="Times New Roman" w:eastAsia="宋体" w:cs="Times New Roman"/>
          <w:sz w:val="24"/>
        </w:rPr>
        <w:t>生活垃圾</w:t>
      </w:r>
      <w:r>
        <w:rPr>
          <w:rFonts w:hint="default" w:ascii="Times New Roman" w:hAnsi="Times New Roman" w:eastAsia="宋体" w:cs="Times New Roman"/>
          <w:sz w:val="24"/>
          <w:lang w:eastAsia="zh-CN"/>
        </w:rPr>
        <w:t>。</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sz w:val="24"/>
          <w:lang w:eastAsia="zh-CN"/>
        </w:rPr>
      </w:pPr>
      <w:r>
        <w:rPr>
          <w:rFonts w:hint="default" w:ascii="Times New Roman" w:hAnsi="Times New Roman" w:eastAsia="宋体" w:cs="Times New Roman"/>
          <w:color w:val="auto"/>
        </w:rPr>
        <w:t>（1）</w:t>
      </w:r>
      <w:r>
        <w:rPr>
          <w:rFonts w:hint="default" w:ascii="Times New Roman" w:hAnsi="Times New Roman" w:eastAsia="宋体" w:cs="Times New Roman"/>
          <w:sz w:val="24"/>
        </w:rPr>
        <w:t>尾矿渣</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rPr>
      </w:pPr>
      <w:r>
        <w:rPr>
          <w:rFonts w:hint="default" w:ascii="Times New Roman" w:hAnsi="Times New Roman" w:eastAsia="宋体" w:cs="Times New Roman"/>
          <w:sz w:val="24"/>
          <w:lang w:eastAsia="zh-CN"/>
        </w:rPr>
        <w:t>项目年产生尾矿渣约</w:t>
      </w:r>
      <w:r>
        <w:rPr>
          <w:rFonts w:hint="default" w:ascii="Times New Roman" w:hAnsi="Times New Roman" w:eastAsia="宋体" w:cs="Times New Roman"/>
          <w:sz w:val="24"/>
          <w:lang w:val="en-US" w:eastAsia="zh-CN"/>
        </w:rPr>
        <w:t>9.36万吨，</w:t>
      </w:r>
      <w:r>
        <w:rPr>
          <w:rFonts w:hint="default" w:ascii="Times New Roman" w:hAnsi="Times New Roman" w:eastAsia="宋体" w:cs="Times New Roman"/>
          <w:color w:val="auto"/>
        </w:rPr>
        <w:t>作为</w:t>
      </w:r>
      <w:r>
        <w:rPr>
          <w:rFonts w:hint="default" w:ascii="Times New Roman" w:hAnsi="Times New Roman" w:eastAsia="宋体" w:cs="Times New Roman"/>
          <w:color w:val="auto"/>
          <w:lang w:eastAsia="zh-CN"/>
        </w:rPr>
        <w:t>建筑材料外售</w:t>
      </w:r>
      <w:r>
        <w:rPr>
          <w:rFonts w:hint="default" w:ascii="Times New Roman" w:hAnsi="Times New Roman" w:eastAsia="宋体" w:cs="Times New Roman"/>
          <w:color w:val="auto"/>
        </w:rPr>
        <w:t>。</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碎石</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rPr>
      </w:pPr>
      <w:r>
        <w:rPr>
          <w:rFonts w:hint="default" w:ascii="Times New Roman" w:hAnsi="Times New Roman" w:eastAsia="宋体" w:cs="Times New Roman"/>
          <w:sz w:val="24"/>
          <w:lang w:eastAsia="zh-CN"/>
        </w:rPr>
        <w:t>项目年产生</w:t>
      </w:r>
      <w:r>
        <w:rPr>
          <w:rFonts w:hint="default" w:ascii="Times New Roman" w:hAnsi="Times New Roman" w:eastAsia="宋体" w:cs="Times New Roman"/>
          <w:color w:val="auto"/>
          <w:lang w:val="en-US" w:eastAsia="zh-CN"/>
        </w:rPr>
        <w:t>碎石</w:t>
      </w:r>
      <w:r>
        <w:rPr>
          <w:rFonts w:hint="default" w:ascii="Times New Roman" w:hAnsi="Times New Roman" w:eastAsia="宋体" w:cs="Times New Roman"/>
          <w:sz w:val="24"/>
          <w:lang w:eastAsia="zh-CN"/>
        </w:rPr>
        <w:t>约</w:t>
      </w:r>
      <w:r>
        <w:rPr>
          <w:rFonts w:hint="default" w:ascii="Times New Roman" w:hAnsi="Times New Roman" w:eastAsia="宋体" w:cs="Times New Roman"/>
          <w:sz w:val="24"/>
          <w:lang w:val="en-US" w:eastAsia="zh-CN"/>
        </w:rPr>
        <w:t>0.6万吨，</w:t>
      </w:r>
      <w:r>
        <w:rPr>
          <w:rFonts w:hint="default" w:ascii="Times New Roman" w:hAnsi="Times New Roman" w:eastAsia="宋体" w:cs="Times New Roman"/>
          <w:color w:val="auto"/>
        </w:rPr>
        <w:t>作为</w:t>
      </w:r>
      <w:r>
        <w:rPr>
          <w:rFonts w:hint="default" w:ascii="Times New Roman" w:hAnsi="Times New Roman" w:eastAsia="宋体" w:cs="Times New Roman"/>
          <w:color w:val="auto"/>
          <w:lang w:eastAsia="zh-CN"/>
        </w:rPr>
        <w:t>建筑材料外售</w:t>
      </w:r>
      <w:r>
        <w:rPr>
          <w:rFonts w:hint="default" w:ascii="Times New Roman" w:hAnsi="Times New Roman" w:eastAsia="宋体" w:cs="Times New Roman"/>
          <w:color w:val="auto"/>
        </w:rPr>
        <w:t>。</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3</w:t>
      </w:r>
      <w:r>
        <w:rPr>
          <w:rFonts w:hint="default" w:ascii="Times New Roman" w:hAnsi="Times New Roman" w:eastAsia="宋体" w:cs="Times New Roman"/>
          <w:color w:val="auto"/>
        </w:rPr>
        <w:t>）生活垃圾</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项目</w:t>
      </w:r>
      <w:r>
        <w:rPr>
          <w:rFonts w:hint="default" w:ascii="Times New Roman" w:hAnsi="Times New Roman" w:eastAsia="宋体" w:cs="Times New Roman"/>
          <w:color w:val="auto"/>
          <w:lang w:val="en-US" w:eastAsia="zh-CN"/>
        </w:rPr>
        <w:t>生活垃圾产生量约0.0085t/d，2.55t/a。在</w:t>
      </w:r>
      <w:r>
        <w:rPr>
          <w:rFonts w:hint="default" w:ascii="Times New Roman" w:hAnsi="Times New Roman" w:eastAsia="宋体" w:cs="Times New Roman"/>
          <w:color w:val="auto"/>
        </w:rPr>
        <w:t>垃圾箱临时储存，定期</w:t>
      </w:r>
      <w:r>
        <w:rPr>
          <w:rFonts w:hint="default" w:ascii="Times New Roman" w:hAnsi="Times New Roman" w:eastAsia="宋体" w:cs="Times New Roman"/>
          <w:bCs w:val="0"/>
          <w:color w:val="auto"/>
          <w:szCs w:val="21"/>
        </w:rPr>
        <w:t>送环卫部门指定地点</w:t>
      </w:r>
      <w:r>
        <w:rPr>
          <w:rFonts w:hint="default" w:ascii="Times New Roman" w:hAnsi="Times New Roman" w:eastAsia="宋体" w:cs="Times New Roman"/>
          <w:color w:val="auto"/>
        </w:rPr>
        <w:t>。</w:t>
      </w:r>
    </w:p>
    <w:p>
      <w:pPr>
        <w:pStyle w:val="61"/>
        <w:spacing w:line="360" w:lineRule="auto"/>
        <w:ind w:firstLine="480" w:firstLineChars="200"/>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采取以上措施后，项目一般固体废物可实现综合利用或妥善处理。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5、环境风险</w:t>
      </w:r>
    </w:p>
    <w:p>
      <w:pPr>
        <w:pStyle w:val="64"/>
        <w:numPr>
          <w:ilvl w:val="0"/>
          <w:numId w:val="0"/>
        </w:numPr>
        <w:adjustRightInd w:val="0"/>
        <w:spacing w:line="360" w:lineRule="auto"/>
        <w:ind w:firstLine="480" w:firstLineChars="200"/>
        <w:rPr>
          <w:rFonts w:hint="default" w:ascii="Times New Roman" w:hAnsi="Times New Roman" w:eastAsia="宋体" w:cs="Times New Roman"/>
          <w:color w:val="auto"/>
          <w:kern w:val="0"/>
          <w:sz w:val="24"/>
          <w:szCs w:val="24"/>
          <w:vertAlign w:val="baseline"/>
          <w:lang w:val="en-US" w:eastAsia="zh-CN"/>
        </w:rPr>
      </w:pPr>
      <w:r>
        <w:rPr>
          <w:rFonts w:hint="default" w:ascii="Times New Roman" w:hAnsi="Times New Roman" w:eastAsia="宋体" w:cs="Times New Roman"/>
          <w:color w:val="auto"/>
          <w:kern w:val="0"/>
          <w:sz w:val="24"/>
          <w:szCs w:val="24"/>
          <w:vertAlign w:val="baseline"/>
          <w:lang w:eastAsia="zh-CN"/>
        </w:rPr>
        <w:t>尾矿库目前已闭库，无风险隐患</w:t>
      </w:r>
      <w:r>
        <w:rPr>
          <w:rFonts w:hint="default" w:ascii="Times New Roman" w:hAnsi="Times New Roman" w:eastAsia="宋体" w:cs="Times New Roman"/>
          <w:color w:val="auto"/>
          <w:kern w:val="0"/>
          <w:sz w:val="24"/>
          <w:szCs w:val="24"/>
          <w:vertAlign w:val="baseline"/>
          <w:lang w:val="en-US" w:eastAsia="zh-CN"/>
        </w:rPr>
        <w:t>。</w:t>
      </w:r>
    </w:p>
    <w:p>
      <w:pPr>
        <w:pStyle w:val="266"/>
        <w:spacing w:beforeLines="50" w:line="360" w:lineRule="auto"/>
        <w:rPr>
          <w:rFonts w:hint="default" w:ascii="Times New Roman" w:hAnsi="Times New Roman" w:eastAsia="宋体" w:cs="Times New Roman"/>
          <w:color w:val="auto"/>
          <w:szCs w:val="28"/>
          <w:highlight w:val="none"/>
        </w:rPr>
      </w:pPr>
      <w:bookmarkStart w:id="115" w:name="_Toc21132"/>
      <w:r>
        <w:rPr>
          <w:rFonts w:hint="default" w:ascii="Times New Roman" w:hAnsi="Times New Roman" w:eastAsia="宋体" w:cs="Times New Roman"/>
          <w:color w:val="auto"/>
          <w:szCs w:val="28"/>
          <w:highlight w:val="none"/>
        </w:rPr>
        <w:t>2.3</w:t>
      </w:r>
      <w:r>
        <w:rPr>
          <w:rFonts w:hint="default" w:ascii="Times New Roman" w:hAnsi="Times New Roman" w:eastAsia="宋体" w:cs="Times New Roman"/>
          <w:color w:val="auto"/>
          <w:szCs w:val="28"/>
          <w:highlight w:val="none"/>
          <w:lang w:eastAsia="zh-CN"/>
        </w:rPr>
        <w:t>现有</w:t>
      </w:r>
      <w:r>
        <w:rPr>
          <w:rFonts w:hint="default" w:ascii="Times New Roman" w:hAnsi="Times New Roman" w:eastAsia="宋体" w:cs="Times New Roman"/>
          <w:color w:val="auto"/>
          <w:szCs w:val="28"/>
          <w:highlight w:val="none"/>
        </w:rPr>
        <w:t>工程污染物排放及达标情况</w:t>
      </w:r>
      <w:bookmarkEnd w:id="115"/>
    </w:p>
    <w:p>
      <w:pPr>
        <w:bidi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rPr>
      </w:pPr>
      <w:bookmarkStart w:id="116" w:name="_Toc26984"/>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1）废气</w:t>
      </w:r>
    </w:p>
    <w:p>
      <w:pPr>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kern w:val="2"/>
          <w:sz w:val="24"/>
          <w:szCs w:val="24"/>
          <w:highlight w:val="none"/>
          <w:lang w:eastAsia="zh-CN"/>
        </w:rPr>
        <w:t>根据</w:t>
      </w:r>
      <w:r>
        <w:rPr>
          <w:rFonts w:hint="default" w:ascii="Times New Roman" w:hAnsi="Times New Roman" w:eastAsia="宋体" w:cs="Times New Roman"/>
          <w:color w:val="auto"/>
          <w:kern w:val="2"/>
          <w:sz w:val="24"/>
          <w:szCs w:val="24"/>
          <w:highlight w:val="none"/>
        </w:rPr>
        <w:t>北票市冶通矿业有限公司</w:t>
      </w:r>
      <w:r>
        <w:rPr>
          <w:rFonts w:hint="default" w:ascii="Times New Roman" w:hAnsi="Times New Roman" w:eastAsia="宋体" w:cs="Times New Roman"/>
          <w:color w:val="auto"/>
          <w:kern w:val="2"/>
          <w:sz w:val="24"/>
          <w:szCs w:val="24"/>
          <w:highlight w:val="none"/>
          <w:lang w:eastAsia="zh-CN"/>
        </w:rPr>
        <w:t>年产</w:t>
      </w:r>
      <w:r>
        <w:rPr>
          <w:rFonts w:hint="default" w:ascii="Times New Roman" w:hAnsi="Times New Roman" w:eastAsia="宋体" w:cs="Times New Roman"/>
          <w:color w:val="auto"/>
          <w:kern w:val="2"/>
          <w:sz w:val="24"/>
          <w:szCs w:val="24"/>
          <w:highlight w:val="none"/>
          <w:lang w:val="en-US" w:eastAsia="zh-CN"/>
        </w:rPr>
        <w:t>5万吨铁精粉建设项目</w:t>
      </w:r>
      <w:r>
        <w:rPr>
          <w:rFonts w:hint="default" w:ascii="Times New Roman" w:hAnsi="Times New Roman" w:eastAsia="宋体" w:cs="Times New Roman"/>
          <w:color w:val="auto"/>
          <w:sz w:val="24"/>
          <w:highlight w:val="none"/>
          <w:lang w:eastAsia="zh-CN"/>
        </w:rPr>
        <w:t>验收报告，现有项目粉尘排放厂界浓度在</w:t>
      </w:r>
      <w:r>
        <w:rPr>
          <w:rFonts w:hint="default" w:ascii="Times New Roman" w:hAnsi="Times New Roman" w:eastAsia="宋体" w:cs="Times New Roman"/>
          <w:color w:val="auto"/>
          <w:sz w:val="24"/>
          <w:highlight w:val="none"/>
          <w:lang w:val="en-US" w:eastAsia="zh-CN"/>
        </w:rPr>
        <w:t>0.146mg/m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-0.167mg/m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之间，</w:t>
      </w:r>
      <w:r>
        <w:rPr>
          <w:rFonts w:hint="default" w:ascii="Times New Roman" w:hAnsi="Times New Roman" w:eastAsia="宋体" w:cs="Times New Roman"/>
          <w:color w:val="auto"/>
          <w:sz w:val="24"/>
          <w:highlight w:val="none"/>
          <w:lang w:eastAsia="zh-CN"/>
        </w:rPr>
        <w:t>符合《大气污染物综合排放标准》（</w:t>
      </w:r>
      <w:r>
        <w:rPr>
          <w:rFonts w:hint="default" w:ascii="Times New Roman" w:hAnsi="Times New Roman" w:eastAsia="宋体" w:cs="Times New Roman"/>
          <w:color w:val="auto"/>
          <w:sz w:val="24"/>
          <w:highlight w:val="none"/>
          <w:lang w:val="en-US" w:eastAsia="zh-CN"/>
        </w:rPr>
        <w:t>GB16297-1996）中无组织排放标准限值。</w:t>
      </w:r>
    </w:p>
    <w:p>
      <w:pPr>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2）废水</w:t>
      </w:r>
    </w:p>
    <w:p>
      <w:pPr>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生产废水</w:t>
      </w:r>
      <w:r>
        <w:rPr>
          <w:rFonts w:hint="default" w:ascii="Times New Roman" w:hAnsi="Times New Roman" w:eastAsia="宋体" w:cs="Times New Roman"/>
          <w:kern w:val="0"/>
          <w:sz w:val="24"/>
        </w:rPr>
        <w:t>回用至磨选工艺，不外排</w:t>
      </w:r>
      <w:r>
        <w:rPr>
          <w:rFonts w:hint="default" w:ascii="Times New Roman" w:hAnsi="Times New Roman" w:eastAsia="宋体" w:cs="Times New Roman"/>
          <w:kern w:val="0"/>
          <w:sz w:val="24"/>
          <w:lang w:eastAsia="zh-CN"/>
        </w:rPr>
        <w:t>；生活污水</w:t>
      </w:r>
      <w:r>
        <w:rPr>
          <w:rFonts w:hint="default" w:ascii="Times New Roman" w:hAnsi="Times New Roman" w:eastAsia="宋体" w:cs="Times New Roman"/>
          <w:sz w:val="24"/>
        </w:rPr>
        <w:t>排入1座有效容积约15m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的防渗旱厕，旱厕定期清掏、用作农肥</w:t>
      </w:r>
      <w:r>
        <w:rPr>
          <w:rFonts w:hint="default" w:ascii="Times New Roman" w:hAnsi="Times New Roman" w:eastAsia="宋体" w:cs="Times New Roman"/>
          <w:sz w:val="24"/>
          <w:lang w:eastAsia="zh-CN"/>
        </w:rPr>
        <w:t>。</w:t>
      </w:r>
    </w:p>
    <w:p>
      <w:pPr>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（3）噪声</w:t>
      </w:r>
    </w:p>
    <w:p>
      <w:pPr>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kern w:val="2"/>
          <w:sz w:val="24"/>
          <w:szCs w:val="24"/>
          <w:highlight w:val="none"/>
          <w:lang w:eastAsia="zh-CN"/>
        </w:rPr>
        <w:t>根据</w:t>
      </w:r>
      <w:r>
        <w:rPr>
          <w:rFonts w:hint="default" w:ascii="Times New Roman" w:hAnsi="Times New Roman" w:eastAsia="宋体" w:cs="Times New Roman"/>
          <w:color w:val="auto"/>
          <w:kern w:val="2"/>
          <w:sz w:val="24"/>
          <w:szCs w:val="24"/>
          <w:highlight w:val="none"/>
        </w:rPr>
        <w:t>北票市冶通矿业有限公司</w:t>
      </w:r>
      <w:r>
        <w:rPr>
          <w:rFonts w:hint="default" w:ascii="Times New Roman" w:hAnsi="Times New Roman" w:eastAsia="宋体" w:cs="Times New Roman"/>
          <w:color w:val="auto"/>
          <w:kern w:val="2"/>
          <w:sz w:val="24"/>
          <w:szCs w:val="24"/>
          <w:highlight w:val="none"/>
          <w:lang w:eastAsia="zh-CN"/>
        </w:rPr>
        <w:t>年产</w:t>
      </w:r>
      <w:r>
        <w:rPr>
          <w:rFonts w:hint="default" w:ascii="Times New Roman" w:hAnsi="Times New Roman" w:eastAsia="宋体" w:cs="Times New Roman"/>
          <w:color w:val="auto"/>
          <w:kern w:val="2"/>
          <w:sz w:val="24"/>
          <w:szCs w:val="24"/>
          <w:highlight w:val="none"/>
          <w:lang w:val="en-US" w:eastAsia="zh-CN"/>
        </w:rPr>
        <w:t>5万吨铁精粉建设项目</w:t>
      </w:r>
      <w:r>
        <w:rPr>
          <w:rFonts w:hint="default" w:ascii="Times New Roman" w:hAnsi="Times New Roman" w:eastAsia="宋体" w:cs="Times New Roman"/>
          <w:color w:val="auto"/>
          <w:sz w:val="24"/>
          <w:highlight w:val="none"/>
          <w:lang w:eastAsia="zh-CN"/>
        </w:rPr>
        <w:t>验收报告，</w:t>
      </w:r>
      <w:r>
        <w:rPr>
          <w:rFonts w:hint="default" w:ascii="Times New Roman" w:hAnsi="Times New Roman" w:eastAsia="宋体" w:cs="Times New Roman"/>
          <w:color w:val="auto"/>
          <w:sz w:val="24"/>
          <w:highlight w:val="none"/>
          <w:lang w:val="en-US" w:eastAsia="zh-CN"/>
        </w:rPr>
        <w:t>厂界四周噪声满足</w:t>
      </w:r>
      <w:r>
        <w:rPr>
          <w:rFonts w:hint="default" w:ascii="Times New Roman" w:hAnsi="Times New Roman" w:eastAsia="宋体" w:cs="Times New Roman"/>
          <w:color w:val="auto"/>
          <w:sz w:val="24"/>
        </w:rPr>
        <w:t>《工业企业厂界环境噪声排放标准》(GB12348-2008)中</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类标准</w:t>
      </w:r>
      <w:r>
        <w:rPr>
          <w:rFonts w:hint="default" w:ascii="Times New Roman" w:hAnsi="Times New Roman" w:eastAsia="宋体" w:cs="Times New Roman"/>
          <w:color w:val="auto"/>
          <w:sz w:val="24"/>
          <w:lang w:eastAsia="zh-CN"/>
        </w:rPr>
        <w:t>。</w:t>
      </w:r>
    </w:p>
    <w:p>
      <w:pPr>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（4）固废</w:t>
      </w:r>
    </w:p>
    <w:p>
      <w:pPr>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sz w:val="24"/>
        </w:rPr>
        <w:t>生产过程产生的尾矿渣</w:t>
      </w:r>
      <w:r>
        <w:rPr>
          <w:rFonts w:hint="default" w:ascii="Times New Roman" w:hAnsi="Times New Roman" w:eastAsia="宋体" w:cs="Times New Roman"/>
          <w:sz w:val="24"/>
          <w:lang w:eastAsia="zh-CN"/>
        </w:rPr>
        <w:t>和碎石作为建筑材料外售，生活垃圾</w:t>
      </w:r>
      <w:r>
        <w:rPr>
          <w:rFonts w:hint="default" w:ascii="Times New Roman" w:hAnsi="Times New Roman" w:eastAsia="宋体" w:cs="Times New Roman"/>
          <w:sz w:val="24"/>
          <w:lang w:val="en-US" w:eastAsia="zh-CN"/>
        </w:rPr>
        <w:t>在</w:t>
      </w:r>
      <w:r>
        <w:rPr>
          <w:rFonts w:hint="default" w:ascii="Times New Roman" w:hAnsi="Times New Roman" w:eastAsia="宋体" w:cs="Times New Roman"/>
          <w:sz w:val="24"/>
          <w:lang w:eastAsia="zh-CN"/>
        </w:rPr>
        <w:t>垃圾箱临时储存，定期送环卫部门指定地点。</w:t>
      </w:r>
    </w:p>
    <w:p>
      <w:pPr>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综上，现有项目各项污染物排放满足相应标准。</w:t>
      </w:r>
    </w:p>
    <w:bookmarkEnd w:id="116"/>
    <w:p>
      <w:pPr>
        <w:pStyle w:val="266"/>
        <w:spacing w:beforeLines="50" w:line="360" w:lineRule="auto"/>
        <w:rPr>
          <w:rFonts w:hint="default" w:ascii="Times New Roman" w:hAnsi="Times New Roman" w:eastAsia="宋体" w:cs="Times New Roman"/>
          <w:color w:val="auto"/>
          <w:szCs w:val="28"/>
          <w:highlight w:val="none"/>
          <w:lang w:eastAsia="zh-CN"/>
        </w:rPr>
      </w:pPr>
      <w:bookmarkStart w:id="117" w:name="_Toc29897"/>
      <w:r>
        <w:rPr>
          <w:rFonts w:hint="default" w:ascii="Times New Roman" w:hAnsi="Times New Roman" w:eastAsia="宋体" w:cs="Times New Roman"/>
          <w:color w:val="auto"/>
          <w:szCs w:val="28"/>
          <w:highlight w:val="none"/>
        </w:rPr>
        <w:t>2.</w:t>
      </w:r>
      <w:r>
        <w:rPr>
          <w:rFonts w:hint="default" w:ascii="Times New Roman" w:hAnsi="Times New Roman" w:eastAsia="宋体" w:cs="Times New Roman"/>
          <w:color w:val="auto"/>
          <w:szCs w:val="28"/>
          <w:highlight w:val="none"/>
          <w:lang w:val="en-US" w:eastAsia="zh-CN"/>
        </w:rPr>
        <w:t>4</w:t>
      </w:r>
      <w:r>
        <w:rPr>
          <w:rFonts w:hint="default" w:ascii="Times New Roman" w:hAnsi="Times New Roman" w:eastAsia="宋体" w:cs="Times New Roman"/>
          <w:color w:val="auto"/>
          <w:szCs w:val="28"/>
          <w:highlight w:val="none"/>
          <w:lang w:eastAsia="zh-CN"/>
        </w:rPr>
        <w:t>现有工程污染物排放情况汇总</w:t>
      </w:r>
      <w:bookmarkEnd w:id="117"/>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1、现有项目污染物排放汇总见下表。</w:t>
      </w:r>
    </w:p>
    <w:p>
      <w:pPr>
        <w:widowControl/>
        <w:spacing w:beforeLines="50" w:line="480" w:lineRule="exact"/>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w:t>
      </w:r>
      <w:r>
        <w:rPr>
          <w:rFonts w:hint="default" w:ascii="Times New Roman" w:hAnsi="Times New Roman" w:eastAsia="宋体" w:cs="Times New Roman"/>
          <w:color w:val="auto"/>
          <w:sz w:val="24"/>
          <w:lang w:val="en-US" w:eastAsia="zh-CN"/>
        </w:rPr>
        <w:t xml:space="preserve">2.4-1                     </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污染物排放总量</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34"/>
        <w:gridCol w:w="2584"/>
        <w:gridCol w:w="2648"/>
        <w:gridCol w:w="2721"/>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34" w:type="dxa"/>
            <w:noWrap w:val="0"/>
            <w:vAlign w:val="center"/>
          </w:tcPr>
          <w:p>
            <w:pPr>
              <w:jc w:val="center"/>
              <w:rPr>
                <w:rFonts w:hint="default" w:ascii="Times New Roman" w:hAnsi="Times New Roman" w:eastAsia="宋体" w:cs="Times New Roman"/>
                <w:b w:val="0"/>
                <w:bCs/>
                <w:color w:val="auto"/>
                <w:kern w:val="0"/>
                <w:sz w:val="21"/>
                <w:szCs w:val="21"/>
                <w:highlight w:val="none"/>
              </w:rPr>
            </w:pPr>
            <w:r>
              <w:rPr>
                <w:rFonts w:hint="default" w:ascii="Times New Roman" w:hAnsi="Times New Roman" w:eastAsia="宋体" w:cs="Times New Roman"/>
                <w:b w:val="0"/>
                <w:bCs/>
                <w:color w:val="auto"/>
                <w:kern w:val="0"/>
                <w:sz w:val="21"/>
                <w:szCs w:val="21"/>
                <w:highlight w:val="none"/>
              </w:rPr>
              <w:t>类别</w:t>
            </w:r>
          </w:p>
        </w:tc>
        <w:tc>
          <w:tcPr>
            <w:tcW w:w="2584" w:type="dxa"/>
            <w:noWrap w:val="0"/>
            <w:vAlign w:val="center"/>
          </w:tcPr>
          <w:p>
            <w:pPr>
              <w:jc w:val="center"/>
              <w:rPr>
                <w:rFonts w:hint="default" w:ascii="Times New Roman" w:hAnsi="Times New Roman" w:eastAsia="宋体" w:cs="Times New Roman"/>
                <w:b w:val="0"/>
                <w:bCs/>
                <w:color w:val="auto"/>
                <w:kern w:val="0"/>
                <w:sz w:val="21"/>
                <w:szCs w:val="21"/>
                <w:highlight w:val="none"/>
              </w:rPr>
            </w:pPr>
            <w:r>
              <w:rPr>
                <w:rFonts w:hint="default" w:ascii="Times New Roman" w:hAnsi="Times New Roman" w:eastAsia="宋体" w:cs="Times New Roman"/>
                <w:b w:val="0"/>
                <w:bCs/>
                <w:color w:val="auto"/>
                <w:kern w:val="0"/>
                <w:sz w:val="21"/>
                <w:szCs w:val="21"/>
                <w:highlight w:val="none"/>
              </w:rPr>
              <w:t>名称</w:t>
            </w:r>
          </w:p>
        </w:tc>
        <w:tc>
          <w:tcPr>
            <w:tcW w:w="2648" w:type="dxa"/>
            <w:noWrap w:val="0"/>
            <w:vAlign w:val="center"/>
          </w:tcPr>
          <w:p>
            <w:pPr>
              <w:jc w:val="center"/>
              <w:rPr>
                <w:rFonts w:hint="default" w:ascii="Times New Roman" w:hAnsi="Times New Roman" w:eastAsia="宋体" w:cs="Times New Roman"/>
                <w:b w:val="0"/>
                <w:bCs/>
                <w:color w:val="auto"/>
                <w:kern w:val="0"/>
                <w:sz w:val="21"/>
                <w:szCs w:val="21"/>
                <w:highlight w:val="none"/>
              </w:rPr>
            </w:pPr>
            <w:r>
              <w:rPr>
                <w:rFonts w:hint="default" w:ascii="Times New Roman" w:hAnsi="Times New Roman" w:eastAsia="宋体" w:cs="Times New Roman"/>
                <w:b w:val="0"/>
                <w:bCs/>
                <w:color w:val="auto"/>
                <w:kern w:val="0"/>
                <w:sz w:val="21"/>
                <w:szCs w:val="21"/>
                <w:highlight w:val="none"/>
              </w:rPr>
              <w:t>产生工序</w:t>
            </w:r>
          </w:p>
        </w:tc>
        <w:tc>
          <w:tcPr>
            <w:tcW w:w="2721" w:type="dxa"/>
            <w:noWrap w:val="0"/>
            <w:vAlign w:val="center"/>
          </w:tcPr>
          <w:p>
            <w:pPr>
              <w:jc w:val="center"/>
              <w:rPr>
                <w:rFonts w:hint="default" w:ascii="Times New Roman" w:hAnsi="Times New Roman" w:eastAsia="宋体" w:cs="Times New Roman"/>
                <w:b w:val="0"/>
                <w:bCs/>
                <w:color w:val="auto"/>
                <w:kern w:val="0"/>
                <w:sz w:val="21"/>
                <w:szCs w:val="21"/>
                <w:highlight w:val="none"/>
              </w:rPr>
            </w:pPr>
            <w:r>
              <w:rPr>
                <w:rFonts w:hint="default" w:ascii="Times New Roman" w:hAnsi="Times New Roman" w:eastAsia="宋体" w:cs="Times New Roman"/>
                <w:b w:val="0"/>
                <w:bCs/>
                <w:color w:val="auto"/>
                <w:kern w:val="0"/>
                <w:sz w:val="21"/>
                <w:szCs w:val="21"/>
                <w:highlight w:val="none"/>
              </w:rPr>
              <w:t>排放量（t/a）</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34" w:type="dxa"/>
            <w:noWrap w:val="0"/>
            <w:vAlign w:val="center"/>
          </w:tcPr>
          <w:p>
            <w:pPr>
              <w:jc w:val="center"/>
              <w:rPr>
                <w:rFonts w:hint="default" w:ascii="Times New Roman" w:hAnsi="Times New Roman" w:eastAsia="宋体" w:cs="Times New Roman"/>
                <w:b w:val="0"/>
                <w:bCs/>
                <w:color w:val="auto"/>
                <w:kern w:val="0"/>
                <w:sz w:val="21"/>
                <w:szCs w:val="21"/>
                <w:highlight w:val="none"/>
              </w:rPr>
            </w:pPr>
            <w:r>
              <w:rPr>
                <w:rFonts w:hint="default" w:ascii="Times New Roman" w:hAnsi="Times New Roman" w:eastAsia="宋体" w:cs="Times New Roman"/>
                <w:b w:val="0"/>
                <w:bCs/>
                <w:color w:val="auto"/>
                <w:kern w:val="0"/>
                <w:sz w:val="21"/>
                <w:szCs w:val="21"/>
                <w:highlight w:val="none"/>
              </w:rPr>
              <w:t>废气</w:t>
            </w:r>
          </w:p>
        </w:tc>
        <w:tc>
          <w:tcPr>
            <w:tcW w:w="25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highlight w:val="none"/>
                <w:lang w:eastAsia="zh-CN"/>
              </w:rPr>
            </w:pPr>
            <w:r>
              <w:rPr>
                <w:rFonts w:hint="default" w:ascii="Times New Roman" w:hAnsi="Times New Roman" w:eastAsia="宋体" w:cs="Times New Roman"/>
                <w:b w:val="0"/>
                <w:bCs/>
                <w:color w:val="auto"/>
                <w:kern w:val="0"/>
                <w:sz w:val="21"/>
                <w:szCs w:val="21"/>
                <w:highlight w:val="none"/>
                <w:lang w:val="en-US" w:eastAsia="zh-CN"/>
              </w:rPr>
              <w:t>颗粒物</w:t>
            </w:r>
          </w:p>
        </w:tc>
        <w:tc>
          <w:tcPr>
            <w:tcW w:w="2648"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破碎、运输</w:t>
            </w:r>
          </w:p>
        </w:tc>
        <w:tc>
          <w:tcPr>
            <w:tcW w:w="272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0.0418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34" w:type="dxa"/>
            <w:vMerge w:val="restart"/>
            <w:noWrap w:val="0"/>
            <w:vAlign w:val="center"/>
          </w:tcPr>
          <w:p>
            <w:pPr>
              <w:jc w:val="center"/>
              <w:rPr>
                <w:rFonts w:hint="default" w:ascii="Times New Roman" w:hAnsi="Times New Roman" w:eastAsia="宋体" w:cs="Times New Roman"/>
                <w:b w:val="0"/>
                <w:bCs/>
                <w:color w:val="auto"/>
                <w:kern w:val="0"/>
                <w:sz w:val="21"/>
                <w:szCs w:val="21"/>
                <w:highlight w:val="none"/>
              </w:rPr>
            </w:pPr>
            <w:r>
              <w:rPr>
                <w:rFonts w:hint="default" w:ascii="Times New Roman" w:hAnsi="Times New Roman" w:eastAsia="宋体" w:cs="Times New Roman"/>
                <w:b w:val="0"/>
                <w:bCs/>
                <w:color w:val="auto"/>
                <w:kern w:val="0"/>
                <w:sz w:val="21"/>
                <w:szCs w:val="21"/>
                <w:highlight w:val="none"/>
              </w:rPr>
              <w:t>废水</w:t>
            </w:r>
          </w:p>
        </w:tc>
        <w:tc>
          <w:tcPr>
            <w:tcW w:w="2584" w:type="dxa"/>
            <w:noWrap w:val="0"/>
            <w:vAlign w:val="center"/>
          </w:tcPr>
          <w:p>
            <w:pPr>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选矿废水</w:t>
            </w:r>
          </w:p>
        </w:tc>
        <w:tc>
          <w:tcPr>
            <w:tcW w:w="2648" w:type="dxa"/>
            <w:noWrap w:val="0"/>
            <w:vAlign w:val="center"/>
          </w:tcPr>
          <w:p>
            <w:pPr>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磁选</w:t>
            </w:r>
          </w:p>
        </w:tc>
        <w:tc>
          <w:tcPr>
            <w:tcW w:w="2721" w:type="dxa"/>
            <w:noWrap w:val="0"/>
            <w:vAlign w:val="center"/>
          </w:tcPr>
          <w:p>
            <w:pPr>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34" w:type="dxa"/>
            <w:vMerge w:val="continue"/>
            <w:noWrap w:val="0"/>
            <w:vAlign w:val="center"/>
          </w:tcPr>
          <w:p>
            <w:pPr>
              <w:jc w:val="center"/>
              <w:rPr>
                <w:rFonts w:hint="default" w:ascii="Times New Roman" w:hAnsi="Times New Roman" w:eastAsia="宋体" w:cs="Times New Roman"/>
                <w:b w:val="0"/>
                <w:bCs/>
                <w:color w:val="auto"/>
                <w:kern w:val="0"/>
                <w:sz w:val="21"/>
                <w:szCs w:val="21"/>
                <w:highlight w:val="none"/>
              </w:rPr>
            </w:pPr>
          </w:p>
        </w:tc>
        <w:tc>
          <w:tcPr>
            <w:tcW w:w="2584" w:type="dxa"/>
            <w:noWrap w:val="0"/>
            <w:vAlign w:val="center"/>
          </w:tcPr>
          <w:p>
            <w:pPr>
              <w:jc w:val="center"/>
              <w:rPr>
                <w:rFonts w:hint="default" w:ascii="Times New Roman" w:hAnsi="Times New Roman" w:eastAsia="宋体" w:cs="Times New Roman"/>
                <w:b w:val="0"/>
                <w:bCs/>
                <w:color w:val="auto"/>
                <w:kern w:val="0"/>
                <w:sz w:val="21"/>
                <w:szCs w:val="21"/>
                <w:highlight w:val="none"/>
              </w:rPr>
            </w:pPr>
            <w:r>
              <w:rPr>
                <w:rFonts w:hint="default" w:ascii="Times New Roman" w:hAnsi="Times New Roman" w:eastAsia="宋体" w:cs="Times New Roman"/>
                <w:b w:val="0"/>
                <w:bCs/>
                <w:color w:val="auto"/>
                <w:kern w:val="0"/>
                <w:sz w:val="21"/>
                <w:szCs w:val="21"/>
                <w:highlight w:val="none"/>
              </w:rPr>
              <w:t>生活污水</w:t>
            </w:r>
          </w:p>
        </w:tc>
        <w:tc>
          <w:tcPr>
            <w:tcW w:w="2648" w:type="dxa"/>
            <w:noWrap w:val="0"/>
            <w:vAlign w:val="center"/>
          </w:tcPr>
          <w:p>
            <w:pPr>
              <w:jc w:val="center"/>
              <w:rPr>
                <w:rFonts w:hint="default" w:ascii="Times New Roman" w:hAnsi="Times New Roman" w:eastAsia="宋体" w:cs="Times New Roman"/>
                <w:b w:val="0"/>
                <w:bCs/>
                <w:color w:val="auto"/>
                <w:kern w:val="0"/>
                <w:sz w:val="21"/>
                <w:szCs w:val="21"/>
                <w:highlight w:val="none"/>
              </w:rPr>
            </w:pPr>
            <w:r>
              <w:rPr>
                <w:rFonts w:hint="default" w:ascii="Times New Roman" w:hAnsi="Times New Roman" w:eastAsia="宋体" w:cs="Times New Roman"/>
                <w:b w:val="0"/>
                <w:bCs/>
                <w:color w:val="auto"/>
                <w:kern w:val="0"/>
                <w:sz w:val="21"/>
                <w:szCs w:val="21"/>
                <w:highlight w:val="none"/>
              </w:rPr>
              <w:t>职工生活</w:t>
            </w:r>
          </w:p>
        </w:tc>
        <w:tc>
          <w:tcPr>
            <w:tcW w:w="2721" w:type="dxa"/>
            <w:noWrap w:val="0"/>
            <w:vAlign w:val="center"/>
          </w:tcPr>
          <w:p>
            <w:pPr>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34" w:type="dxa"/>
            <w:vMerge w:val="restart"/>
            <w:noWrap w:val="0"/>
            <w:vAlign w:val="center"/>
          </w:tcPr>
          <w:p>
            <w:pPr>
              <w:jc w:val="center"/>
              <w:rPr>
                <w:rFonts w:hint="default" w:ascii="Times New Roman" w:hAnsi="Times New Roman" w:eastAsia="宋体" w:cs="Times New Roman"/>
                <w:b w:val="0"/>
                <w:bCs/>
                <w:color w:val="auto"/>
                <w:kern w:val="0"/>
                <w:sz w:val="21"/>
                <w:szCs w:val="21"/>
                <w:highlight w:val="none"/>
              </w:rPr>
            </w:pPr>
            <w:r>
              <w:rPr>
                <w:rFonts w:hint="default" w:ascii="Times New Roman" w:hAnsi="Times New Roman" w:eastAsia="宋体" w:cs="Times New Roman"/>
                <w:b w:val="0"/>
                <w:bCs/>
                <w:color w:val="auto"/>
                <w:kern w:val="0"/>
                <w:sz w:val="21"/>
                <w:szCs w:val="21"/>
                <w:highlight w:val="none"/>
              </w:rPr>
              <w:t>固废</w:t>
            </w:r>
          </w:p>
        </w:tc>
        <w:tc>
          <w:tcPr>
            <w:tcW w:w="25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尾矿渣</w:t>
            </w:r>
          </w:p>
        </w:tc>
        <w:tc>
          <w:tcPr>
            <w:tcW w:w="2648"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highlight w:val="none"/>
                <w:lang w:eastAsia="zh-CN"/>
              </w:rPr>
            </w:pPr>
            <w:r>
              <w:rPr>
                <w:rFonts w:hint="default" w:ascii="Times New Roman" w:hAnsi="Times New Roman" w:eastAsia="宋体" w:cs="Times New Roman"/>
                <w:b w:val="0"/>
                <w:bCs/>
                <w:color w:val="auto"/>
                <w:sz w:val="21"/>
                <w:szCs w:val="21"/>
                <w:highlight w:val="none"/>
                <w:lang w:eastAsia="zh-CN"/>
              </w:rPr>
              <w:t>干排系统</w:t>
            </w:r>
          </w:p>
        </w:tc>
        <w:tc>
          <w:tcPr>
            <w:tcW w:w="2721" w:type="dxa"/>
            <w:noWrap w:val="0"/>
            <w:vAlign w:val="center"/>
          </w:tcPr>
          <w:p>
            <w:pPr>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9.36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34" w:type="dxa"/>
            <w:vMerge w:val="continue"/>
            <w:noWrap w:val="0"/>
            <w:vAlign w:val="center"/>
          </w:tcPr>
          <w:p>
            <w:pPr>
              <w:jc w:val="center"/>
              <w:rPr>
                <w:rFonts w:hint="default" w:ascii="Times New Roman" w:hAnsi="Times New Roman" w:eastAsia="宋体" w:cs="Times New Roman"/>
                <w:b w:val="0"/>
                <w:bCs/>
                <w:color w:val="auto"/>
                <w:kern w:val="0"/>
                <w:sz w:val="21"/>
                <w:szCs w:val="21"/>
                <w:highlight w:val="none"/>
              </w:rPr>
            </w:pPr>
          </w:p>
        </w:tc>
        <w:tc>
          <w:tcPr>
            <w:tcW w:w="25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val="0"/>
                <w:bCs/>
                <w:color w:val="auto"/>
                <w:sz w:val="21"/>
                <w:szCs w:val="21"/>
                <w:highlight w:val="none"/>
                <w:lang w:eastAsia="zh-CN"/>
              </w:rPr>
              <w:t>碎石</w:t>
            </w:r>
          </w:p>
        </w:tc>
        <w:tc>
          <w:tcPr>
            <w:tcW w:w="2648"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val="0"/>
                <w:bCs/>
                <w:color w:val="auto"/>
                <w:sz w:val="21"/>
                <w:szCs w:val="21"/>
                <w:highlight w:val="none"/>
                <w:lang w:eastAsia="zh-CN"/>
              </w:rPr>
              <w:t>破碎</w:t>
            </w:r>
          </w:p>
        </w:tc>
        <w:tc>
          <w:tcPr>
            <w:tcW w:w="2721" w:type="dxa"/>
            <w:noWrap w:val="0"/>
            <w:vAlign w:val="center"/>
          </w:tcPr>
          <w:p>
            <w:pPr>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sz w:val="21"/>
                <w:szCs w:val="21"/>
                <w:highlight w:val="none"/>
              </w:rPr>
              <w:t>0</w:t>
            </w:r>
            <w:r>
              <w:rPr>
                <w:rFonts w:hint="default" w:ascii="Times New Roman" w:hAnsi="Times New Roman" w:eastAsia="宋体" w:cs="Times New Roman"/>
                <w:b w:val="0"/>
                <w:bCs/>
                <w:color w:val="auto"/>
                <w:sz w:val="21"/>
                <w:szCs w:val="21"/>
                <w:highlight w:val="none"/>
                <w:lang w:val="en-US" w:eastAsia="zh-CN"/>
              </w:rPr>
              <w:t>.6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34" w:type="dxa"/>
            <w:vMerge w:val="continue"/>
            <w:noWrap w:val="0"/>
            <w:vAlign w:val="center"/>
          </w:tcPr>
          <w:p>
            <w:pPr>
              <w:jc w:val="center"/>
              <w:rPr>
                <w:rFonts w:hint="default" w:ascii="Times New Roman" w:hAnsi="Times New Roman" w:eastAsia="宋体" w:cs="Times New Roman"/>
                <w:b w:val="0"/>
                <w:bCs/>
                <w:color w:val="auto"/>
                <w:kern w:val="0"/>
                <w:sz w:val="21"/>
                <w:szCs w:val="21"/>
                <w:highlight w:val="none"/>
              </w:rPr>
            </w:pPr>
          </w:p>
        </w:tc>
        <w:tc>
          <w:tcPr>
            <w:tcW w:w="25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highlight w:val="none"/>
              </w:rPr>
            </w:pPr>
            <w:r>
              <w:rPr>
                <w:rFonts w:hint="default" w:ascii="Times New Roman" w:hAnsi="Times New Roman" w:eastAsia="宋体" w:cs="Times New Roman"/>
                <w:b w:val="0"/>
                <w:bCs/>
                <w:color w:val="auto"/>
                <w:kern w:val="0"/>
                <w:sz w:val="21"/>
                <w:szCs w:val="21"/>
                <w:highlight w:val="none"/>
              </w:rPr>
              <w:t>生活垃圾</w:t>
            </w:r>
          </w:p>
        </w:tc>
        <w:tc>
          <w:tcPr>
            <w:tcW w:w="2648"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highlight w:val="none"/>
              </w:rPr>
            </w:pPr>
            <w:r>
              <w:rPr>
                <w:rFonts w:hint="default" w:ascii="Times New Roman" w:hAnsi="Times New Roman" w:eastAsia="宋体" w:cs="Times New Roman"/>
                <w:b w:val="0"/>
                <w:bCs/>
                <w:color w:val="auto"/>
                <w:kern w:val="0"/>
                <w:sz w:val="21"/>
                <w:szCs w:val="21"/>
                <w:highlight w:val="none"/>
              </w:rPr>
              <w:t>职工生活</w:t>
            </w:r>
          </w:p>
        </w:tc>
        <w:tc>
          <w:tcPr>
            <w:tcW w:w="2721" w:type="dxa"/>
            <w:noWrap w:val="0"/>
            <w:vAlign w:val="center"/>
          </w:tcPr>
          <w:p>
            <w:pPr>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2.55</w:t>
            </w:r>
          </w:p>
        </w:tc>
      </w:tr>
    </w:tbl>
    <w:p>
      <w:pPr>
        <w:numPr>
          <w:ilvl w:val="0"/>
          <w:numId w:val="4"/>
        </w:numPr>
        <w:bidi w:val="0"/>
        <w:spacing w:line="360" w:lineRule="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现有项目存在的环境问题</w:t>
      </w:r>
    </w:p>
    <w:p>
      <w:pPr>
        <w:bidi w:val="0"/>
        <w:spacing w:line="360" w:lineRule="auto"/>
        <w:ind w:firstLine="480" w:firstLineChars="200"/>
        <w:rPr>
          <w:rFonts w:hint="default" w:ascii="Times New Roman" w:hAnsi="Times New Roman" w:eastAsia="宋体" w:cs="Times New Roman"/>
          <w:sz w:val="24"/>
          <w:szCs w:val="24"/>
          <w:lang w:val="en-US" w:eastAsia="zh-CN"/>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sz w:val="24"/>
          <w:szCs w:val="24"/>
          <w:lang w:val="en-US" w:eastAsia="zh-CN"/>
        </w:rPr>
        <w:t>经现场踏勘，</w:t>
      </w:r>
      <w:r>
        <w:rPr>
          <w:rFonts w:hint="default" w:ascii="Times New Roman" w:hAnsi="Times New Roman" w:eastAsia="宋体" w:cs="Times New Roman"/>
          <w:color w:val="auto"/>
          <w:kern w:val="2"/>
          <w:sz w:val="24"/>
          <w:szCs w:val="24"/>
          <w:lang w:eastAsia="zh-CN"/>
        </w:rPr>
        <w:t>北票市冶通矿业有限公司年产50万吨铁精粉建设项目</w:t>
      </w:r>
      <w:r>
        <w:rPr>
          <w:rFonts w:hint="default" w:ascii="Times New Roman" w:hAnsi="Times New Roman" w:eastAsia="宋体" w:cs="Times New Roman"/>
          <w:color w:val="auto"/>
          <w:kern w:val="2"/>
          <w:sz w:val="24"/>
          <w:szCs w:val="24"/>
          <w:highlight w:val="none"/>
          <w:lang w:eastAsia="zh-CN"/>
        </w:rPr>
        <w:t>目前破碎车间及干排系统已基本建成，</w:t>
      </w:r>
      <w:r>
        <w:rPr>
          <w:rFonts w:hint="default" w:ascii="Times New Roman" w:hAnsi="Times New Roman" w:eastAsia="宋体" w:cs="Times New Roman"/>
          <w:color w:val="auto"/>
          <w:kern w:val="2"/>
          <w:sz w:val="24"/>
          <w:szCs w:val="24"/>
          <w:lang w:eastAsia="zh-CN"/>
        </w:rPr>
        <w:t>设计新增的</w:t>
      </w:r>
      <w:r>
        <w:rPr>
          <w:rFonts w:hint="default" w:ascii="Times New Roman" w:hAnsi="Times New Roman" w:eastAsia="宋体" w:cs="Times New Roman"/>
          <w:color w:val="auto"/>
          <w:kern w:val="2"/>
          <w:sz w:val="24"/>
          <w:szCs w:val="24"/>
          <w:lang w:val="en-US" w:eastAsia="zh-CN"/>
        </w:rPr>
        <w:t>2套球磨机及磁选设备已建成1套。目前破碎车间没有全封闭，且破碎及筛分工序无环保设备。</w:t>
      </w:r>
    </w:p>
    <w:p>
      <w:pPr>
        <w:pStyle w:val="346"/>
        <w:spacing w:beforeLines="50" w:line="360" w:lineRule="auto"/>
        <w:rPr>
          <w:rFonts w:hint="default" w:ascii="Times New Roman" w:hAnsi="Times New Roman" w:eastAsia="宋体" w:cs="Times New Roman"/>
          <w:color w:val="auto"/>
          <w:highlight w:val="none"/>
        </w:rPr>
      </w:pPr>
      <w:bookmarkStart w:id="118" w:name="_Toc19719"/>
      <w:r>
        <w:rPr>
          <w:rFonts w:hint="default" w:ascii="Times New Roman" w:hAnsi="Times New Roman" w:eastAsia="宋体" w:cs="Times New Roman"/>
          <w:color w:val="auto"/>
          <w:highlight w:val="none"/>
        </w:rPr>
        <w:t>3建设项目工程</w:t>
      </w:r>
      <w:bookmarkEnd w:id="99"/>
      <w:r>
        <w:rPr>
          <w:rFonts w:hint="default" w:ascii="Times New Roman" w:hAnsi="Times New Roman" w:eastAsia="宋体" w:cs="Times New Roman"/>
          <w:color w:val="auto"/>
          <w:highlight w:val="none"/>
        </w:rPr>
        <w:t>分析</w:t>
      </w:r>
      <w:bookmarkEnd w:id="118"/>
    </w:p>
    <w:p>
      <w:pPr>
        <w:pStyle w:val="266"/>
        <w:spacing w:beforeLines="50" w:line="360" w:lineRule="auto"/>
        <w:rPr>
          <w:rFonts w:hint="default" w:ascii="Times New Roman" w:hAnsi="Times New Roman" w:eastAsia="宋体" w:cs="Times New Roman"/>
          <w:color w:val="auto"/>
          <w:szCs w:val="28"/>
        </w:rPr>
      </w:pPr>
      <w:bookmarkStart w:id="119" w:name="_Toc355284857"/>
      <w:bookmarkStart w:id="120" w:name="_Toc400617546"/>
      <w:bookmarkStart w:id="121" w:name="_Toc11037"/>
      <w:bookmarkStart w:id="122" w:name="_Toc476224993"/>
      <w:r>
        <w:rPr>
          <w:rFonts w:hint="default" w:ascii="Times New Roman" w:hAnsi="Times New Roman" w:eastAsia="宋体" w:cs="Times New Roman"/>
          <w:color w:val="auto"/>
          <w:szCs w:val="28"/>
        </w:rPr>
        <w:t>3.1</w:t>
      </w:r>
      <w:bookmarkEnd w:id="119"/>
      <w:bookmarkEnd w:id="120"/>
      <w:r>
        <w:rPr>
          <w:rFonts w:hint="default" w:ascii="Times New Roman" w:hAnsi="Times New Roman" w:eastAsia="宋体" w:cs="Times New Roman"/>
          <w:color w:val="auto"/>
          <w:szCs w:val="28"/>
        </w:rPr>
        <w:t>项目概况</w:t>
      </w:r>
      <w:bookmarkEnd w:id="121"/>
      <w:bookmarkEnd w:id="122"/>
    </w:p>
    <w:p>
      <w:pPr>
        <w:pStyle w:val="73"/>
        <w:spacing w:beforeLines="50" w:line="360" w:lineRule="auto"/>
        <w:rPr>
          <w:rFonts w:hint="default" w:ascii="Times New Roman" w:hAnsi="Times New Roman" w:eastAsia="宋体" w:cs="Times New Roman"/>
          <w:color w:val="auto"/>
          <w:sz w:val="28"/>
          <w:szCs w:val="28"/>
        </w:rPr>
      </w:pPr>
      <w:bookmarkStart w:id="123" w:name="_Toc478394760"/>
      <w:bookmarkStart w:id="124" w:name="_Toc476225150"/>
      <w:bookmarkStart w:id="125" w:name="_Toc476639413"/>
      <w:bookmarkStart w:id="126" w:name="_Toc478038802"/>
      <w:bookmarkStart w:id="127" w:name="_Toc476224994"/>
      <w:bookmarkStart w:id="128" w:name="_Toc476553929"/>
      <w:r>
        <w:rPr>
          <w:rFonts w:hint="default" w:ascii="Times New Roman" w:hAnsi="Times New Roman" w:eastAsia="宋体" w:cs="Times New Roman"/>
          <w:color w:val="auto"/>
          <w:sz w:val="28"/>
          <w:szCs w:val="28"/>
        </w:rPr>
        <w:t>3.1.1项目基本情况</w:t>
      </w:r>
      <w:bookmarkEnd w:id="123"/>
      <w:bookmarkEnd w:id="124"/>
      <w:bookmarkEnd w:id="125"/>
      <w:bookmarkEnd w:id="126"/>
      <w:bookmarkEnd w:id="127"/>
      <w:bookmarkEnd w:id="128"/>
    </w:p>
    <w:p>
      <w:pPr>
        <w:pStyle w:val="150"/>
        <w:spacing w:beforeLines="50"/>
        <w:ind w:firstLine="480"/>
        <w:rPr>
          <w:rFonts w:hint="default" w:ascii="Times New Roman" w:hAnsi="Times New Roman" w:eastAsia="宋体" w:cs="Times New Roman"/>
          <w:color w:val="auto"/>
          <w:kern w:val="2"/>
          <w:szCs w:val="22"/>
        </w:rPr>
      </w:pPr>
      <w:bookmarkStart w:id="129" w:name="_Toc355284858"/>
      <w:bookmarkStart w:id="130" w:name="_Toc320905644"/>
      <w:r>
        <w:rPr>
          <w:rFonts w:hint="default" w:ascii="Times New Roman" w:hAnsi="Times New Roman" w:eastAsia="宋体" w:cs="Times New Roman"/>
          <w:color w:val="auto"/>
          <w:kern w:val="2"/>
          <w:szCs w:val="22"/>
        </w:rPr>
        <w:t>（1）项目名称：</w:t>
      </w:r>
      <w:r>
        <w:rPr>
          <w:rFonts w:hint="default" w:ascii="Times New Roman" w:hAnsi="Times New Roman" w:eastAsia="宋体" w:cs="Times New Roman"/>
          <w:color w:val="auto"/>
          <w:kern w:val="2"/>
          <w:sz w:val="24"/>
          <w:szCs w:val="24"/>
          <w:lang w:eastAsia="zh-CN"/>
        </w:rPr>
        <w:t>北票市冶通矿业有限公司年产50万吨铁精粉建设项目</w:t>
      </w:r>
      <w:r>
        <w:rPr>
          <w:rFonts w:hint="default" w:ascii="Times New Roman" w:hAnsi="Times New Roman" w:eastAsia="宋体" w:cs="Times New Roman"/>
          <w:color w:val="auto"/>
          <w:kern w:val="2"/>
          <w:szCs w:val="22"/>
        </w:rPr>
        <w:t>；</w:t>
      </w:r>
    </w:p>
    <w:p>
      <w:pPr>
        <w:pStyle w:val="150"/>
        <w:spacing w:beforeLines="50"/>
        <w:ind w:firstLine="480"/>
        <w:rPr>
          <w:rFonts w:hint="default" w:ascii="Times New Roman" w:hAnsi="Times New Roman" w:eastAsia="宋体" w:cs="Times New Roman"/>
          <w:color w:val="auto"/>
          <w:kern w:val="2"/>
          <w:szCs w:val="22"/>
        </w:rPr>
      </w:pPr>
      <w:r>
        <w:rPr>
          <w:rFonts w:hint="default" w:ascii="Times New Roman" w:hAnsi="Times New Roman" w:eastAsia="宋体" w:cs="Times New Roman"/>
          <w:color w:val="auto"/>
          <w:kern w:val="2"/>
          <w:szCs w:val="22"/>
        </w:rPr>
        <w:t>（2）建设单位：</w:t>
      </w:r>
      <w:r>
        <w:rPr>
          <w:rFonts w:hint="default" w:ascii="Times New Roman" w:hAnsi="Times New Roman" w:eastAsia="宋体" w:cs="Times New Roman"/>
          <w:color w:val="auto"/>
          <w:kern w:val="2"/>
          <w:sz w:val="24"/>
          <w:szCs w:val="24"/>
          <w:lang w:eastAsia="zh-CN"/>
        </w:rPr>
        <w:t>北票市冶通矿业有限公司</w:t>
      </w:r>
      <w:r>
        <w:rPr>
          <w:rFonts w:hint="default" w:ascii="Times New Roman" w:hAnsi="Times New Roman" w:eastAsia="宋体" w:cs="Times New Roman"/>
          <w:color w:val="auto"/>
          <w:kern w:val="2"/>
          <w:szCs w:val="22"/>
        </w:rPr>
        <w:t>；</w:t>
      </w:r>
    </w:p>
    <w:p>
      <w:pPr>
        <w:pStyle w:val="150"/>
        <w:spacing w:beforeLines="50"/>
        <w:ind w:firstLine="480"/>
        <w:rPr>
          <w:rFonts w:hint="default" w:ascii="Times New Roman" w:hAnsi="Times New Roman" w:eastAsia="宋体" w:cs="Times New Roman"/>
          <w:color w:val="auto"/>
          <w:kern w:val="2"/>
          <w:szCs w:val="22"/>
        </w:rPr>
      </w:pPr>
      <w:r>
        <w:rPr>
          <w:rFonts w:hint="default" w:ascii="Times New Roman" w:hAnsi="Times New Roman" w:eastAsia="宋体" w:cs="Times New Roman"/>
          <w:color w:val="auto"/>
          <w:kern w:val="2"/>
          <w:szCs w:val="22"/>
        </w:rPr>
        <w:t>（3）建设地点：</w:t>
      </w:r>
      <w:r>
        <w:rPr>
          <w:rFonts w:hint="default" w:ascii="Times New Roman" w:hAnsi="Times New Roman" w:eastAsia="宋体" w:cs="Times New Roman"/>
          <w:color w:val="auto"/>
          <w:kern w:val="2"/>
          <w:sz w:val="24"/>
          <w:szCs w:val="24"/>
        </w:rPr>
        <w:t>辽宁省朝阳市北票市东官营乡小巴沟村</w:t>
      </w:r>
      <w:r>
        <w:rPr>
          <w:rFonts w:hint="default" w:ascii="Times New Roman" w:hAnsi="Times New Roman" w:eastAsia="宋体" w:cs="Times New Roman"/>
          <w:color w:val="auto"/>
          <w:kern w:val="2"/>
          <w:szCs w:val="22"/>
        </w:rPr>
        <w:t>；</w:t>
      </w:r>
    </w:p>
    <w:p>
      <w:pPr>
        <w:pStyle w:val="150"/>
        <w:spacing w:beforeLines="50"/>
        <w:ind w:firstLine="480"/>
        <w:rPr>
          <w:rFonts w:hint="default" w:ascii="Times New Roman" w:hAnsi="Times New Roman" w:eastAsia="宋体" w:cs="Times New Roman"/>
          <w:color w:val="auto"/>
          <w:kern w:val="2"/>
          <w:szCs w:val="22"/>
        </w:rPr>
      </w:pPr>
      <w:r>
        <w:rPr>
          <w:rFonts w:hint="default" w:ascii="Times New Roman" w:hAnsi="Times New Roman" w:eastAsia="宋体" w:cs="Times New Roman"/>
          <w:color w:val="auto"/>
          <w:kern w:val="2"/>
          <w:szCs w:val="22"/>
        </w:rPr>
        <w:t>（4）项目性质：扩建；</w:t>
      </w:r>
    </w:p>
    <w:p>
      <w:pPr>
        <w:pStyle w:val="150"/>
        <w:spacing w:beforeLines="50"/>
        <w:ind w:firstLine="480"/>
        <w:rPr>
          <w:rFonts w:hint="default" w:ascii="Times New Roman" w:hAnsi="Times New Roman" w:eastAsia="宋体" w:cs="Times New Roman"/>
          <w:color w:val="auto"/>
          <w:kern w:val="2"/>
          <w:szCs w:val="22"/>
          <w:lang w:eastAsia="zh-CN"/>
        </w:rPr>
      </w:pPr>
      <w:r>
        <w:rPr>
          <w:rFonts w:hint="default" w:ascii="Times New Roman" w:hAnsi="Times New Roman" w:eastAsia="宋体" w:cs="Times New Roman"/>
          <w:color w:val="auto"/>
          <w:kern w:val="2"/>
          <w:szCs w:val="22"/>
          <w:lang w:eastAsia="zh-CN"/>
        </w:rPr>
        <w:t>（</w:t>
      </w:r>
      <w:r>
        <w:rPr>
          <w:rFonts w:hint="default" w:ascii="Times New Roman" w:hAnsi="Times New Roman" w:eastAsia="宋体" w:cs="Times New Roman"/>
          <w:color w:val="auto"/>
          <w:kern w:val="2"/>
          <w:szCs w:val="22"/>
          <w:lang w:val="en-US" w:eastAsia="zh-CN"/>
        </w:rPr>
        <w:t>5）</w:t>
      </w:r>
      <w:r>
        <w:rPr>
          <w:rFonts w:hint="default" w:ascii="Times New Roman" w:hAnsi="Times New Roman" w:eastAsia="宋体" w:cs="Times New Roman"/>
          <w:color w:val="auto"/>
          <w:kern w:val="2"/>
          <w:szCs w:val="22"/>
        </w:rPr>
        <w:t>行业类型及代码</w:t>
      </w:r>
      <w:r>
        <w:rPr>
          <w:rFonts w:hint="default" w:ascii="Times New Roman" w:hAnsi="Times New Roman" w:eastAsia="宋体" w:cs="Times New Roman"/>
          <w:color w:val="auto"/>
          <w:kern w:val="2"/>
          <w:szCs w:val="22"/>
          <w:lang w:eastAsia="zh-CN"/>
        </w:rPr>
        <w:t>：其它黑色金属矿采选</w:t>
      </w:r>
      <w:r>
        <w:rPr>
          <w:rFonts w:hint="default" w:ascii="Times New Roman" w:hAnsi="Times New Roman" w:eastAsia="宋体" w:cs="Times New Roman"/>
          <w:color w:val="auto"/>
          <w:kern w:val="2"/>
          <w:szCs w:val="22"/>
          <w:lang w:val="en-US" w:eastAsia="zh-CN"/>
        </w:rPr>
        <w:t>089</w:t>
      </w:r>
      <w:r>
        <w:rPr>
          <w:rFonts w:hint="default" w:ascii="Times New Roman" w:hAnsi="Times New Roman" w:eastAsia="宋体" w:cs="Times New Roman"/>
          <w:color w:val="auto"/>
          <w:kern w:val="2"/>
          <w:szCs w:val="22"/>
          <w:lang w:eastAsia="zh-CN"/>
        </w:rPr>
        <w:t>；</w:t>
      </w:r>
    </w:p>
    <w:p>
      <w:pPr>
        <w:pStyle w:val="150"/>
        <w:spacing w:beforeLines="50"/>
        <w:ind w:firstLine="480"/>
        <w:rPr>
          <w:rFonts w:hint="default" w:ascii="Times New Roman" w:hAnsi="Times New Roman" w:eastAsia="宋体" w:cs="Times New Roman"/>
          <w:color w:val="auto"/>
          <w:kern w:val="2"/>
          <w:szCs w:val="22"/>
          <w:highlight w:val="none"/>
        </w:rPr>
      </w:pPr>
      <w:r>
        <w:rPr>
          <w:rFonts w:hint="default" w:ascii="Times New Roman" w:hAnsi="Times New Roman" w:eastAsia="宋体" w:cs="Times New Roman"/>
          <w:color w:val="auto"/>
          <w:kern w:val="2"/>
          <w:szCs w:val="22"/>
        </w:rPr>
        <w:t>（</w:t>
      </w:r>
      <w:r>
        <w:rPr>
          <w:rFonts w:hint="default" w:ascii="Times New Roman" w:hAnsi="Times New Roman" w:eastAsia="宋体" w:cs="Times New Roman"/>
          <w:color w:val="auto"/>
          <w:kern w:val="2"/>
          <w:szCs w:val="22"/>
          <w:lang w:val="en-US" w:eastAsia="zh-CN"/>
        </w:rPr>
        <w:t>6</w:t>
      </w:r>
      <w:r>
        <w:rPr>
          <w:rFonts w:hint="default" w:ascii="Times New Roman" w:hAnsi="Times New Roman" w:eastAsia="宋体" w:cs="Times New Roman"/>
          <w:color w:val="auto"/>
          <w:kern w:val="2"/>
          <w:szCs w:val="22"/>
        </w:rPr>
        <w:t>）项目投资：总投资</w:t>
      </w:r>
      <w:r>
        <w:rPr>
          <w:rFonts w:hint="default" w:ascii="Times New Roman" w:hAnsi="Times New Roman" w:eastAsia="宋体" w:cs="Times New Roman"/>
          <w:color w:val="auto"/>
          <w:kern w:val="2"/>
          <w:szCs w:val="22"/>
          <w:lang w:val="en-US" w:eastAsia="zh-CN"/>
        </w:rPr>
        <w:t>500</w:t>
      </w:r>
      <w:r>
        <w:rPr>
          <w:rFonts w:hint="default" w:ascii="Times New Roman" w:hAnsi="Times New Roman" w:eastAsia="宋体" w:cs="Times New Roman"/>
          <w:color w:val="auto"/>
          <w:kern w:val="2"/>
          <w:szCs w:val="22"/>
          <w:highlight w:val="none"/>
          <w:lang w:val="en-US" w:eastAsia="zh-CN"/>
        </w:rPr>
        <w:t>0</w:t>
      </w:r>
      <w:r>
        <w:rPr>
          <w:rFonts w:hint="default" w:ascii="Times New Roman" w:hAnsi="Times New Roman" w:eastAsia="宋体" w:cs="Times New Roman"/>
          <w:color w:val="auto"/>
          <w:kern w:val="2"/>
          <w:szCs w:val="22"/>
          <w:highlight w:val="none"/>
        </w:rPr>
        <w:t>万元，环保投资为</w:t>
      </w:r>
      <w:r>
        <w:rPr>
          <w:rFonts w:hint="default" w:ascii="Times New Roman" w:hAnsi="Times New Roman" w:eastAsia="宋体" w:cs="Times New Roman"/>
          <w:color w:val="auto"/>
          <w:kern w:val="2"/>
          <w:szCs w:val="22"/>
          <w:highlight w:val="none"/>
          <w:lang w:val="en-US" w:eastAsia="zh-CN"/>
        </w:rPr>
        <w:t>93.7</w:t>
      </w:r>
      <w:r>
        <w:rPr>
          <w:rFonts w:hint="default" w:ascii="Times New Roman" w:hAnsi="Times New Roman" w:eastAsia="宋体" w:cs="Times New Roman"/>
          <w:color w:val="auto"/>
          <w:kern w:val="2"/>
          <w:szCs w:val="22"/>
          <w:highlight w:val="none"/>
        </w:rPr>
        <w:t>万元，占总投资的比例为</w:t>
      </w:r>
      <w:r>
        <w:rPr>
          <w:rFonts w:hint="default" w:ascii="Times New Roman" w:hAnsi="Times New Roman" w:eastAsia="宋体" w:cs="Times New Roman"/>
          <w:color w:val="auto"/>
          <w:kern w:val="2"/>
          <w:szCs w:val="22"/>
          <w:highlight w:val="none"/>
          <w:lang w:val="en-US" w:eastAsia="zh-CN"/>
        </w:rPr>
        <w:t>1.87</w:t>
      </w:r>
      <w:r>
        <w:rPr>
          <w:rFonts w:hint="default" w:ascii="Times New Roman" w:hAnsi="Times New Roman" w:eastAsia="宋体" w:cs="Times New Roman"/>
          <w:color w:val="auto"/>
          <w:kern w:val="2"/>
          <w:szCs w:val="22"/>
          <w:highlight w:val="none"/>
        </w:rPr>
        <w:t>%；</w:t>
      </w:r>
    </w:p>
    <w:p>
      <w:pPr>
        <w:pStyle w:val="150"/>
        <w:spacing w:beforeLines="50"/>
        <w:ind w:firstLine="480"/>
        <w:rPr>
          <w:rFonts w:hint="default" w:ascii="Times New Roman" w:hAnsi="Times New Roman" w:eastAsia="宋体" w:cs="Times New Roman"/>
          <w:color w:val="auto"/>
          <w:kern w:val="2"/>
          <w:szCs w:val="22"/>
          <w:lang w:eastAsia="zh-CN"/>
        </w:rPr>
      </w:pPr>
      <w:r>
        <w:rPr>
          <w:rFonts w:hint="default" w:ascii="Times New Roman" w:hAnsi="Times New Roman" w:eastAsia="宋体" w:cs="Times New Roman"/>
          <w:color w:val="auto"/>
          <w:kern w:val="2"/>
          <w:szCs w:val="22"/>
        </w:rPr>
        <w:t>（</w:t>
      </w:r>
      <w:r>
        <w:rPr>
          <w:rFonts w:hint="default" w:ascii="Times New Roman" w:hAnsi="Times New Roman" w:eastAsia="宋体" w:cs="Times New Roman"/>
          <w:color w:val="auto"/>
          <w:kern w:val="2"/>
          <w:szCs w:val="22"/>
          <w:lang w:val="en-US" w:eastAsia="zh-CN"/>
        </w:rPr>
        <w:t>7</w:t>
      </w:r>
      <w:r>
        <w:rPr>
          <w:rFonts w:hint="default" w:ascii="Times New Roman" w:hAnsi="Times New Roman" w:eastAsia="宋体" w:cs="Times New Roman"/>
          <w:color w:val="auto"/>
          <w:kern w:val="2"/>
          <w:szCs w:val="22"/>
        </w:rPr>
        <w:t>）占地面积：</w:t>
      </w:r>
      <w:r>
        <w:rPr>
          <w:rFonts w:hint="default" w:ascii="Times New Roman" w:hAnsi="Times New Roman" w:eastAsia="宋体" w:cs="Times New Roman"/>
          <w:color w:val="auto"/>
          <w:kern w:val="2"/>
          <w:szCs w:val="22"/>
          <w:lang w:val="en-US" w:eastAsia="zh-CN"/>
        </w:rPr>
        <w:t>66552</w:t>
      </w:r>
      <w:r>
        <w:rPr>
          <w:rFonts w:hint="default" w:ascii="Times New Roman" w:hAnsi="Times New Roman" w:eastAsia="宋体" w:cs="Times New Roman"/>
          <w:color w:val="auto"/>
          <w:kern w:val="2"/>
          <w:szCs w:val="22"/>
        </w:rPr>
        <w:t>m</w:t>
      </w:r>
      <w:r>
        <w:rPr>
          <w:rFonts w:hint="default" w:ascii="Times New Roman" w:hAnsi="Times New Roman" w:eastAsia="宋体" w:cs="Times New Roman"/>
          <w:color w:val="auto"/>
          <w:kern w:val="2"/>
          <w:szCs w:val="22"/>
          <w:vertAlign w:val="superscript"/>
        </w:rPr>
        <w:t>2</w:t>
      </w:r>
      <w:r>
        <w:rPr>
          <w:rFonts w:hint="default" w:ascii="Times New Roman" w:hAnsi="Times New Roman" w:eastAsia="宋体" w:cs="Times New Roman"/>
          <w:color w:val="auto"/>
          <w:kern w:val="2"/>
          <w:szCs w:val="22"/>
          <w:lang w:eastAsia="zh-CN"/>
        </w:rPr>
        <w:t>；</w:t>
      </w:r>
    </w:p>
    <w:p>
      <w:pPr>
        <w:pStyle w:val="150"/>
        <w:spacing w:beforeLines="50"/>
        <w:ind w:firstLine="480"/>
        <w:rPr>
          <w:rFonts w:hint="default" w:ascii="Times New Roman" w:hAnsi="Times New Roman" w:eastAsia="宋体" w:cs="Times New Roman"/>
          <w:color w:val="auto"/>
          <w:kern w:val="2"/>
          <w:szCs w:val="22"/>
          <w:lang w:eastAsia="zh-CN"/>
        </w:rPr>
      </w:pPr>
      <w:r>
        <w:rPr>
          <w:rFonts w:hint="default" w:ascii="Times New Roman" w:hAnsi="Times New Roman" w:eastAsia="宋体" w:cs="Times New Roman"/>
          <w:color w:val="auto"/>
          <w:kern w:val="2"/>
          <w:szCs w:val="22"/>
        </w:rPr>
        <w:t>（</w:t>
      </w:r>
      <w:r>
        <w:rPr>
          <w:rFonts w:hint="default" w:ascii="Times New Roman" w:hAnsi="Times New Roman" w:eastAsia="宋体" w:cs="Times New Roman"/>
          <w:color w:val="auto"/>
          <w:kern w:val="2"/>
          <w:szCs w:val="22"/>
          <w:lang w:val="en-US" w:eastAsia="zh-CN"/>
        </w:rPr>
        <w:t>8</w:t>
      </w:r>
      <w:r>
        <w:rPr>
          <w:rFonts w:hint="default" w:ascii="Times New Roman" w:hAnsi="Times New Roman" w:eastAsia="宋体" w:cs="Times New Roman"/>
          <w:color w:val="auto"/>
          <w:kern w:val="2"/>
          <w:szCs w:val="22"/>
        </w:rPr>
        <w:t>）用地情况：</w:t>
      </w:r>
      <w:r>
        <w:rPr>
          <w:rFonts w:hint="eastAsia" w:ascii="Times New Roman" w:hAnsi="Times New Roman" w:eastAsia="宋体" w:cs="Times New Roman"/>
          <w:color w:val="auto"/>
          <w:kern w:val="2"/>
          <w:szCs w:val="22"/>
          <w:lang w:eastAsia="zh-CN"/>
        </w:rPr>
        <w:t>新增工业用地</w:t>
      </w:r>
      <w:r>
        <w:rPr>
          <w:rFonts w:hint="default" w:ascii="Times New Roman" w:hAnsi="Times New Roman" w:eastAsia="宋体" w:cs="Times New Roman"/>
          <w:color w:val="auto"/>
          <w:kern w:val="2"/>
          <w:szCs w:val="22"/>
          <w:lang w:eastAsia="zh-CN"/>
        </w:rPr>
        <w:t>；</w:t>
      </w:r>
    </w:p>
    <w:p>
      <w:pPr>
        <w:pStyle w:val="150"/>
        <w:spacing w:beforeLines="50"/>
        <w:ind w:firstLine="480"/>
        <w:rPr>
          <w:rFonts w:hint="default" w:ascii="Times New Roman" w:hAnsi="Times New Roman" w:eastAsia="宋体" w:cs="Times New Roman"/>
          <w:color w:val="auto"/>
          <w:kern w:val="2"/>
          <w:szCs w:val="22"/>
        </w:rPr>
      </w:pPr>
      <w:r>
        <w:rPr>
          <w:rFonts w:hint="default" w:ascii="Times New Roman" w:hAnsi="Times New Roman" w:eastAsia="宋体" w:cs="Times New Roman"/>
          <w:color w:val="auto"/>
          <w:kern w:val="2"/>
          <w:szCs w:val="22"/>
        </w:rPr>
        <w:t>（</w:t>
      </w:r>
      <w:r>
        <w:rPr>
          <w:rFonts w:hint="default" w:ascii="Times New Roman" w:hAnsi="Times New Roman" w:eastAsia="宋体" w:cs="Times New Roman"/>
          <w:color w:val="auto"/>
          <w:kern w:val="2"/>
          <w:szCs w:val="22"/>
          <w:lang w:val="en-US" w:eastAsia="zh-CN"/>
        </w:rPr>
        <w:t>9</w:t>
      </w:r>
      <w:r>
        <w:rPr>
          <w:rFonts w:hint="default" w:ascii="Times New Roman" w:hAnsi="Times New Roman" w:eastAsia="宋体" w:cs="Times New Roman"/>
          <w:color w:val="auto"/>
          <w:kern w:val="2"/>
          <w:szCs w:val="22"/>
        </w:rPr>
        <w:t>）建设内容：</w:t>
      </w:r>
      <w:r>
        <w:rPr>
          <w:rFonts w:hint="default" w:ascii="Times New Roman" w:hAnsi="Times New Roman" w:eastAsia="宋体" w:cs="Times New Roman"/>
          <w:color w:val="auto"/>
          <w:kern w:val="2"/>
          <w:szCs w:val="22"/>
          <w:lang w:eastAsia="zh-CN"/>
        </w:rPr>
        <w:t>新建破碎车间</w:t>
      </w:r>
      <w:r>
        <w:rPr>
          <w:rFonts w:hint="default" w:ascii="Times New Roman" w:hAnsi="Times New Roman" w:eastAsia="宋体" w:cs="Times New Roman"/>
          <w:color w:val="auto"/>
          <w:kern w:val="2"/>
          <w:szCs w:val="22"/>
          <w:lang w:val="en-US" w:eastAsia="zh-CN"/>
        </w:rPr>
        <w:t>1处，球磨车间</w:t>
      </w:r>
      <w:r>
        <w:rPr>
          <w:rFonts w:hint="eastAsia" w:ascii="Times New Roman" w:hAnsi="Times New Roman" w:eastAsia="宋体" w:cs="Times New Roman"/>
          <w:color w:val="auto"/>
          <w:kern w:val="2"/>
          <w:szCs w:val="22"/>
          <w:lang w:val="en-US" w:eastAsia="zh-CN"/>
        </w:rPr>
        <w:t>1</w:t>
      </w:r>
      <w:r>
        <w:rPr>
          <w:rFonts w:hint="default" w:ascii="Times New Roman" w:hAnsi="Times New Roman" w:eastAsia="宋体" w:cs="Times New Roman"/>
          <w:color w:val="auto"/>
          <w:kern w:val="2"/>
          <w:szCs w:val="22"/>
          <w:lang w:val="en-US" w:eastAsia="zh-CN"/>
        </w:rPr>
        <w:t>间，</w:t>
      </w:r>
      <w:r>
        <w:rPr>
          <w:rFonts w:hint="eastAsia" w:ascii="Times New Roman" w:hAnsi="Times New Roman" w:eastAsia="宋体" w:cs="Times New Roman"/>
          <w:color w:val="auto"/>
          <w:kern w:val="2"/>
          <w:szCs w:val="22"/>
          <w:lang w:val="en-US" w:eastAsia="zh-CN"/>
        </w:rPr>
        <w:t>改造原有</w:t>
      </w:r>
      <w:r>
        <w:rPr>
          <w:rFonts w:hint="default" w:ascii="Times New Roman" w:hAnsi="Times New Roman" w:eastAsia="宋体" w:cs="Times New Roman"/>
          <w:color w:val="auto"/>
          <w:kern w:val="2"/>
          <w:szCs w:val="22"/>
          <w:lang w:val="en-US" w:eastAsia="zh-CN"/>
        </w:rPr>
        <w:t>球磨车间</w:t>
      </w:r>
      <w:r>
        <w:rPr>
          <w:rFonts w:hint="eastAsia" w:ascii="Times New Roman" w:hAnsi="Times New Roman" w:eastAsia="宋体" w:cs="Times New Roman"/>
          <w:color w:val="auto"/>
          <w:kern w:val="2"/>
          <w:szCs w:val="22"/>
          <w:lang w:val="en-US" w:eastAsia="zh-CN"/>
        </w:rPr>
        <w:t>1</w:t>
      </w:r>
      <w:r>
        <w:rPr>
          <w:rFonts w:hint="default" w:ascii="Times New Roman" w:hAnsi="Times New Roman" w:eastAsia="宋体" w:cs="Times New Roman"/>
          <w:color w:val="auto"/>
          <w:kern w:val="2"/>
          <w:szCs w:val="22"/>
          <w:lang w:val="en-US" w:eastAsia="zh-CN"/>
        </w:rPr>
        <w:t>间，干排车间1间及其它附属设施</w:t>
      </w:r>
      <w:r>
        <w:rPr>
          <w:rFonts w:hint="default" w:ascii="Times New Roman" w:hAnsi="Times New Roman" w:eastAsia="宋体" w:cs="Times New Roman"/>
          <w:color w:val="auto"/>
          <w:kern w:val="2"/>
          <w:szCs w:val="22"/>
        </w:rPr>
        <w:t>；</w:t>
      </w:r>
    </w:p>
    <w:p>
      <w:pPr>
        <w:pStyle w:val="150"/>
        <w:spacing w:beforeLines="50"/>
        <w:ind w:firstLine="480"/>
        <w:rPr>
          <w:rFonts w:hint="default" w:ascii="Times New Roman" w:hAnsi="Times New Roman" w:eastAsia="宋体" w:cs="Times New Roman"/>
          <w:color w:val="auto"/>
          <w:kern w:val="2"/>
          <w:szCs w:val="22"/>
          <w:lang w:eastAsia="zh-CN"/>
        </w:rPr>
      </w:pPr>
      <w:r>
        <w:rPr>
          <w:rFonts w:hint="default" w:ascii="Times New Roman" w:hAnsi="Times New Roman" w:eastAsia="宋体" w:cs="Times New Roman"/>
          <w:color w:val="auto"/>
          <w:kern w:val="2"/>
          <w:szCs w:val="22"/>
          <w:lang w:eastAsia="zh-CN"/>
        </w:rPr>
        <w:t>（</w:t>
      </w:r>
      <w:r>
        <w:rPr>
          <w:rFonts w:hint="default" w:ascii="Times New Roman" w:hAnsi="Times New Roman" w:eastAsia="宋体" w:cs="Times New Roman"/>
          <w:color w:val="auto"/>
          <w:kern w:val="2"/>
          <w:szCs w:val="22"/>
          <w:lang w:val="en-US" w:eastAsia="zh-CN"/>
        </w:rPr>
        <w:t>10）</w:t>
      </w:r>
      <w:r>
        <w:rPr>
          <w:rFonts w:hint="default" w:ascii="Times New Roman" w:hAnsi="Times New Roman" w:eastAsia="宋体" w:cs="Times New Roman"/>
          <w:color w:val="auto"/>
          <w:kern w:val="2"/>
          <w:szCs w:val="22"/>
        </w:rPr>
        <w:t>产品方案</w:t>
      </w:r>
      <w:r>
        <w:rPr>
          <w:rFonts w:hint="default" w:ascii="Times New Roman" w:hAnsi="Times New Roman" w:eastAsia="宋体" w:cs="Times New Roman"/>
          <w:color w:val="auto"/>
          <w:kern w:val="2"/>
          <w:szCs w:val="22"/>
          <w:lang w:eastAsia="zh-CN"/>
        </w:rPr>
        <w:t>：年产</w:t>
      </w:r>
      <w:r>
        <w:rPr>
          <w:rFonts w:hint="default" w:ascii="Times New Roman" w:hAnsi="Times New Roman" w:eastAsia="宋体" w:cs="Times New Roman"/>
          <w:color w:val="auto"/>
          <w:kern w:val="2"/>
          <w:szCs w:val="22"/>
          <w:lang w:val="en-US" w:eastAsia="zh-CN"/>
        </w:rPr>
        <w:t>50万吨铁精粉</w:t>
      </w:r>
      <w:r>
        <w:rPr>
          <w:rFonts w:hint="default" w:ascii="Times New Roman" w:hAnsi="Times New Roman" w:eastAsia="宋体" w:cs="Times New Roman"/>
          <w:color w:val="auto"/>
          <w:kern w:val="2"/>
          <w:szCs w:val="22"/>
          <w:lang w:eastAsia="zh-CN"/>
        </w:rPr>
        <w:t>；</w:t>
      </w:r>
    </w:p>
    <w:p>
      <w:pPr>
        <w:pStyle w:val="150"/>
        <w:spacing w:beforeLines="50"/>
        <w:ind w:firstLine="480"/>
        <w:rPr>
          <w:rFonts w:hint="default" w:ascii="Times New Roman" w:hAnsi="Times New Roman" w:eastAsia="宋体" w:cs="Times New Roman"/>
          <w:color w:val="auto"/>
          <w:kern w:val="2"/>
          <w:szCs w:val="22"/>
        </w:rPr>
      </w:pPr>
      <w:r>
        <w:rPr>
          <w:rFonts w:hint="default" w:ascii="Times New Roman" w:hAnsi="Times New Roman" w:eastAsia="宋体" w:cs="Times New Roman"/>
          <w:color w:val="auto"/>
          <w:kern w:val="2"/>
          <w:szCs w:val="22"/>
        </w:rPr>
        <w:t>（1</w:t>
      </w:r>
      <w:r>
        <w:rPr>
          <w:rFonts w:hint="default" w:ascii="Times New Roman" w:hAnsi="Times New Roman" w:eastAsia="宋体" w:cs="Times New Roman"/>
          <w:color w:val="auto"/>
          <w:kern w:val="2"/>
          <w:szCs w:val="22"/>
          <w:lang w:val="en-US" w:eastAsia="zh-CN"/>
        </w:rPr>
        <w:t>1</w:t>
      </w:r>
      <w:r>
        <w:rPr>
          <w:rFonts w:hint="default" w:ascii="Times New Roman" w:hAnsi="Times New Roman" w:eastAsia="宋体" w:cs="Times New Roman"/>
          <w:color w:val="auto"/>
          <w:kern w:val="2"/>
          <w:szCs w:val="22"/>
        </w:rPr>
        <w:t>）生产制度与劳动定员：新增劳动定员</w:t>
      </w:r>
      <w:r>
        <w:rPr>
          <w:rFonts w:hint="default" w:ascii="Times New Roman" w:hAnsi="Times New Roman" w:eastAsia="宋体" w:cs="Times New Roman"/>
          <w:color w:val="auto"/>
          <w:kern w:val="2"/>
          <w:szCs w:val="22"/>
          <w:lang w:val="en-US" w:eastAsia="zh-CN"/>
        </w:rPr>
        <w:t>30</w:t>
      </w:r>
      <w:r>
        <w:rPr>
          <w:rFonts w:hint="default" w:ascii="Times New Roman" w:hAnsi="Times New Roman" w:eastAsia="宋体" w:cs="Times New Roman"/>
          <w:color w:val="auto"/>
          <w:kern w:val="2"/>
          <w:szCs w:val="22"/>
        </w:rPr>
        <w:t>人，</w:t>
      </w:r>
      <w:r>
        <w:rPr>
          <w:rFonts w:hint="default" w:ascii="Times New Roman" w:hAnsi="Times New Roman" w:eastAsia="宋体" w:cs="Times New Roman"/>
          <w:color w:val="auto"/>
          <w:szCs w:val="21"/>
        </w:rPr>
        <w:t>每天3班制，每班8h，年工作3</w:t>
      </w:r>
      <w:r>
        <w:rPr>
          <w:rFonts w:hint="default" w:ascii="Times New Roman" w:hAnsi="Times New Roman" w:eastAsia="宋体" w:cs="Times New Roman"/>
          <w:color w:val="auto"/>
          <w:szCs w:val="21"/>
          <w:lang w:val="en-US" w:eastAsia="zh-CN"/>
        </w:rPr>
        <w:t>0</w:t>
      </w:r>
      <w:r>
        <w:rPr>
          <w:rFonts w:hint="default" w:ascii="Times New Roman" w:hAnsi="Times New Roman" w:eastAsia="宋体" w:cs="Times New Roman"/>
          <w:color w:val="auto"/>
          <w:szCs w:val="21"/>
        </w:rPr>
        <w:t>0天</w:t>
      </w:r>
      <w:r>
        <w:rPr>
          <w:rFonts w:hint="default" w:ascii="Times New Roman" w:hAnsi="Times New Roman" w:eastAsia="宋体" w:cs="Times New Roman"/>
          <w:color w:val="auto"/>
          <w:kern w:val="2"/>
          <w:szCs w:val="22"/>
        </w:rPr>
        <w:t>。</w:t>
      </w:r>
    </w:p>
    <w:p>
      <w:pPr>
        <w:pStyle w:val="73"/>
        <w:spacing w:beforeLines="50" w:line="360" w:lineRule="auto"/>
        <w:rPr>
          <w:rFonts w:hint="default" w:ascii="Times New Roman" w:hAnsi="Times New Roman" w:eastAsia="宋体" w:cs="Times New Roman"/>
          <w:color w:val="auto"/>
          <w:sz w:val="28"/>
          <w:szCs w:val="28"/>
          <w:highlight w:val="none"/>
        </w:rPr>
      </w:pPr>
      <w:bookmarkStart w:id="131" w:name="_Toc476225151"/>
      <w:bookmarkStart w:id="132" w:name="_Toc476224995"/>
      <w:bookmarkStart w:id="133" w:name="_Toc478038803"/>
      <w:bookmarkStart w:id="134" w:name="_Toc476553930"/>
      <w:bookmarkStart w:id="135" w:name="_Toc478394761"/>
      <w:bookmarkStart w:id="136" w:name="_Toc476639414"/>
      <w:r>
        <w:rPr>
          <w:rFonts w:hint="default" w:ascii="Times New Roman" w:hAnsi="Times New Roman" w:eastAsia="宋体" w:cs="Times New Roman"/>
          <w:color w:val="auto"/>
          <w:sz w:val="28"/>
          <w:szCs w:val="28"/>
          <w:highlight w:val="none"/>
        </w:rPr>
        <w:t>3.1.2项目</w:t>
      </w:r>
      <w:bookmarkEnd w:id="131"/>
      <w:bookmarkEnd w:id="132"/>
      <w:r>
        <w:rPr>
          <w:rFonts w:hint="default" w:ascii="Times New Roman" w:hAnsi="Times New Roman" w:eastAsia="宋体" w:cs="Times New Roman"/>
          <w:color w:val="auto"/>
          <w:sz w:val="28"/>
          <w:szCs w:val="28"/>
          <w:highlight w:val="none"/>
        </w:rPr>
        <w:t>组成及内容</w:t>
      </w:r>
      <w:bookmarkEnd w:id="129"/>
      <w:bookmarkEnd w:id="130"/>
      <w:bookmarkEnd w:id="133"/>
      <w:bookmarkEnd w:id="134"/>
      <w:bookmarkEnd w:id="135"/>
      <w:bookmarkEnd w:id="136"/>
    </w:p>
    <w:p>
      <w:pPr>
        <w:pStyle w:val="16"/>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lang w:val="en-US" w:eastAsia="zh-CN"/>
        </w:rPr>
      </w:pPr>
      <w:bookmarkStart w:id="137" w:name="_Toc476639416"/>
      <w:bookmarkStart w:id="138" w:name="_Toc476225154"/>
      <w:bookmarkStart w:id="139" w:name="_Toc478038805"/>
      <w:bookmarkStart w:id="140" w:name="_Toc476224998"/>
      <w:bookmarkStart w:id="141" w:name="_Toc478394763"/>
      <w:bookmarkStart w:id="142" w:name="_Toc476553932"/>
      <w:bookmarkStart w:id="143" w:name="_Toc476225161"/>
      <w:bookmarkStart w:id="144" w:name="_Toc476225005"/>
      <w:bookmarkStart w:id="145" w:name="_Toc476553933"/>
      <w:bookmarkStart w:id="146" w:name="_Toc476639417"/>
      <w:bookmarkStart w:id="147" w:name="_Toc478038806"/>
      <w:bookmarkStart w:id="148" w:name="_Toc478394764"/>
      <w:bookmarkStart w:id="149" w:name="_Toc476224996"/>
      <w:bookmarkStart w:id="150" w:name="_Toc476225152"/>
      <w:bookmarkStart w:id="151" w:name="_Toc355284859"/>
      <w:bookmarkStart w:id="152" w:name="_Toc320905648"/>
      <w:r>
        <w:rPr>
          <w:rFonts w:hint="default" w:ascii="Times New Roman" w:hAnsi="Times New Roman" w:eastAsia="宋体" w:cs="Times New Roman"/>
          <w:color w:val="auto"/>
          <w:sz w:val="24"/>
          <w:szCs w:val="24"/>
          <w:lang w:eastAsia="zh-CN"/>
        </w:rPr>
        <w:t>项目</w:t>
      </w:r>
      <w:r>
        <w:rPr>
          <w:rFonts w:hint="default" w:ascii="Times New Roman" w:hAnsi="Times New Roman" w:eastAsia="宋体" w:cs="Times New Roman"/>
          <w:color w:val="auto"/>
          <w:sz w:val="24"/>
          <w:szCs w:val="24"/>
        </w:rPr>
        <w:t>购置</w:t>
      </w:r>
      <w:r>
        <w:rPr>
          <w:rFonts w:hint="default" w:ascii="Times New Roman" w:hAnsi="Times New Roman" w:eastAsia="宋体" w:cs="Times New Roman"/>
          <w:color w:val="auto"/>
          <w:sz w:val="24"/>
          <w:lang w:eastAsia="zh-CN"/>
        </w:rPr>
        <w:t>破碎机、球磨机、磁选机及各种水泵等</w:t>
      </w:r>
      <w:r>
        <w:rPr>
          <w:rFonts w:hint="default" w:ascii="Times New Roman" w:hAnsi="Times New Roman" w:eastAsia="宋体" w:cs="Times New Roman"/>
          <w:color w:val="auto"/>
          <w:sz w:val="24"/>
          <w:szCs w:val="24"/>
        </w:rPr>
        <w:t>配套的生产设备</w:t>
      </w:r>
      <w:r>
        <w:rPr>
          <w:rFonts w:hint="default" w:ascii="Times New Roman" w:hAnsi="Times New Roman" w:eastAsia="宋体" w:cs="Times New Roman"/>
          <w:color w:val="auto"/>
          <w:sz w:val="24"/>
          <w:szCs w:val="24"/>
          <w:lang w:val="en-US" w:eastAsia="zh-CN"/>
        </w:rPr>
        <w:t>共124</w:t>
      </w:r>
      <w:r>
        <w:rPr>
          <w:rFonts w:hint="default" w:ascii="Times New Roman" w:hAnsi="Times New Roman" w:eastAsia="宋体" w:cs="Times New Roman"/>
          <w:color w:val="auto"/>
          <w:sz w:val="24"/>
          <w:szCs w:val="24"/>
        </w:rPr>
        <w:t>台（套）</w:t>
      </w:r>
      <w:r>
        <w:rPr>
          <w:rFonts w:hint="default" w:ascii="Times New Roman" w:hAnsi="Times New Roman" w:eastAsia="宋体" w:cs="Times New Roman"/>
          <w:color w:val="auto"/>
          <w:sz w:val="24"/>
          <w:szCs w:val="24"/>
          <w:lang w:val="en-US" w:eastAsia="zh-CN"/>
        </w:rPr>
        <w:t>。</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建设内容：本项目由主体工程、辅助工程、公用工程及环保工程等部分构成，工程组成一览表见表3.1-</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w:t>
      </w:r>
    </w:p>
    <w:p>
      <w:pPr>
        <w:widowControl/>
        <w:spacing w:beforeLines="50" w:line="480" w:lineRule="exact"/>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表3.1-</w:t>
      </w:r>
      <w:r>
        <w:rPr>
          <w:rFonts w:hint="default" w:ascii="Times New Roman" w:hAnsi="Times New Roman" w:eastAsia="宋体" w:cs="Times New Roman"/>
          <w:color w:val="auto"/>
          <w:sz w:val="24"/>
          <w:lang w:val="en-US" w:eastAsia="zh-CN"/>
        </w:rPr>
        <w:t xml:space="preserve">1                     </w:t>
      </w:r>
      <w:r>
        <w:rPr>
          <w:rFonts w:hint="default" w:ascii="Times New Roman" w:hAnsi="Times New Roman" w:eastAsia="宋体" w:cs="Times New Roman"/>
          <w:color w:val="auto"/>
          <w:sz w:val="24"/>
        </w:rPr>
        <w:t xml:space="preserve">  工程组成一览表</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5"/>
        <w:gridCol w:w="432"/>
        <w:gridCol w:w="808"/>
        <w:gridCol w:w="6180"/>
        <w:gridCol w:w="130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类别</w:t>
            </w:r>
          </w:p>
        </w:tc>
        <w:tc>
          <w:tcPr>
            <w:tcW w:w="1138" w:type="dxa"/>
            <w:gridSpan w:val="2"/>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项目组成</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主要建设内容及规模</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restart"/>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
                <w:bCs/>
                <w:sz w:val="21"/>
                <w:szCs w:val="21"/>
                <w:lang w:val="zh-CN"/>
              </w:rPr>
            </w:pPr>
            <w:r>
              <w:rPr>
                <w:rFonts w:hint="default" w:ascii="Times New Roman" w:hAnsi="Times New Roman" w:eastAsia="宋体" w:cs="Times New Roman"/>
                <w:bCs/>
                <w:sz w:val="21"/>
                <w:szCs w:val="21"/>
                <w:lang w:val="zh-CN"/>
              </w:rPr>
              <w:t>主体工程</w:t>
            </w:r>
          </w:p>
        </w:tc>
        <w:tc>
          <w:tcPr>
            <w:tcW w:w="1138" w:type="dxa"/>
            <w:gridSpan w:val="2"/>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破碎车间</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rPr>
              <w:t>1座，</w:t>
            </w:r>
            <w:r>
              <w:rPr>
                <w:rFonts w:hint="default" w:ascii="Times New Roman" w:hAnsi="Times New Roman" w:eastAsia="宋体" w:cs="Times New Roman"/>
                <w:bCs/>
                <w:sz w:val="21"/>
                <w:szCs w:val="21"/>
                <w:lang w:eastAsia="zh-CN"/>
              </w:rPr>
              <w:t>封闭式，</w:t>
            </w:r>
            <w:r>
              <w:rPr>
                <w:rFonts w:hint="default" w:ascii="Times New Roman" w:hAnsi="Times New Roman" w:eastAsia="宋体" w:cs="Times New Roman"/>
                <w:bCs/>
                <w:sz w:val="21"/>
                <w:szCs w:val="21"/>
              </w:rPr>
              <w:t>建筑面积</w:t>
            </w:r>
            <w:r>
              <w:rPr>
                <w:rFonts w:hint="default" w:ascii="Times New Roman" w:hAnsi="Times New Roman" w:eastAsia="宋体" w:cs="Times New Roman"/>
                <w:bCs/>
                <w:sz w:val="21"/>
                <w:szCs w:val="21"/>
                <w:lang w:val="en-US" w:eastAsia="zh-CN"/>
              </w:rPr>
              <w:t>5880</w:t>
            </w:r>
            <w:r>
              <w:rPr>
                <w:rFonts w:hint="default" w:ascii="Times New Roman" w:hAnsi="Times New Roman" w:eastAsia="宋体" w:cs="Times New Roman"/>
                <w:bCs/>
                <w:sz w:val="21"/>
                <w:szCs w:val="21"/>
              </w:rPr>
              <w:t>m</w:t>
            </w:r>
            <w:r>
              <w:rPr>
                <w:rFonts w:hint="default" w:ascii="Times New Roman" w:hAnsi="Times New Roman" w:eastAsia="宋体" w:cs="Times New Roman"/>
                <w:bCs/>
                <w:sz w:val="21"/>
                <w:szCs w:val="21"/>
                <w:vertAlign w:val="superscript"/>
              </w:rPr>
              <w:t>2</w:t>
            </w:r>
            <w:r>
              <w:rPr>
                <w:rFonts w:hint="default" w:ascii="Times New Roman" w:hAnsi="Times New Roman" w:eastAsia="宋体" w:cs="Times New Roman"/>
                <w:bCs/>
                <w:sz w:val="21"/>
                <w:szCs w:val="21"/>
              </w:rPr>
              <w:t>。根据使用功能划分为原矿暂存区及破碎筛分区</w:t>
            </w:r>
            <w:r>
              <w:rPr>
                <w:rFonts w:hint="default" w:ascii="Times New Roman" w:hAnsi="Times New Roman" w:eastAsia="宋体" w:cs="Times New Roman"/>
                <w:bCs/>
                <w:sz w:val="21"/>
                <w:szCs w:val="21"/>
                <w:lang w:eastAsia="zh-CN"/>
              </w:rPr>
              <w:t>，年破碎原矿石</w:t>
            </w:r>
            <w:r>
              <w:rPr>
                <w:rFonts w:hint="default" w:ascii="Times New Roman" w:hAnsi="Times New Roman" w:eastAsia="宋体" w:cs="Times New Roman"/>
                <w:bCs/>
                <w:sz w:val="21"/>
                <w:szCs w:val="21"/>
                <w:lang w:val="en-US" w:eastAsia="zh-CN"/>
              </w:rPr>
              <w:t>50万吨</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continue"/>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
                <w:bCs/>
                <w:sz w:val="21"/>
                <w:szCs w:val="21"/>
                <w:lang w:val="zh-CN"/>
              </w:rPr>
            </w:pPr>
          </w:p>
        </w:tc>
        <w:tc>
          <w:tcPr>
            <w:tcW w:w="1138" w:type="dxa"/>
            <w:gridSpan w:val="2"/>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eastAsia="zh-CN"/>
              </w:rPr>
              <w:t>球磨</w:t>
            </w:r>
            <w:r>
              <w:rPr>
                <w:rFonts w:hint="default" w:ascii="Times New Roman" w:hAnsi="Times New Roman" w:eastAsia="宋体" w:cs="Times New Roman"/>
                <w:bCs/>
                <w:sz w:val="21"/>
                <w:szCs w:val="21"/>
              </w:rPr>
              <w:t>车间</w:t>
            </w:r>
            <w:r>
              <w:rPr>
                <w:rFonts w:hint="default" w:ascii="Times New Roman" w:hAnsi="Times New Roman" w:eastAsia="宋体" w:cs="Times New Roman"/>
                <w:bCs/>
                <w:sz w:val="21"/>
                <w:szCs w:val="21"/>
                <w:lang w:val="en-US" w:eastAsia="zh-CN"/>
              </w:rPr>
              <w:t>1</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
                <w:bCs/>
                <w:sz w:val="21"/>
                <w:szCs w:val="21"/>
              </w:rPr>
            </w:pPr>
            <w:r>
              <w:rPr>
                <w:rFonts w:hint="default" w:ascii="Times New Roman" w:hAnsi="Times New Roman" w:eastAsia="宋体" w:cs="Times New Roman"/>
                <w:sz w:val="21"/>
                <w:szCs w:val="21"/>
              </w:rPr>
              <w:t>1座，建筑面积</w:t>
            </w:r>
            <w:r>
              <w:rPr>
                <w:rFonts w:hint="default" w:ascii="Times New Roman" w:hAnsi="Times New Roman" w:eastAsia="宋体" w:cs="Times New Roman"/>
                <w:sz w:val="21"/>
                <w:szCs w:val="21"/>
                <w:lang w:val="en-US" w:eastAsia="zh-CN"/>
              </w:rPr>
              <w:t>1540</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，主要包括磨矿及选矿，</w:t>
            </w:r>
            <w:r>
              <w:rPr>
                <w:rFonts w:hint="default" w:ascii="Times New Roman" w:hAnsi="Times New Roman" w:eastAsia="宋体" w:cs="Times New Roman"/>
                <w:sz w:val="21"/>
                <w:szCs w:val="21"/>
                <w:lang w:eastAsia="zh-CN"/>
              </w:rPr>
              <w:t>设置大球磨机</w:t>
            </w:r>
            <w:r>
              <w:rPr>
                <w:rFonts w:hint="default" w:ascii="Times New Roman" w:hAnsi="Times New Roman" w:eastAsia="宋体" w:cs="Times New Roman"/>
                <w:sz w:val="21"/>
                <w:szCs w:val="21"/>
                <w:lang w:val="en-US" w:eastAsia="zh-CN"/>
              </w:rPr>
              <w:t>1台（处理能力22.5万吨/年）及三段磁选</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continue"/>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
                <w:bCs/>
                <w:sz w:val="21"/>
                <w:szCs w:val="21"/>
                <w:lang w:val="zh-CN"/>
              </w:rPr>
            </w:pPr>
          </w:p>
        </w:tc>
        <w:tc>
          <w:tcPr>
            <w:tcW w:w="1138" w:type="dxa"/>
            <w:gridSpan w:val="2"/>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eastAsia="zh-CN"/>
              </w:rPr>
              <w:t>球磨</w:t>
            </w:r>
            <w:r>
              <w:rPr>
                <w:rFonts w:hint="default" w:ascii="Times New Roman" w:hAnsi="Times New Roman" w:eastAsia="宋体" w:cs="Times New Roman"/>
                <w:bCs/>
                <w:sz w:val="21"/>
                <w:szCs w:val="21"/>
              </w:rPr>
              <w:t>车间</w:t>
            </w:r>
            <w:r>
              <w:rPr>
                <w:rFonts w:hint="default" w:ascii="Times New Roman" w:hAnsi="Times New Roman" w:eastAsia="宋体" w:cs="Times New Roman"/>
                <w:bCs/>
                <w:sz w:val="21"/>
                <w:szCs w:val="21"/>
                <w:lang w:val="en-US" w:eastAsia="zh-CN"/>
              </w:rPr>
              <w:t>2</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1座，建筑面积</w:t>
            </w:r>
            <w:r>
              <w:rPr>
                <w:rFonts w:hint="default" w:ascii="Times New Roman" w:hAnsi="Times New Roman" w:eastAsia="宋体" w:cs="Times New Roman"/>
                <w:sz w:val="21"/>
                <w:szCs w:val="21"/>
                <w:lang w:val="en-US" w:eastAsia="zh-CN"/>
              </w:rPr>
              <w:t>1540</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w:t>
            </w:r>
            <w:r>
              <w:rPr>
                <w:rFonts w:hint="default" w:ascii="Times New Roman" w:hAnsi="Times New Roman" w:eastAsia="宋体" w:cs="Times New Roman"/>
                <w:sz w:val="21"/>
                <w:szCs w:val="21"/>
                <w:lang w:eastAsia="zh-CN"/>
              </w:rPr>
              <w:t>设置大球磨机</w:t>
            </w:r>
            <w:r>
              <w:rPr>
                <w:rFonts w:hint="default" w:ascii="Times New Roman" w:hAnsi="Times New Roman" w:eastAsia="宋体" w:cs="Times New Roman"/>
                <w:sz w:val="21"/>
                <w:szCs w:val="21"/>
                <w:lang w:val="en-US" w:eastAsia="zh-CN"/>
              </w:rPr>
              <w:t>1台（处理能力22.5万吨/年）及原有小</w:t>
            </w:r>
            <w:r>
              <w:rPr>
                <w:rFonts w:hint="default" w:ascii="Times New Roman" w:hAnsi="Times New Roman" w:eastAsia="宋体" w:cs="Times New Roman"/>
                <w:sz w:val="21"/>
                <w:szCs w:val="21"/>
                <w:lang w:eastAsia="zh-CN"/>
              </w:rPr>
              <w:t>球磨机</w:t>
            </w:r>
            <w:r>
              <w:rPr>
                <w:rFonts w:hint="default" w:ascii="Times New Roman" w:hAnsi="Times New Roman" w:eastAsia="宋体" w:cs="Times New Roman"/>
                <w:sz w:val="21"/>
                <w:szCs w:val="21"/>
                <w:lang w:val="en-US" w:eastAsia="zh-CN"/>
              </w:rPr>
              <w:t>1台（处理能力5万吨/年）</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原有车间改造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continue"/>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
                <w:bCs/>
                <w:color w:val="FF0000"/>
                <w:sz w:val="21"/>
                <w:szCs w:val="21"/>
                <w:lang w:val="zh-CN"/>
              </w:rPr>
            </w:pPr>
          </w:p>
        </w:tc>
        <w:tc>
          <w:tcPr>
            <w:tcW w:w="1138" w:type="dxa"/>
            <w:gridSpan w:val="2"/>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干排车间</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1座，位于磨选车间</w:t>
            </w:r>
            <w:r>
              <w:rPr>
                <w:rFonts w:hint="default" w:ascii="Times New Roman" w:hAnsi="Times New Roman" w:eastAsia="宋体" w:cs="Times New Roman"/>
                <w:sz w:val="21"/>
                <w:szCs w:val="21"/>
                <w:lang w:eastAsia="zh-CN"/>
              </w:rPr>
              <w:t>西</w:t>
            </w:r>
            <w:r>
              <w:rPr>
                <w:rFonts w:hint="default" w:ascii="Times New Roman" w:hAnsi="Times New Roman" w:eastAsia="宋体" w:cs="Times New Roman"/>
                <w:sz w:val="21"/>
                <w:szCs w:val="21"/>
              </w:rPr>
              <w:t>侧，占地面积</w:t>
            </w:r>
            <w:r>
              <w:rPr>
                <w:rFonts w:hint="default" w:ascii="Times New Roman" w:hAnsi="Times New Roman" w:eastAsia="宋体" w:cs="Times New Roman"/>
                <w:sz w:val="21"/>
                <w:szCs w:val="21"/>
                <w:lang w:val="en-US" w:eastAsia="zh-CN"/>
              </w:rPr>
              <w:t>920</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。主要包括尾矿渣甩干脱水机</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restart"/>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color w:val="FF0000"/>
                <w:sz w:val="21"/>
                <w:szCs w:val="21"/>
                <w:lang w:val="zh-CN"/>
              </w:rPr>
            </w:pPr>
            <w:r>
              <w:rPr>
                <w:rFonts w:hint="default" w:ascii="Times New Roman" w:hAnsi="Times New Roman" w:eastAsia="宋体" w:cs="Times New Roman"/>
                <w:bCs/>
                <w:sz w:val="21"/>
                <w:szCs w:val="21"/>
                <w:lang w:val="zh-CN"/>
              </w:rPr>
              <w:t>辅助工程</w:t>
            </w:r>
          </w:p>
        </w:tc>
        <w:tc>
          <w:tcPr>
            <w:tcW w:w="1138" w:type="dxa"/>
            <w:gridSpan w:val="2"/>
            <w:tcBorders>
              <w:tl2br w:val="nil"/>
              <w:tr2bl w:val="nil"/>
            </w:tcBorders>
            <w:vAlign w:val="center"/>
          </w:tcPr>
          <w:p>
            <w:pPr>
              <w:widowControl/>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办公用房</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1座，占地面积</w:t>
            </w:r>
            <w:r>
              <w:rPr>
                <w:rFonts w:hint="default" w:ascii="Times New Roman" w:hAnsi="Times New Roman" w:eastAsia="宋体" w:cs="Times New Roman"/>
                <w:sz w:val="21"/>
                <w:szCs w:val="21"/>
                <w:lang w:val="en-US" w:eastAsia="zh-CN"/>
              </w:rPr>
              <w:t>200</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，用于办公</w:t>
            </w:r>
            <w:r>
              <w:rPr>
                <w:rFonts w:hint="default" w:ascii="Times New Roman" w:hAnsi="Times New Roman" w:eastAsia="宋体" w:cs="Times New Roman"/>
                <w:sz w:val="21"/>
                <w:szCs w:val="21"/>
                <w:lang w:eastAsia="zh-CN"/>
              </w:rPr>
              <w:t>及</w:t>
            </w:r>
            <w:r>
              <w:rPr>
                <w:rFonts w:hint="default" w:ascii="Times New Roman" w:hAnsi="Times New Roman" w:eastAsia="宋体" w:cs="Times New Roman"/>
                <w:sz w:val="21"/>
                <w:szCs w:val="21"/>
              </w:rPr>
              <w:t>临时休息</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bCs/>
                <w:sz w:val="21"/>
                <w:szCs w:val="21"/>
                <w:lang w:eastAsia="zh-CN"/>
              </w:rPr>
              <w:t>依托原有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continue"/>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color w:val="FF0000"/>
                <w:sz w:val="21"/>
                <w:szCs w:val="21"/>
                <w:lang w:val="zh-CN"/>
              </w:rPr>
            </w:pPr>
          </w:p>
        </w:tc>
        <w:tc>
          <w:tcPr>
            <w:tcW w:w="1138" w:type="dxa"/>
            <w:gridSpan w:val="2"/>
            <w:tcBorders>
              <w:tl2br w:val="nil"/>
              <w:tr2bl w:val="nil"/>
            </w:tcBorders>
            <w:vAlign w:val="center"/>
          </w:tcPr>
          <w:p>
            <w:pPr>
              <w:widowControl/>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尾矿仓</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lang w:val="zh-CN"/>
              </w:rPr>
            </w:pPr>
            <w:r>
              <w:rPr>
                <w:rFonts w:hint="default" w:ascii="Times New Roman" w:hAnsi="Times New Roman" w:eastAsia="宋体" w:cs="Times New Roman"/>
                <w:bCs/>
                <w:sz w:val="21"/>
                <w:szCs w:val="21"/>
              </w:rPr>
              <w:t>1座，</w:t>
            </w:r>
            <w:r>
              <w:rPr>
                <w:rFonts w:hint="default" w:ascii="Times New Roman" w:hAnsi="Times New Roman" w:eastAsia="宋体" w:cs="Times New Roman"/>
                <w:bCs/>
                <w:sz w:val="21"/>
                <w:szCs w:val="21"/>
                <w:lang w:eastAsia="zh-CN"/>
              </w:rPr>
              <w:t>封闭式，</w:t>
            </w:r>
            <w:r>
              <w:rPr>
                <w:rFonts w:hint="default" w:ascii="Times New Roman" w:hAnsi="Times New Roman" w:eastAsia="宋体" w:cs="Times New Roman"/>
                <w:bCs/>
                <w:sz w:val="21"/>
                <w:szCs w:val="21"/>
                <w:lang w:val="zh-CN"/>
              </w:rPr>
              <w:t>尾矿渣暂存，</w:t>
            </w:r>
            <w:r>
              <w:rPr>
                <w:rFonts w:hint="default" w:ascii="Times New Roman" w:hAnsi="Times New Roman" w:eastAsia="宋体" w:cs="Times New Roman"/>
                <w:bCs/>
                <w:sz w:val="21"/>
                <w:szCs w:val="21"/>
              </w:rPr>
              <w:t>建筑</w:t>
            </w:r>
            <w:r>
              <w:rPr>
                <w:rFonts w:hint="default" w:ascii="Times New Roman" w:hAnsi="Times New Roman" w:eastAsia="宋体" w:cs="Times New Roman"/>
                <w:bCs/>
                <w:sz w:val="21"/>
                <w:szCs w:val="21"/>
                <w:lang w:val="zh-CN"/>
              </w:rPr>
              <w:t>面积</w:t>
            </w:r>
            <w:r>
              <w:rPr>
                <w:rFonts w:hint="default" w:ascii="Times New Roman" w:hAnsi="Times New Roman" w:eastAsia="宋体" w:cs="Times New Roman"/>
                <w:bCs/>
                <w:sz w:val="21"/>
                <w:szCs w:val="21"/>
                <w:lang w:val="en-US" w:eastAsia="zh-CN"/>
              </w:rPr>
              <w:t>3</w:t>
            </w:r>
            <w:r>
              <w:rPr>
                <w:rFonts w:hint="default" w:ascii="Times New Roman" w:hAnsi="Times New Roman" w:eastAsia="宋体" w:cs="Times New Roman"/>
                <w:bCs/>
                <w:sz w:val="21"/>
                <w:szCs w:val="21"/>
              </w:rPr>
              <w:t>00</w:t>
            </w:r>
            <w:r>
              <w:rPr>
                <w:rFonts w:hint="default" w:ascii="Times New Roman" w:hAnsi="Times New Roman" w:eastAsia="宋体" w:cs="Times New Roman"/>
                <w:bCs/>
                <w:sz w:val="21"/>
                <w:szCs w:val="21"/>
                <w:lang w:val="zh-CN"/>
              </w:rPr>
              <w:t>m</w:t>
            </w:r>
            <w:r>
              <w:rPr>
                <w:rFonts w:hint="default" w:ascii="Times New Roman" w:hAnsi="Times New Roman" w:eastAsia="宋体" w:cs="Times New Roman"/>
                <w:bCs/>
                <w:sz w:val="21"/>
                <w:szCs w:val="21"/>
                <w:vertAlign w:val="superscript"/>
                <w:lang w:val="zh-CN"/>
              </w:rPr>
              <w:t>2</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continue"/>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color w:val="FF0000"/>
                <w:sz w:val="21"/>
                <w:szCs w:val="21"/>
                <w:lang w:val="zh-CN"/>
              </w:rPr>
            </w:pPr>
          </w:p>
        </w:tc>
        <w:tc>
          <w:tcPr>
            <w:tcW w:w="1138" w:type="dxa"/>
            <w:gridSpan w:val="2"/>
            <w:tcBorders>
              <w:tl2br w:val="nil"/>
              <w:tr2bl w:val="nil"/>
            </w:tcBorders>
            <w:vAlign w:val="center"/>
          </w:tcPr>
          <w:p>
            <w:pPr>
              <w:widowControl/>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铁精粉仓</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lang w:val="zh-CN"/>
              </w:rPr>
            </w:pPr>
            <w:r>
              <w:rPr>
                <w:rFonts w:hint="default" w:ascii="Times New Roman" w:hAnsi="Times New Roman" w:eastAsia="宋体" w:cs="Times New Roman"/>
                <w:bCs/>
                <w:sz w:val="21"/>
                <w:szCs w:val="21"/>
              </w:rPr>
              <w:t>1座，</w:t>
            </w:r>
            <w:r>
              <w:rPr>
                <w:rFonts w:hint="default" w:ascii="Times New Roman" w:hAnsi="Times New Roman" w:eastAsia="宋体" w:cs="Times New Roman"/>
                <w:bCs/>
                <w:sz w:val="21"/>
                <w:szCs w:val="21"/>
                <w:lang w:eastAsia="zh-CN"/>
              </w:rPr>
              <w:t>封闭式，用于存放成品铁精粉，</w:t>
            </w:r>
            <w:r>
              <w:rPr>
                <w:rFonts w:hint="default" w:ascii="Times New Roman" w:hAnsi="Times New Roman" w:eastAsia="宋体" w:cs="Times New Roman"/>
                <w:bCs/>
                <w:sz w:val="21"/>
                <w:szCs w:val="21"/>
              </w:rPr>
              <w:t>建筑</w:t>
            </w:r>
            <w:r>
              <w:rPr>
                <w:rFonts w:hint="default" w:ascii="Times New Roman" w:hAnsi="Times New Roman" w:eastAsia="宋体" w:cs="Times New Roman"/>
                <w:bCs/>
                <w:sz w:val="21"/>
                <w:szCs w:val="21"/>
                <w:lang w:val="zh-CN"/>
              </w:rPr>
              <w:t>面积</w:t>
            </w:r>
            <w:r>
              <w:rPr>
                <w:rFonts w:hint="default" w:ascii="Times New Roman" w:hAnsi="Times New Roman" w:eastAsia="宋体" w:cs="Times New Roman"/>
                <w:bCs/>
                <w:sz w:val="21"/>
                <w:szCs w:val="21"/>
                <w:lang w:val="en-US" w:eastAsia="zh-CN"/>
              </w:rPr>
              <w:t>80</w:t>
            </w:r>
            <w:r>
              <w:rPr>
                <w:rFonts w:hint="default" w:ascii="Times New Roman" w:hAnsi="Times New Roman" w:eastAsia="宋体" w:cs="Times New Roman"/>
                <w:bCs/>
                <w:sz w:val="21"/>
                <w:szCs w:val="21"/>
              </w:rPr>
              <w:t>0</w:t>
            </w:r>
            <w:r>
              <w:rPr>
                <w:rFonts w:hint="default" w:ascii="Times New Roman" w:hAnsi="Times New Roman" w:eastAsia="宋体" w:cs="Times New Roman"/>
                <w:bCs/>
                <w:sz w:val="21"/>
                <w:szCs w:val="21"/>
                <w:lang w:val="zh-CN"/>
              </w:rPr>
              <w:t>m</w:t>
            </w:r>
            <w:r>
              <w:rPr>
                <w:rFonts w:hint="default" w:ascii="Times New Roman" w:hAnsi="Times New Roman" w:eastAsia="宋体" w:cs="Times New Roman"/>
                <w:bCs/>
                <w:sz w:val="21"/>
                <w:szCs w:val="21"/>
                <w:vertAlign w:val="superscript"/>
                <w:lang w:val="zh-CN"/>
              </w:rPr>
              <w:t>2</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储运工程</w:t>
            </w:r>
          </w:p>
        </w:tc>
        <w:tc>
          <w:tcPr>
            <w:tcW w:w="1138" w:type="dxa"/>
            <w:gridSpan w:val="2"/>
            <w:tcBorders>
              <w:tl2br w:val="nil"/>
              <w:tr2bl w:val="nil"/>
            </w:tcBorders>
            <w:vAlign w:val="center"/>
          </w:tcPr>
          <w:p>
            <w:pPr>
              <w:widowControl/>
              <w:spacing w:line="240" w:lineRule="auto"/>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外部道路运输</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highlight w:val="none"/>
              </w:rPr>
              <w:t>原矿石</w:t>
            </w:r>
            <w:r>
              <w:rPr>
                <w:rFonts w:hint="default" w:ascii="Times New Roman" w:hAnsi="Times New Roman" w:eastAsia="宋体" w:cs="Times New Roman"/>
                <w:highlight w:val="none"/>
                <w:lang w:eastAsia="zh-CN"/>
              </w:rPr>
              <w:t>运输途径</w:t>
            </w:r>
            <w:r>
              <w:rPr>
                <w:rFonts w:hint="default" w:ascii="Times New Roman" w:hAnsi="Times New Roman" w:eastAsia="宋体" w:cs="Times New Roman"/>
                <w:b w:val="0"/>
                <w:bCs/>
                <w:color w:val="auto"/>
                <w:szCs w:val="21"/>
                <w:lang w:val="en-US" w:eastAsia="zh-CN"/>
              </w:rPr>
              <w:t>黄古屯村、东洼、上丁杖子</w:t>
            </w:r>
            <w:r>
              <w:rPr>
                <w:rFonts w:hint="default" w:ascii="Times New Roman" w:hAnsi="Times New Roman" w:eastAsia="宋体" w:cs="Times New Roman"/>
                <w:highlight w:val="none"/>
              </w:rPr>
              <w:t>，</w:t>
            </w:r>
            <w:r>
              <w:rPr>
                <w:rFonts w:hint="default" w:ascii="Times New Roman" w:hAnsi="Times New Roman" w:eastAsia="宋体" w:cs="Times New Roman"/>
                <w:highlight w:val="none"/>
                <w:lang w:val="en-US" w:eastAsia="zh-CN"/>
              </w:rPr>
              <w:t>全程约3.5km</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restart"/>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color w:val="FF0000"/>
                <w:sz w:val="21"/>
                <w:szCs w:val="21"/>
                <w:lang w:val="zh-CN"/>
              </w:rPr>
            </w:pPr>
            <w:r>
              <w:rPr>
                <w:rFonts w:hint="default" w:ascii="Times New Roman" w:hAnsi="Times New Roman" w:eastAsia="宋体" w:cs="Times New Roman"/>
                <w:bCs/>
                <w:sz w:val="21"/>
                <w:szCs w:val="21"/>
                <w:lang w:val="zh-CN"/>
              </w:rPr>
              <w:t>公用工程</w:t>
            </w:r>
          </w:p>
        </w:tc>
        <w:tc>
          <w:tcPr>
            <w:tcW w:w="1138" w:type="dxa"/>
            <w:gridSpan w:val="2"/>
            <w:tcBorders>
              <w:tl2br w:val="nil"/>
              <w:tr2bl w:val="nil"/>
            </w:tcBorders>
            <w:vAlign w:val="center"/>
          </w:tcPr>
          <w:p>
            <w:pPr>
              <w:widowControl/>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给水</w:t>
            </w:r>
          </w:p>
        </w:tc>
        <w:tc>
          <w:tcPr>
            <w:tcW w:w="5670" w:type="dxa"/>
            <w:tcBorders>
              <w:tl2br w:val="nil"/>
              <w:tr2bl w:val="nil"/>
            </w:tcBorders>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sz w:val="21"/>
                <w:szCs w:val="21"/>
                <w:lang w:val="en-US" w:eastAsia="zh-CN"/>
              </w:rPr>
              <w:t>取自厂区自有水井</w:t>
            </w:r>
            <w:r>
              <w:rPr>
                <w:rFonts w:hint="eastAsia" w:ascii="Times New Roman" w:hAnsi="Times New Roman" w:eastAsia="宋体" w:cs="Times New Roman"/>
                <w:sz w:val="21"/>
                <w:szCs w:val="21"/>
                <w:lang w:val="en-US" w:eastAsia="zh-CN"/>
              </w:rPr>
              <w:t>，取水证见附件</w:t>
            </w:r>
          </w:p>
        </w:tc>
        <w:tc>
          <w:tcPr>
            <w:tcW w:w="1196" w:type="dxa"/>
            <w:tcBorders>
              <w:tl2br w:val="nil"/>
              <w:tr2bl w:val="nil"/>
            </w:tcBorders>
            <w:vAlign w:val="center"/>
          </w:tcPr>
          <w:p>
            <w:pPr>
              <w:autoSpaceDE w:val="0"/>
              <w:autoSpaceDN w:val="0"/>
              <w:adjustRightInd w:val="0"/>
              <w:spacing w:line="240"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依托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7" w:hRule="exact"/>
          <w:jc w:val="center"/>
        </w:trPr>
        <w:tc>
          <w:tcPr>
            <w:tcW w:w="519" w:type="dxa"/>
            <w:vMerge w:val="continue"/>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color w:val="FF0000"/>
                <w:sz w:val="21"/>
                <w:szCs w:val="21"/>
                <w:lang w:val="zh-CN"/>
              </w:rPr>
            </w:pPr>
          </w:p>
        </w:tc>
        <w:tc>
          <w:tcPr>
            <w:tcW w:w="1138" w:type="dxa"/>
            <w:gridSpan w:val="2"/>
            <w:tcBorders>
              <w:tl2br w:val="nil"/>
              <w:tr2bl w:val="nil"/>
            </w:tcBorders>
            <w:vAlign w:val="center"/>
          </w:tcPr>
          <w:p>
            <w:pPr>
              <w:widowControl/>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排水</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选矿工艺废水排入</w:t>
            </w:r>
            <w:r>
              <w:rPr>
                <w:rFonts w:hint="default" w:ascii="Times New Roman" w:hAnsi="Times New Roman" w:eastAsia="宋体" w:cs="Times New Roman"/>
                <w:spacing w:val="6"/>
                <w:sz w:val="21"/>
                <w:szCs w:val="21"/>
                <w:lang w:val="en-US" w:eastAsia="zh-CN"/>
              </w:rPr>
              <w:t>2</w:t>
            </w:r>
            <w:r>
              <w:rPr>
                <w:rFonts w:hint="default" w:ascii="Times New Roman" w:hAnsi="Times New Roman" w:eastAsia="宋体" w:cs="Times New Roman"/>
                <w:spacing w:val="6"/>
                <w:sz w:val="21"/>
                <w:szCs w:val="21"/>
              </w:rPr>
              <w:t>座有效容积</w:t>
            </w:r>
            <w:r>
              <w:rPr>
                <w:rFonts w:hint="default" w:ascii="Times New Roman" w:hAnsi="Times New Roman" w:eastAsia="宋体" w:cs="Times New Roman"/>
                <w:spacing w:val="6"/>
                <w:sz w:val="21"/>
                <w:szCs w:val="21"/>
                <w:lang w:eastAsia="zh-CN"/>
              </w:rPr>
              <w:t>共</w:t>
            </w:r>
            <w:r>
              <w:rPr>
                <w:rFonts w:hint="default" w:ascii="Times New Roman" w:hAnsi="Times New Roman" w:eastAsia="宋体" w:cs="Times New Roman"/>
                <w:spacing w:val="6"/>
                <w:sz w:val="21"/>
                <w:szCs w:val="21"/>
                <w:lang w:val="en-US" w:eastAsia="zh-CN"/>
              </w:rPr>
              <w:t>30</w:t>
            </w:r>
            <w:r>
              <w:rPr>
                <w:rFonts w:hint="default" w:ascii="Times New Roman" w:hAnsi="Times New Roman" w:eastAsia="宋体" w:cs="Times New Roman"/>
                <w:spacing w:val="6"/>
                <w:sz w:val="21"/>
                <w:szCs w:val="21"/>
              </w:rPr>
              <w:t>00m</w:t>
            </w:r>
            <w:r>
              <w:rPr>
                <w:rFonts w:hint="default" w:ascii="Times New Roman" w:hAnsi="Times New Roman" w:eastAsia="宋体" w:cs="Times New Roman"/>
                <w:spacing w:val="6"/>
                <w:sz w:val="21"/>
                <w:szCs w:val="21"/>
                <w:vertAlign w:val="superscript"/>
              </w:rPr>
              <w:t>3</w:t>
            </w:r>
            <w:r>
              <w:rPr>
                <w:rFonts w:hint="default" w:ascii="Times New Roman" w:hAnsi="Times New Roman" w:eastAsia="宋体" w:cs="Times New Roman"/>
                <w:spacing w:val="6"/>
                <w:sz w:val="21"/>
                <w:szCs w:val="21"/>
                <w:lang w:eastAsia="zh-CN"/>
              </w:rPr>
              <w:t>浓密罐</w:t>
            </w:r>
            <w:r>
              <w:rPr>
                <w:rFonts w:hint="default" w:ascii="Times New Roman" w:hAnsi="Times New Roman" w:eastAsia="宋体" w:cs="Times New Roman"/>
                <w:spacing w:val="6"/>
                <w:sz w:val="21"/>
                <w:szCs w:val="21"/>
              </w:rPr>
              <w:t>，经沉淀后上层清液回用于选矿，不外排；生活污水排入1座有效容积约15m</w:t>
            </w:r>
            <w:r>
              <w:rPr>
                <w:rFonts w:hint="default" w:ascii="Times New Roman" w:hAnsi="Times New Roman" w:eastAsia="宋体" w:cs="Times New Roman"/>
                <w:spacing w:val="6"/>
                <w:sz w:val="21"/>
                <w:szCs w:val="21"/>
                <w:vertAlign w:val="superscript"/>
              </w:rPr>
              <w:t>3</w:t>
            </w:r>
            <w:r>
              <w:rPr>
                <w:rFonts w:hint="default" w:ascii="Times New Roman" w:hAnsi="Times New Roman" w:eastAsia="宋体" w:cs="Times New Roman"/>
                <w:spacing w:val="6"/>
                <w:sz w:val="21"/>
                <w:szCs w:val="21"/>
              </w:rPr>
              <w:t>的防渗旱厕，定期清掏、用作农肥。</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pacing w:val="6"/>
                <w:sz w:val="21"/>
                <w:szCs w:val="21"/>
                <w:lang w:eastAsia="zh-CN"/>
              </w:rPr>
            </w:pPr>
            <w:r>
              <w:rPr>
                <w:rFonts w:hint="default" w:ascii="Times New Roman" w:hAnsi="Times New Roman" w:eastAsia="宋体" w:cs="Times New Roman"/>
                <w:spacing w:val="6"/>
                <w:sz w:val="21"/>
                <w:szCs w:val="21"/>
                <w:lang w:eastAsia="zh-CN"/>
              </w:rPr>
              <w:t>浓密罐为新建，旱厕依托原有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continue"/>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color w:val="FF0000"/>
                <w:sz w:val="21"/>
                <w:szCs w:val="21"/>
                <w:lang w:val="zh-CN"/>
              </w:rPr>
            </w:pPr>
          </w:p>
        </w:tc>
        <w:tc>
          <w:tcPr>
            <w:tcW w:w="1138" w:type="dxa"/>
            <w:gridSpan w:val="2"/>
            <w:tcBorders>
              <w:tl2br w:val="nil"/>
              <w:tr2bl w:val="nil"/>
            </w:tcBorders>
            <w:vAlign w:val="center"/>
          </w:tcPr>
          <w:p>
            <w:pPr>
              <w:widowControl/>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供电</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新建变电所</w:t>
            </w:r>
            <w:r>
              <w:rPr>
                <w:rFonts w:hint="default" w:ascii="Times New Roman" w:hAnsi="Times New Roman" w:eastAsia="宋体" w:cs="Times New Roman"/>
                <w:sz w:val="21"/>
                <w:szCs w:val="21"/>
                <w:lang w:val="en-US" w:eastAsia="zh-CN"/>
              </w:rPr>
              <w:t>2座</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continue"/>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color w:val="FF0000"/>
                <w:sz w:val="21"/>
                <w:szCs w:val="21"/>
                <w:lang w:val="zh-CN"/>
              </w:rPr>
            </w:pPr>
          </w:p>
        </w:tc>
        <w:tc>
          <w:tcPr>
            <w:tcW w:w="1138" w:type="dxa"/>
            <w:gridSpan w:val="2"/>
            <w:tcBorders>
              <w:tl2br w:val="nil"/>
              <w:tr2bl w:val="nil"/>
            </w:tcBorders>
            <w:vAlign w:val="center"/>
          </w:tcPr>
          <w:p>
            <w:pPr>
              <w:widowControl/>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取暖</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办公用房取暖采用电取暖</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依托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7" w:hRule="exact"/>
          <w:jc w:val="center"/>
        </w:trPr>
        <w:tc>
          <w:tcPr>
            <w:tcW w:w="519" w:type="dxa"/>
            <w:vMerge w:val="restart"/>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sz w:val="21"/>
                <w:szCs w:val="21"/>
                <w:lang w:val="zh-CN"/>
              </w:rPr>
            </w:pPr>
            <w:r>
              <w:rPr>
                <w:rFonts w:hint="default" w:ascii="Times New Roman" w:hAnsi="Times New Roman" w:eastAsia="宋体" w:cs="Times New Roman"/>
                <w:bCs/>
                <w:sz w:val="21"/>
                <w:szCs w:val="21"/>
                <w:lang w:val="zh-CN"/>
              </w:rPr>
              <w:t>环保工程</w:t>
            </w:r>
          </w:p>
        </w:tc>
        <w:tc>
          <w:tcPr>
            <w:tcW w:w="1138" w:type="dxa"/>
            <w:gridSpan w:val="2"/>
            <w:tcBorders>
              <w:tl2br w:val="nil"/>
              <w:tr2bl w:val="nil"/>
            </w:tcBorders>
            <w:vAlign w:val="center"/>
          </w:tcPr>
          <w:p>
            <w:pPr>
              <w:autoSpaceDE w:val="0"/>
              <w:autoSpaceDN w:val="0"/>
              <w:adjustRightInd w:val="0"/>
              <w:snapToGrid w:val="0"/>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rPr>
              <w:t>废气</w:t>
            </w:r>
          </w:p>
        </w:tc>
        <w:tc>
          <w:tcPr>
            <w:tcW w:w="5670" w:type="dxa"/>
            <w:tcBorders>
              <w:tl2br w:val="nil"/>
              <w:tr2bl w:val="nil"/>
            </w:tcBorders>
            <w:vAlign w:val="center"/>
          </w:tcPr>
          <w:p>
            <w:pPr>
              <w:autoSpaceDE w:val="0"/>
              <w:autoSpaceDN w:val="0"/>
              <w:adjustRightInd w:val="0"/>
              <w:snapToGrid w:val="0"/>
              <w:spacing w:line="240"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颚式破碎机</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kern w:val="0"/>
                <w:szCs w:val="21"/>
              </w:rPr>
              <w:t>锤式破碎机</w:t>
            </w:r>
            <w:r>
              <w:rPr>
                <w:rFonts w:hint="default" w:ascii="Times New Roman" w:hAnsi="Times New Roman" w:eastAsia="宋体" w:cs="Times New Roman"/>
                <w:kern w:val="0"/>
                <w:szCs w:val="21"/>
                <w:lang w:eastAsia="zh-CN"/>
              </w:rPr>
              <w:t>及筛分机</w:t>
            </w:r>
            <w:r>
              <w:rPr>
                <w:rFonts w:hint="default" w:ascii="Times New Roman" w:hAnsi="Times New Roman" w:eastAsia="宋体" w:cs="Times New Roman"/>
                <w:sz w:val="21"/>
                <w:szCs w:val="21"/>
                <w:lang w:eastAsia="zh-CN"/>
              </w:rPr>
              <w:t>各</w:t>
            </w:r>
            <w:r>
              <w:rPr>
                <w:rFonts w:hint="default" w:ascii="Times New Roman" w:hAnsi="Times New Roman" w:eastAsia="宋体" w:cs="Times New Roman"/>
                <w:sz w:val="21"/>
                <w:szCs w:val="21"/>
              </w:rPr>
              <w:t>设置</w:t>
            </w:r>
            <w:r>
              <w:rPr>
                <w:rFonts w:hint="default" w:ascii="Times New Roman" w:hAnsi="Times New Roman" w:eastAsia="宋体" w:cs="Times New Roman"/>
                <w:sz w:val="21"/>
                <w:szCs w:val="21"/>
                <w:lang w:val="en-US" w:eastAsia="zh-CN"/>
              </w:rPr>
              <w:t>1处</w:t>
            </w:r>
            <w:r>
              <w:rPr>
                <w:rFonts w:hint="default" w:ascii="Times New Roman" w:hAnsi="Times New Roman" w:eastAsia="宋体" w:cs="Times New Roman"/>
                <w:sz w:val="21"/>
                <w:szCs w:val="21"/>
              </w:rPr>
              <w:t>集尘罩，收集后送</w:t>
            </w:r>
            <w:r>
              <w:rPr>
                <w:rFonts w:hint="default" w:ascii="Times New Roman" w:hAnsi="Times New Roman" w:eastAsia="宋体" w:cs="Times New Roman"/>
                <w:sz w:val="21"/>
                <w:szCs w:val="21"/>
                <w:lang w:val="en-US" w:eastAsia="zh-CN"/>
              </w:rPr>
              <w:t>1台</w:t>
            </w:r>
            <w:r>
              <w:rPr>
                <w:rFonts w:hint="default" w:ascii="Times New Roman" w:hAnsi="Times New Roman" w:eastAsia="宋体" w:cs="Times New Roman"/>
                <w:sz w:val="21"/>
                <w:szCs w:val="21"/>
              </w:rPr>
              <w:t>布袋除尘器处理，处理后经1根15m排气筒（P1）达标排放（集</w:t>
            </w:r>
            <w:r>
              <w:rPr>
                <w:rFonts w:hint="default" w:ascii="Times New Roman" w:hAnsi="Times New Roman" w:eastAsia="宋体" w:cs="Times New Roman"/>
                <w:sz w:val="21"/>
                <w:szCs w:val="21"/>
                <w:lang w:eastAsia="zh-CN"/>
              </w:rPr>
              <w:t>尘</w:t>
            </w:r>
            <w:r>
              <w:rPr>
                <w:rFonts w:hint="default" w:ascii="Times New Roman" w:hAnsi="Times New Roman" w:eastAsia="宋体" w:cs="Times New Roman"/>
                <w:sz w:val="21"/>
                <w:szCs w:val="21"/>
              </w:rPr>
              <w:t>效率9</w:t>
            </w:r>
            <w:r>
              <w:rPr>
                <w:rFonts w:hint="eastAsia" w:ascii="Times New Roman" w:hAnsi="Times New Roman" w:eastAsia="宋体" w:cs="Times New Roman"/>
                <w:sz w:val="21"/>
                <w:szCs w:val="21"/>
                <w:lang w:val="en-US" w:eastAsia="zh-CN"/>
              </w:rPr>
              <w:t>9</w:t>
            </w:r>
            <w:r>
              <w:rPr>
                <w:rFonts w:hint="default" w:ascii="Times New Roman" w:hAnsi="Times New Roman" w:eastAsia="宋体" w:cs="Times New Roman"/>
                <w:sz w:val="21"/>
                <w:szCs w:val="21"/>
              </w:rPr>
              <w:t>%，处理效率99%）</w:t>
            </w:r>
          </w:p>
        </w:tc>
        <w:tc>
          <w:tcPr>
            <w:tcW w:w="1196" w:type="dxa"/>
            <w:tcBorders>
              <w:tl2br w:val="nil"/>
              <w:tr2bl w:val="nil"/>
            </w:tcBorders>
            <w:vAlign w:val="center"/>
          </w:tcPr>
          <w:p>
            <w:pPr>
              <w:autoSpaceDE w:val="0"/>
              <w:autoSpaceDN w:val="0"/>
              <w:adjustRightInd w:val="0"/>
              <w:snapToGrid w:val="0"/>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7" w:hRule="exact"/>
          <w:jc w:val="center"/>
        </w:trPr>
        <w:tc>
          <w:tcPr>
            <w:tcW w:w="519" w:type="dxa"/>
            <w:vMerge w:val="continue"/>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color w:val="FF0000"/>
                <w:sz w:val="21"/>
                <w:szCs w:val="21"/>
                <w:lang w:val="zh-CN"/>
              </w:rPr>
            </w:pPr>
          </w:p>
        </w:tc>
        <w:tc>
          <w:tcPr>
            <w:tcW w:w="1138" w:type="dxa"/>
            <w:gridSpan w:val="2"/>
            <w:tcBorders>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kern w:val="0"/>
                <w:sz w:val="21"/>
                <w:szCs w:val="21"/>
              </w:rPr>
              <w:t>废水</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选矿工艺废水排入</w:t>
            </w:r>
            <w:r>
              <w:rPr>
                <w:rFonts w:hint="default" w:ascii="Times New Roman" w:hAnsi="Times New Roman" w:eastAsia="宋体" w:cs="Times New Roman"/>
                <w:spacing w:val="6"/>
                <w:sz w:val="21"/>
                <w:szCs w:val="21"/>
                <w:lang w:val="en-US" w:eastAsia="zh-CN"/>
              </w:rPr>
              <w:t>2</w:t>
            </w:r>
            <w:r>
              <w:rPr>
                <w:rFonts w:hint="default" w:ascii="Times New Roman" w:hAnsi="Times New Roman" w:eastAsia="宋体" w:cs="Times New Roman"/>
                <w:spacing w:val="6"/>
                <w:sz w:val="21"/>
                <w:szCs w:val="21"/>
              </w:rPr>
              <w:t>座有效容积</w:t>
            </w:r>
            <w:r>
              <w:rPr>
                <w:rFonts w:hint="default" w:ascii="Times New Roman" w:hAnsi="Times New Roman" w:eastAsia="宋体" w:cs="Times New Roman"/>
                <w:spacing w:val="6"/>
                <w:sz w:val="21"/>
                <w:szCs w:val="21"/>
                <w:lang w:eastAsia="zh-CN"/>
              </w:rPr>
              <w:t>共</w:t>
            </w:r>
            <w:r>
              <w:rPr>
                <w:rFonts w:hint="default" w:ascii="Times New Roman" w:hAnsi="Times New Roman" w:eastAsia="宋体" w:cs="Times New Roman"/>
                <w:spacing w:val="6"/>
                <w:sz w:val="21"/>
                <w:szCs w:val="21"/>
                <w:lang w:val="en-US" w:eastAsia="zh-CN"/>
              </w:rPr>
              <w:t>30</w:t>
            </w:r>
            <w:r>
              <w:rPr>
                <w:rFonts w:hint="default" w:ascii="Times New Roman" w:hAnsi="Times New Roman" w:eastAsia="宋体" w:cs="Times New Roman"/>
                <w:spacing w:val="6"/>
                <w:sz w:val="21"/>
                <w:szCs w:val="21"/>
              </w:rPr>
              <w:t>00m</w:t>
            </w:r>
            <w:r>
              <w:rPr>
                <w:rFonts w:hint="default" w:ascii="Times New Roman" w:hAnsi="Times New Roman" w:eastAsia="宋体" w:cs="Times New Roman"/>
                <w:spacing w:val="6"/>
                <w:sz w:val="21"/>
                <w:szCs w:val="21"/>
                <w:vertAlign w:val="superscript"/>
              </w:rPr>
              <w:t>3</w:t>
            </w:r>
            <w:r>
              <w:rPr>
                <w:rFonts w:hint="default" w:ascii="Times New Roman" w:hAnsi="Times New Roman" w:eastAsia="宋体" w:cs="Times New Roman"/>
                <w:spacing w:val="6"/>
                <w:sz w:val="21"/>
                <w:szCs w:val="21"/>
                <w:lang w:eastAsia="zh-CN"/>
              </w:rPr>
              <w:t>浓密罐</w:t>
            </w:r>
            <w:r>
              <w:rPr>
                <w:rFonts w:hint="default" w:ascii="Times New Roman" w:hAnsi="Times New Roman" w:eastAsia="宋体" w:cs="Times New Roman"/>
                <w:spacing w:val="6"/>
                <w:sz w:val="21"/>
                <w:szCs w:val="21"/>
              </w:rPr>
              <w:t>，经沉淀后上层清液回用于选矿，不外排；生活污水排入1座有效容积约15m</w:t>
            </w:r>
            <w:r>
              <w:rPr>
                <w:rFonts w:hint="default" w:ascii="Times New Roman" w:hAnsi="Times New Roman" w:eastAsia="宋体" w:cs="Times New Roman"/>
                <w:spacing w:val="6"/>
                <w:sz w:val="21"/>
                <w:szCs w:val="21"/>
                <w:vertAlign w:val="superscript"/>
              </w:rPr>
              <w:t>3</w:t>
            </w:r>
            <w:r>
              <w:rPr>
                <w:rFonts w:hint="default" w:ascii="Times New Roman" w:hAnsi="Times New Roman" w:eastAsia="宋体" w:cs="Times New Roman"/>
                <w:spacing w:val="6"/>
                <w:sz w:val="21"/>
                <w:szCs w:val="21"/>
              </w:rPr>
              <w:t>的防渗旱厕，定期清掏、用作农肥。</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pacing w:val="6"/>
                <w:kern w:val="2"/>
                <w:sz w:val="21"/>
                <w:szCs w:val="21"/>
                <w:lang w:val="en-US" w:eastAsia="zh-CN" w:bidi="ar-SA"/>
              </w:rPr>
            </w:pPr>
            <w:r>
              <w:rPr>
                <w:rFonts w:hint="default" w:ascii="Times New Roman" w:hAnsi="Times New Roman" w:eastAsia="宋体" w:cs="Times New Roman"/>
                <w:spacing w:val="6"/>
                <w:sz w:val="21"/>
                <w:szCs w:val="21"/>
                <w:lang w:eastAsia="zh-CN"/>
              </w:rPr>
              <w:t>浓密罐为新建，旱厕依托原有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continue"/>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color w:val="FF0000"/>
                <w:sz w:val="21"/>
                <w:szCs w:val="21"/>
                <w:lang w:val="zh-CN"/>
              </w:rPr>
            </w:pPr>
          </w:p>
        </w:tc>
        <w:tc>
          <w:tcPr>
            <w:tcW w:w="1138" w:type="dxa"/>
            <w:gridSpan w:val="2"/>
            <w:tcBorders>
              <w:tl2br w:val="nil"/>
              <w:tr2bl w:val="nil"/>
            </w:tcBorders>
            <w:vAlign w:val="center"/>
          </w:tcPr>
          <w:p>
            <w:pPr>
              <w:widowControl/>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噪声</w:t>
            </w:r>
          </w:p>
        </w:tc>
        <w:tc>
          <w:tcPr>
            <w:tcW w:w="5670" w:type="dxa"/>
            <w:tcBorders>
              <w:tl2br w:val="nil"/>
              <w:tr2bl w:val="nil"/>
            </w:tcBorders>
            <w:vAlign w:val="center"/>
          </w:tcPr>
          <w:p>
            <w:pPr>
              <w:pStyle w:val="404"/>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设备均设置在封闭厂房内，采取基础隔声、建筑隔声等降噪措施。</w:t>
            </w:r>
          </w:p>
        </w:tc>
        <w:tc>
          <w:tcPr>
            <w:tcW w:w="1196" w:type="dxa"/>
            <w:tcBorders>
              <w:tl2br w:val="nil"/>
              <w:tr2bl w:val="nil"/>
            </w:tcBorders>
            <w:vAlign w:val="center"/>
          </w:tcPr>
          <w:p>
            <w:pPr>
              <w:pStyle w:val="404"/>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continue"/>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color w:val="FF0000"/>
                <w:sz w:val="21"/>
                <w:szCs w:val="21"/>
                <w:lang w:val="zh-CN"/>
              </w:rPr>
            </w:pPr>
          </w:p>
        </w:tc>
        <w:tc>
          <w:tcPr>
            <w:tcW w:w="396" w:type="dxa"/>
            <w:vMerge w:val="restart"/>
            <w:tcBorders>
              <w:tl2br w:val="nil"/>
              <w:tr2bl w:val="nil"/>
            </w:tcBorders>
            <w:vAlign w:val="center"/>
          </w:tcPr>
          <w:p>
            <w:pPr>
              <w:widowControl/>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固废</w:t>
            </w:r>
          </w:p>
        </w:tc>
        <w:tc>
          <w:tcPr>
            <w:tcW w:w="742" w:type="dxa"/>
            <w:tcBorders>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尾矿渣</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pacing w:val="6"/>
                <w:sz w:val="21"/>
                <w:szCs w:val="21"/>
                <w:lang w:eastAsia="zh-CN"/>
              </w:rPr>
            </w:pPr>
            <w:r>
              <w:rPr>
                <w:rFonts w:hint="default" w:ascii="Times New Roman" w:hAnsi="Times New Roman" w:eastAsia="宋体" w:cs="Times New Roman"/>
                <w:spacing w:val="6"/>
                <w:sz w:val="21"/>
                <w:szCs w:val="21"/>
              </w:rPr>
              <w:t>经尾矿甩干脱水机脱水后上清液回用于选矿，尾矿渣</w:t>
            </w:r>
            <w:r>
              <w:rPr>
                <w:rFonts w:hint="default" w:ascii="Times New Roman" w:hAnsi="Times New Roman" w:eastAsia="宋体" w:cs="Times New Roman"/>
                <w:spacing w:val="6"/>
                <w:sz w:val="21"/>
                <w:szCs w:val="21"/>
                <w:lang w:eastAsia="zh-CN"/>
              </w:rPr>
              <w:t>回填历史采坑</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pacing w:val="6"/>
                <w:sz w:val="21"/>
                <w:szCs w:val="21"/>
                <w:lang w:val="en-US" w:eastAsia="zh-CN"/>
              </w:rPr>
            </w:pPr>
            <w:r>
              <w:rPr>
                <w:rFonts w:hint="default" w:ascii="Times New Roman" w:hAnsi="Times New Roman" w:eastAsia="宋体" w:cs="Times New Roman"/>
                <w:spacing w:val="6"/>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continue"/>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color w:val="FF0000"/>
                <w:sz w:val="21"/>
                <w:szCs w:val="21"/>
                <w:lang w:val="zh-CN"/>
              </w:rPr>
            </w:pPr>
          </w:p>
        </w:tc>
        <w:tc>
          <w:tcPr>
            <w:tcW w:w="396" w:type="dxa"/>
            <w:vMerge w:val="continue"/>
            <w:tcBorders>
              <w:tl2br w:val="nil"/>
              <w:tr2bl w:val="nil"/>
            </w:tcBorders>
            <w:vAlign w:val="center"/>
          </w:tcPr>
          <w:p>
            <w:pPr>
              <w:widowControl/>
              <w:spacing w:line="240" w:lineRule="auto"/>
              <w:jc w:val="center"/>
              <w:rPr>
                <w:rFonts w:hint="default" w:ascii="Times New Roman" w:hAnsi="Times New Roman" w:eastAsia="宋体" w:cs="Times New Roman"/>
                <w:kern w:val="0"/>
                <w:sz w:val="21"/>
                <w:szCs w:val="21"/>
              </w:rPr>
            </w:pPr>
          </w:p>
        </w:tc>
        <w:tc>
          <w:tcPr>
            <w:tcW w:w="742" w:type="dxa"/>
            <w:tcBorders>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除尘器灰</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rPr>
              <w:t>进入选矿工艺，不外排。</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pacing w:val="6"/>
                <w:sz w:val="21"/>
                <w:szCs w:val="21"/>
                <w:lang w:val="en-US" w:eastAsia="zh-CN"/>
              </w:rPr>
            </w:pPr>
            <w:r>
              <w:rPr>
                <w:rFonts w:hint="default" w:ascii="Times New Roman" w:hAnsi="Times New Roman" w:eastAsia="宋体" w:cs="Times New Roman"/>
                <w:spacing w:val="6"/>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continue"/>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color w:val="FF0000"/>
                <w:sz w:val="21"/>
                <w:szCs w:val="21"/>
                <w:lang w:val="zh-CN"/>
              </w:rPr>
            </w:pPr>
          </w:p>
        </w:tc>
        <w:tc>
          <w:tcPr>
            <w:tcW w:w="396" w:type="dxa"/>
            <w:vMerge w:val="continue"/>
            <w:tcBorders>
              <w:tl2br w:val="nil"/>
              <w:tr2bl w:val="nil"/>
            </w:tcBorders>
            <w:vAlign w:val="center"/>
          </w:tcPr>
          <w:p>
            <w:pPr>
              <w:widowControl/>
              <w:spacing w:line="240" w:lineRule="auto"/>
              <w:jc w:val="center"/>
              <w:rPr>
                <w:rFonts w:hint="default" w:ascii="Times New Roman" w:hAnsi="Times New Roman" w:eastAsia="宋体" w:cs="Times New Roman"/>
                <w:kern w:val="0"/>
                <w:sz w:val="21"/>
                <w:szCs w:val="21"/>
              </w:rPr>
            </w:pPr>
          </w:p>
        </w:tc>
        <w:tc>
          <w:tcPr>
            <w:tcW w:w="742" w:type="dxa"/>
            <w:tcBorders>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生活垃圾</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rPr>
              <w:t>设置垃圾桶，定期由环卫部门处理。</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pacing w:val="6"/>
                <w:sz w:val="21"/>
                <w:szCs w:val="21"/>
              </w:rPr>
            </w:pPr>
            <w:r>
              <w:rPr>
                <w:rFonts w:hint="default" w:ascii="Times New Roman" w:hAnsi="Times New Roman" w:eastAsia="宋体" w:cs="Times New Roman"/>
                <w:sz w:val="21"/>
                <w:szCs w:val="21"/>
                <w:lang w:eastAsia="zh-CN"/>
              </w:rPr>
              <w:t>依托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continue"/>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color w:val="FF0000"/>
                <w:sz w:val="21"/>
                <w:szCs w:val="21"/>
                <w:lang w:val="zh-CN"/>
              </w:rPr>
            </w:pPr>
          </w:p>
        </w:tc>
        <w:tc>
          <w:tcPr>
            <w:tcW w:w="396" w:type="dxa"/>
            <w:vMerge w:val="continue"/>
            <w:tcBorders>
              <w:tl2br w:val="nil"/>
              <w:tr2bl w:val="nil"/>
            </w:tcBorders>
            <w:vAlign w:val="center"/>
          </w:tcPr>
          <w:p>
            <w:pPr>
              <w:widowControl/>
              <w:spacing w:line="240" w:lineRule="auto"/>
              <w:jc w:val="center"/>
              <w:rPr>
                <w:rFonts w:hint="default" w:ascii="Times New Roman" w:hAnsi="Times New Roman" w:eastAsia="宋体" w:cs="Times New Roman"/>
                <w:kern w:val="0"/>
                <w:sz w:val="21"/>
                <w:szCs w:val="21"/>
              </w:rPr>
            </w:pPr>
          </w:p>
        </w:tc>
        <w:tc>
          <w:tcPr>
            <w:tcW w:w="742" w:type="dxa"/>
            <w:tcBorders>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废机油</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暂存于厂区内1座占地面积10m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的危废暂存间内暂存，定期交由资质单位处理</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continue"/>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color w:val="FF0000"/>
                <w:sz w:val="21"/>
                <w:szCs w:val="21"/>
                <w:lang w:val="zh-CN"/>
              </w:rPr>
            </w:pPr>
          </w:p>
        </w:tc>
        <w:tc>
          <w:tcPr>
            <w:tcW w:w="1138" w:type="dxa"/>
            <w:gridSpan w:val="2"/>
            <w:tcBorders>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环境风险</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事故池1座，有效容积3</w:t>
            </w:r>
            <w:r>
              <w:rPr>
                <w:rFonts w:hint="default" w:ascii="Times New Roman" w:hAnsi="Times New Roman" w:eastAsia="宋体" w:cs="Times New Roman"/>
                <w:sz w:val="21"/>
                <w:szCs w:val="21"/>
                <w:lang w:val="en-US" w:eastAsia="zh-CN"/>
              </w:rPr>
              <w:t>0</w:t>
            </w:r>
            <w:r>
              <w:rPr>
                <w:rFonts w:hint="default" w:ascii="Times New Roman" w:hAnsi="Times New Roman" w:eastAsia="宋体" w:cs="Times New Roman"/>
                <w:sz w:val="21"/>
                <w:szCs w:val="21"/>
              </w:rPr>
              <w:t>00m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，收集车间事故状态下生产废水。</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19" w:type="dxa"/>
            <w:vMerge w:val="continue"/>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bCs/>
                <w:color w:val="FF0000"/>
                <w:sz w:val="21"/>
                <w:szCs w:val="21"/>
                <w:lang w:val="zh-CN"/>
              </w:rPr>
            </w:pPr>
          </w:p>
        </w:tc>
        <w:tc>
          <w:tcPr>
            <w:tcW w:w="1138" w:type="dxa"/>
            <w:gridSpan w:val="2"/>
            <w:tcBorders>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生态</w:t>
            </w:r>
          </w:p>
        </w:tc>
        <w:tc>
          <w:tcPr>
            <w:tcW w:w="5670"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选矿厂区内，厂界空地及道路两侧及时绿化，尾矿库按闭库设计</w:t>
            </w:r>
            <w:r>
              <w:rPr>
                <w:rFonts w:hint="eastAsia" w:ascii="Times New Roman" w:hAnsi="Times New Roman" w:eastAsia="宋体" w:cs="Times New Roman"/>
                <w:sz w:val="21"/>
                <w:szCs w:val="21"/>
                <w:lang w:eastAsia="zh-CN"/>
              </w:rPr>
              <w:t>恢复</w:t>
            </w:r>
            <w:r>
              <w:rPr>
                <w:rFonts w:hint="default" w:ascii="Times New Roman" w:hAnsi="Times New Roman" w:eastAsia="宋体" w:cs="Times New Roman"/>
                <w:sz w:val="21"/>
                <w:szCs w:val="21"/>
                <w:lang w:eastAsia="zh-CN"/>
              </w:rPr>
              <w:t>治理为林地</w:t>
            </w:r>
          </w:p>
        </w:tc>
        <w:tc>
          <w:tcPr>
            <w:tcW w:w="1196" w:type="dxa"/>
            <w:tcBorders>
              <w:tl2br w:val="nil"/>
              <w:tr2bl w:val="nil"/>
            </w:tcBorders>
            <w:vAlign w:val="center"/>
          </w:tcPr>
          <w:p>
            <w:pPr>
              <w:tabs>
                <w:tab w:val="left" w:pos="5760"/>
              </w:tabs>
              <w:autoSpaceDE w:val="0"/>
              <w:autoSpaceDN w:val="0"/>
              <w:adjustRightInd w:val="0"/>
              <w:snapToGrid w:val="0"/>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lang w:eastAsia="zh-CN"/>
              </w:rPr>
              <w:t>新建</w:t>
            </w:r>
          </w:p>
        </w:tc>
      </w:tr>
    </w:tbl>
    <w:p>
      <w:pPr>
        <w:pStyle w:val="73"/>
        <w:spacing w:beforeLines="50" w:line="360"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3.1.3项目主要生产设备</w:t>
      </w:r>
      <w:bookmarkEnd w:id="137"/>
      <w:bookmarkEnd w:id="138"/>
      <w:bookmarkEnd w:id="139"/>
      <w:bookmarkEnd w:id="140"/>
      <w:bookmarkEnd w:id="141"/>
      <w:bookmarkEnd w:id="142"/>
    </w:p>
    <w:p>
      <w:pPr>
        <w:pStyle w:val="150"/>
        <w:spacing w:beforeLines="50"/>
        <w:ind w:firstLine="480"/>
        <w:rPr>
          <w:rFonts w:hint="default" w:ascii="Times New Roman" w:hAnsi="Times New Roman" w:eastAsia="宋体" w:cs="Times New Roman"/>
          <w:color w:val="auto"/>
          <w:kern w:val="2"/>
          <w:szCs w:val="22"/>
        </w:rPr>
      </w:pPr>
      <w:r>
        <w:rPr>
          <w:rFonts w:hint="default" w:ascii="Times New Roman" w:hAnsi="Times New Roman" w:eastAsia="宋体" w:cs="Times New Roman"/>
          <w:color w:val="auto"/>
          <w:kern w:val="2"/>
          <w:szCs w:val="22"/>
        </w:rPr>
        <w:t>主要生产设备见表3.1-</w:t>
      </w:r>
      <w:r>
        <w:rPr>
          <w:rFonts w:hint="default" w:ascii="Times New Roman" w:hAnsi="Times New Roman" w:eastAsia="宋体" w:cs="Times New Roman"/>
          <w:color w:val="auto"/>
          <w:kern w:val="2"/>
          <w:szCs w:val="22"/>
          <w:lang w:val="en-US" w:eastAsia="zh-CN"/>
        </w:rPr>
        <w:t>2</w:t>
      </w:r>
      <w:r>
        <w:rPr>
          <w:rFonts w:hint="default" w:ascii="Times New Roman" w:hAnsi="Times New Roman" w:eastAsia="宋体" w:cs="Times New Roman"/>
          <w:color w:val="auto"/>
          <w:kern w:val="2"/>
          <w:szCs w:val="22"/>
        </w:rPr>
        <w:t>。</w:t>
      </w:r>
    </w:p>
    <w:p>
      <w:pPr>
        <w:widowControl/>
        <w:spacing w:beforeLines="50" w:line="480" w:lineRule="exact"/>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表3.1-</w:t>
      </w: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主要生产设备</w:t>
      </w:r>
    </w:p>
    <w:tbl>
      <w:tblPr>
        <w:tblStyle w:val="51"/>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4"/>
        <w:gridCol w:w="3514"/>
        <w:gridCol w:w="2402"/>
        <w:gridCol w:w="192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3224" w:type="dxa"/>
            <w:noWrap w:val="0"/>
            <w:vAlign w:val="center"/>
          </w:tcPr>
          <w:p>
            <w:pPr>
              <w:spacing w:line="28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设备</w:t>
            </w:r>
            <w:r>
              <w:rPr>
                <w:rFonts w:hint="default" w:ascii="Times New Roman" w:hAnsi="Times New Roman" w:eastAsia="宋体" w:cs="Times New Roman"/>
                <w:color w:val="auto"/>
                <w:sz w:val="21"/>
                <w:szCs w:val="21"/>
                <w:lang w:eastAsia="zh-CN"/>
              </w:rPr>
              <w:t>名称</w:t>
            </w:r>
          </w:p>
        </w:tc>
        <w:tc>
          <w:tcPr>
            <w:tcW w:w="2204" w:type="dxa"/>
            <w:noWrap w:val="0"/>
            <w:vAlign w:val="center"/>
          </w:tcPr>
          <w:p>
            <w:pPr>
              <w:spacing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eastAsia="zh-CN"/>
              </w:rPr>
              <w:t>数量</w:t>
            </w:r>
            <w:r>
              <w:rPr>
                <w:rFonts w:hint="default" w:ascii="Times New Roman" w:hAnsi="Times New Roman" w:eastAsia="宋体" w:cs="Times New Roman"/>
                <w:color w:val="auto"/>
                <w:sz w:val="21"/>
                <w:szCs w:val="21"/>
                <w:highlight w:val="none"/>
              </w:rPr>
              <w:t xml:space="preserve"> </w:t>
            </w:r>
            <w:r>
              <w:rPr>
                <w:rFonts w:hint="default" w:ascii="Times New Roman" w:hAnsi="Times New Roman" w:eastAsia="宋体" w:cs="Times New Roman"/>
                <w:color w:val="auto"/>
                <w:sz w:val="21"/>
                <w:szCs w:val="21"/>
              </w:rPr>
              <w:t xml:space="preserve">    </w:t>
            </w:r>
          </w:p>
        </w:tc>
        <w:tc>
          <w:tcPr>
            <w:tcW w:w="1769" w:type="dxa"/>
            <w:noWrap w:val="0"/>
            <w:vAlign w:val="center"/>
          </w:tcPr>
          <w:p>
            <w:pPr>
              <w:spacing w:line="28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600*900鄂破</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960*3800直线给料机</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圆锥破（单缸HP300细破）</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2400*7000双层圆振筛</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1000*3000干选/磁选机</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2000反击破</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1#主传动1200</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2#主传动1200</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3#主传动800</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4#主传动800</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闭路反传皮带1000</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圆锥上料皮带1000</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大石子皮带600</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小石子皮带600</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石粉皮带600</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铁矿石皮带800</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kern w:val="0"/>
                <w:szCs w:val="21"/>
                <w:lang w:val="en-US" w:eastAsia="zh-CN"/>
              </w:rPr>
              <w:t>1830</w:t>
            </w:r>
            <w:r>
              <w:rPr>
                <w:rFonts w:hint="default" w:ascii="Times New Roman" w:hAnsi="Times New Roman" w:eastAsia="宋体" w:cs="Times New Roman"/>
                <w:kern w:val="0"/>
                <w:szCs w:val="21"/>
              </w:rPr>
              <w:t>×</w:t>
            </w:r>
            <w:r>
              <w:rPr>
                <w:rFonts w:hint="default" w:ascii="Times New Roman" w:hAnsi="Times New Roman" w:eastAsia="宋体" w:cs="Times New Roman"/>
                <w:kern w:val="0"/>
                <w:szCs w:val="21"/>
                <w:lang w:val="en-US" w:eastAsia="zh-CN"/>
              </w:rPr>
              <w:t>4500球磨机</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利旧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w:t>
            </w:r>
            <w:r>
              <w:rPr>
                <w:rFonts w:hint="default" w:ascii="Times New Roman" w:hAnsi="Times New Roman" w:eastAsia="宋体" w:cs="Times New Roman"/>
                <w:color w:val="auto"/>
                <w:sz w:val="21"/>
                <w:szCs w:val="21"/>
                <w:lang w:val="en-US" w:eastAsia="zh-CN"/>
              </w:rPr>
              <w:t>8</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2100*9000格子式湿磨（球磨）</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w:t>
            </w:r>
            <w:r>
              <w:rPr>
                <w:rFonts w:hint="default" w:ascii="Times New Roman" w:hAnsi="Times New Roman" w:eastAsia="宋体" w:cs="Times New Roman"/>
                <w:color w:val="auto"/>
                <w:sz w:val="21"/>
                <w:szCs w:val="21"/>
                <w:lang w:val="en-US" w:eastAsia="zh-CN"/>
              </w:rPr>
              <w:t>9</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1200*3600磁选机</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1050*2400磁选机</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21</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直径1.5*10盘尾矿回收机</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22</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2400*4800磨前直线筛</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23</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大磨上料皮带800</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尾矿泵（10/8-AH）</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中矿泵（8/6-AH）</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26</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清水泵（12SH-13）</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27</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6平米高频筛</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28</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直径1.4米品位提升机</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29</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40平米盘式过滤机</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2BEA-303型水循环式真空泵</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31</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过滤机搅拌</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32</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精粉带600</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33</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4/3-AH渣浆泵</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34</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立式污水泵（2.5寸）</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35</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上料小皮带800</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36</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板框压滤机</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37</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搅拌机</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38</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压滤机入料泵</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39</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尾矿泵</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浓密灌Ø6000</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41</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浓密灌Ø10000</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25"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42</w:t>
            </w:r>
          </w:p>
        </w:tc>
        <w:tc>
          <w:tcPr>
            <w:tcW w:w="322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布袋除尘器</w:t>
            </w:r>
          </w:p>
        </w:tc>
        <w:tc>
          <w:tcPr>
            <w:tcW w:w="2204"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69" w:type="dxa"/>
            <w:noWrap w:val="0"/>
            <w:vAlign w:val="center"/>
          </w:tcPr>
          <w:p>
            <w:pPr>
              <w:spacing w:before="120" w:beforeLines="50" w:after="120" w:afterLines="50" w:line="280" w:lineRule="atLeas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bl>
    <w:p>
      <w:pPr>
        <w:rPr>
          <w:rFonts w:hint="default" w:ascii="Times New Roman" w:hAnsi="Times New Roman" w:eastAsia="宋体" w:cs="Times New Roman"/>
          <w:color w:val="auto"/>
        </w:rPr>
      </w:pPr>
    </w:p>
    <w:p>
      <w:pPr>
        <w:pStyle w:val="73"/>
        <w:spacing w:beforeLines="50" w:line="360" w:lineRule="auto"/>
        <w:rPr>
          <w:rFonts w:hint="default" w:ascii="Times New Roman" w:hAnsi="Times New Roman" w:eastAsia="宋体" w:cs="Times New Roman"/>
          <w:color w:val="auto"/>
          <w:sz w:val="28"/>
          <w:szCs w:val="28"/>
          <w:lang w:eastAsia="zh-CN"/>
        </w:rPr>
      </w:pPr>
      <w:r>
        <w:rPr>
          <w:rFonts w:hint="default" w:ascii="Times New Roman" w:hAnsi="Times New Roman" w:eastAsia="宋体" w:cs="Times New Roman"/>
          <w:color w:val="auto"/>
          <w:sz w:val="28"/>
          <w:szCs w:val="28"/>
          <w:lang w:val="en-US" w:eastAsia="zh-CN"/>
        </w:rPr>
        <w:t>3</w:t>
      </w:r>
      <w:r>
        <w:rPr>
          <w:rFonts w:hint="default" w:ascii="Times New Roman" w:hAnsi="Times New Roman" w:eastAsia="宋体" w:cs="Times New Roman"/>
          <w:color w:val="auto"/>
          <w:sz w:val="28"/>
          <w:szCs w:val="28"/>
        </w:rPr>
        <w:t>.1.</w:t>
      </w:r>
      <w:r>
        <w:rPr>
          <w:rFonts w:hint="default" w:ascii="Times New Roman" w:hAnsi="Times New Roman" w:eastAsia="宋体" w:cs="Times New Roman"/>
          <w:color w:val="auto"/>
          <w:sz w:val="28"/>
          <w:szCs w:val="28"/>
          <w:lang w:val="en-US" w:eastAsia="zh-CN"/>
        </w:rPr>
        <w:t>4</w:t>
      </w:r>
      <w:r>
        <w:rPr>
          <w:rFonts w:hint="default" w:ascii="Times New Roman" w:hAnsi="Times New Roman" w:eastAsia="宋体" w:cs="Times New Roman"/>
          <w:color w:val="auto"/>
          <w:sz w:val="28"/>
          <w:szCs w:val="28"/>
          <w:lang w:eastAsia="zh-CN"/>
        </w:rPr>
        <w:t>产品方案</w:t>
      </w:r>
    </w:p>
    <w:p>
      <w:pPr>
        <w:bidi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本项目建成后年产50万</w:t>
      </w:r>
      <w:r>
        <w:rPr>
          <w:rFonts w:hint="default" w:ascii="Times New Roman" w:hAnsi="Times New Roman" w:eastAsia="宋体" w:cs="Times New Roman"/>
          <w:color w:val="auto"/>
          <w:sz w:val="24"/>
          <w:szCs w:val="24"/>
        </w:rPr>
        <w:t>吨</w:t>
      </w:r>
      <w:r>
        <w:rPr>
          <w:rFonts w:hint="default" w:ascii="Times New Roman" w:hAnsi="Times New Roman" w:eastAsia="宋体" w:cs="Times New Roman"/>
          <w:color w:val="auto"/>
          <w:sz w:val="24"/>
          <w:szCs w:val="24"/>
          <w:lang w:eastAsia="zh-CN"/>
        </w:rPr>
        <w:t>铁精粉。</w:t>
      </w:r>
    </w:p>
    <w:p>
      <w:pPr>
        <w:spacing w:beforeLines="50" w:line="480" w:lineRule="exact"/>
        <w:rPr>
          <w:rFonts w:hint="default" w:ascii="Times New Roman" w:hAnsi="Times New Roman" w:eastAsia="宋体" w:cs="Times New Roman"/>
          <w:color w:val="auto"/>
          <w:sz w:val="24"/>
          <w:szCs w:val="22"/>
          <w:lang w:val="en-US" w:eastAsia="zh-CN"/>
        </w:rPr>
      </w:pPr>
      <w:r>
        <w:rPr>
          <w:rFonts w:hint="default" w:ascii="Times New Roman" w:hAnsi="Times New Roman" w:eastAsia="宋体" w:cs="Times New Roman"/>
          <w:color w:val="auto"/>
          <w:sz w:val="24"/>
          <w:szCs w:val="22"/>
          <w:lang w:eastAsia="zh-CN"/>
        </w:rPr>
        <w:t>表</w:t>
      </w:r>
      <w:r>
        <w:rPr>
          <w:rFonts w:hint="default" w:ascii="Times New Roman" w:hAnsi="Times New Roman" w:eastAsia="宋体" w:cs="Times New Roman"/>
          <w:color w:val="auto"/>
          <w:sz w:val="24"/>
          <w:szCs w:val="22"/>
          <w:lang w:val="en-US" w:eastAsia="zh-CN"/>
        </w:rPr>
        <w:t>3.1-3                        产品方案</w:t>
      </w:r>
    </w:p>
    <w:tbl>
      <w:tblPr>
        <w:tblStyle w:val="51"/>
        <w:tblW w:w="4998" w:type="pct"/>
        <w:tblInd w:w="0" w:type="dxa"/>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102"/>
        <w:gridCol w:w="2796"/>
        <w:gridCol w:w="2687"/>
        <w:gridCol w:w="2508"/>
      </w:tblGrid>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606" w:type="pct"/>
            <w:tcBorders>
              <w:tl2br w:val="nil"/>
              <w:tr2bl w:val="nil"/>
            </w:tcBorders>
            <w:noWrap w:val="0"/>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i w:val="0"/>
                <w:color w:val="auto"/>
                <w:sz w:val="21"/>
                <w:szCs w:val="21"/>
                <w:u w:val="none"/>
              </w:rPr>
            </w:pPr>
            <w:r>
              <w:rPr>
                <w:rFonts w:hint="default" w:ascii="Times New Roman" w:hAnsi="Times New Roman" w:eastAsia="宋体" w:cs="Times New Roman"/>
                <w:b w:val="0"/>
                <w:bCs w:val="0"/>
                <w:i w:val="0"/>
                <w:color w:val="auto"/>
                <w:kern w:val="0"/>
                <w:sz w:val="21"/>
                <w:szCs w:val="21"/>
                <w:u w:val="none"/>
                <w:lang w:val="en-US" w:eastAsia="zh-CN" w:bidi="ar"/>
              </w:rPr>
              <w:t>序号</w:t>
            </w:r>
          </w:p>
        </w:tc>
        <w:tc>
          <w:tcPr>
            <w:tcW w:w="1537" w:type="pct"/>
            <w:tcBorders>
              <w:tl2br w:val="nil"/>
              <w:tr2bl w:val="nil"/>
            </w:tcBorders>
            <w:noWrap w:val="0"/>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i w:val="0"/>
                <w:color w:val="auto"/>
                <w:sz w:val="21"/>
                <w:szCs w:val="21"/>
                <w:u w:val="none"/>
              </w:rPr>
            </w:pPr>
            <w:r>
              <w:rPr>
                <w:rFonts w:hint="default" w:ascii="Times New Roman" w:hAnsi="Times New Roman" w:eastAsia="宋体" w:cs="Times New Roman"/>
                <w:b w:val="0"/>
                <w:bCs w:val="0"/>
                <w:i w:val="0"/>
                <w:color w:val="auto"/>
                <w:kern w:val="0"/>
                <w:sz w:val="21"/>
                <w:szCs w:val="21"/>
                <w:u w:val="none"/>
                <w:lang w:val="en-US" w:eastAsia="zh-CN" w:bidi="ar"/>
              </w:rPr>
              <w:t>产品名称</w:t>
            </w:r>
          </w:p>
        </w:tc>
        <w:tc>
          <w:tcPr>
            <w:tcW w:w="1477" w:type="pct"/>
            <w:tcBorders>
              <w:tl2br w:val="nil"/>
              <w:tr2bl w:val="nil"/>
            </w:tcBorders>
            <w:noWrap w:val="0"/>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i w:val="0"/>
                <w:color w:val="auto"/>
                <w:sz w:val="21"/>
                <w:szCs w:val="21"/>
                <w:u w:val="none"/>
              </w:rPr>
            </w:pPr>
            <w:r>
              <w:rPr>
                <w:rFonts w:hint="default" w:ascii="Times New Roman" w:hAnsi="Times New Roman" w:eastAsia="宋体" w:cs="Times New Roman"/>
                <w:b w:val="0"/>
                <w:bCs w:val="0"/>
                <w:i w:val="0"/>
                <w:color w:val="auto"/>
                <w:kern w:val="0"/>
                <w:sz w:val="21"/>
                <w:szCs w:val="21"/>
                <w:u w:val="none"/>
                <w:lang w:val="en-US" w:eastAsia="zh-CN" w:bidi="ar"/>
              </w:rPr>
              <w:t>总产量（吨）</w:t>
            </w:r>
          </w:p>
        </w:tc>
        <w:tc>
          <w:tcPr>
            <w:tcW w:w="1379" w:type="pct"/>
            <w:tcBorders>
              <w:tl2br w:val="nil"/>
              <w:tr2bl w:val="nil"/>
            </w:tcBorders>
            <w:noWrap w:val="0"/>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i w:val="0"/>
                <w:color w:val="auto"/>
                <w:kern w:val="0"/>
                <w:sz w:val="21"/>
                <w:szCs w:val="21"/>
                <w:u w:val="none"/>
                <w:lang w:val="en-US" w:eastAsia="zh-CN" w:bidi="ar"/>
              </w:rPr>
            </w:pPr>
            <w:r>
              <w:rPr>
                <w:rFonts w:hint="default" w:ascii="Times New Roman" w:hAnsi="Times New Roman" w:eastAsia="宋体" w:cs="Times New Roman"/>
                <w:b w:val="0"/>
                <w:bCs w:val="0"/>
                <w:i w:val="0"/>
                <w:color w:val="auto"/>
                <w:kern w:val="0"/>
                <w:sz w:val="21"/>
                <w:szCs w:val="21"/>
                <w:u w:val="none"/>
                <w:lang w:val="en-US" w:eastAsia="zh-CN" w:bidi="ar"/>
              </w:rPr>
              <w:t>品位%</w:t>
            </w:r>
          </w:p>
        </w:tc>
      </w:tr>
      <w:tr>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606" w:type="pct"/>
            <w:tcBorders>
              <w:tl2br w:val="nil"/>
              <w:tr2bl w:val="nil"/>
            </w:tcBorders>
            <w:noWrap w:val="0"/>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i w:val="0"/>
                <w:color w:val="auto"/>
                <w:sz w:val="21"/>
                <w:szCs w:val="21"/>
                <w:u w:val="none"/>
              </w:rPr>
            </w:pPr>
            <w:r>
              <w:rPr>
                <w:rFonts w:hint="default" w:ascii="Times New Roman" w:hAnsi="Times New Roman" w:eastAsia="宋体" w:cs="Times New Roman"/>
                <w:b w:val="0"/>
                <w:bCs w:val="0"/>
                <w:i w:val="0"/>
                <w:color w:val="auto"/>
                <w:kern w:val="0"/>
                <w:sz w:val="21"/>
                <w:szCs w:val="21"/>
                <w:u w:val="none"/>
                <w:lang w:val="en-US" w:eastAsia="zh-CN" w:bidi="ar"/>
              </w:rPr>
              <w:t>1</w:t>
            </w:r>
          </w:p>
        </w:tc>
        <w:tc>
          <w:tcPr>
            <w:tcW w:w="1537" w:type="pct"/>
            <w:tcBorders>
              <w:tl2br w:val="nil"/>
              <w:tr2bl w:val="nil"/>
            </w:tcBorders>
            <w:noWrap w:val="0"/>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i w:val="0"/>
                <w:color w:val="auto"/>
                <w:sz w:val="21"/>
                <w:szCs w:val="21"/>
                <w:u w:val="none"/>
              </w:rPr>
            </w:pPr>
            <w:r>
              <w:rPr>
                <w:rFonts w:hint="default" w:ascii="Times New Roman" w:hAnsi="Times New Roman" w:eastAsia="宋体" w:cs="Times New Roman"/>
                <w:b w:val="0"/>
                <w:bCs w:val="0"/>
                <w:i w:val="0"/>
                <w:color w:val="auto"/>
                <w:sz w:val="21"/>
                <w:szCs w:val="21"/>
                <w:u w:val="none"/>
                <w:lang w:val="en-US" w:eastAsia="zh-CN"/>
              </w:rPr>
              <w:t>铁精粉</w:t>
            </w:r>
          </w:p>
        </w:tc>
        <w:tc>
          <w:tcPr>
            <w:tcW w:w="1477" w:type="pct"/>
            <w:tcBorders>
              <w:tl2br w:val="nil"/>
              <w:tr2bl w:val="nil"/>
            </w:tcBorders>
            <w:noWrap w:val="0"/>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i w:val="0"/>
                <w:color w:val="auto"/>
                <w:sz w:val="21"/>
                <w:szCs w:val="21"/>
                <w:u w:val="none"/>
                <w:lang w:val="en-US"/>
              </w:rPr>
            </w:pPr>
            <w:r>
              <w:rPr>
                <w:rFonts w:hint="default" w:ascii="Times New Roman" w:hAnsi="Times New Roman" w:eastAsia="宋体" w:cs="Times New Roman"/>
                <w:b w:val="0"/>
                <w:bCs w:val="0"/>
                <w:i w:val="0"/>
                <w:color w:val="auto"/>
                <w:kern w:val="0"/>
                <w:sz w:val="21"/>
                <w:szCs w:val="21"/>
                <w:u w:val="none"/>
                <w:lang w:val="en-US" w:eastAsia="zh-CN" w:bidi="ar"/>
              </w:rPr>
              <w:t>50000</w:t>
            </w:r>
          </w:p>
        </w:tc>
        <w:tc>
          <w:tcPr>
            <w:tcW w:w="1379" w:type="pct"/>
            <w:tcBorders>
              <w:tl2br w:val="nil"/>
              <w:tr2bl w:val="nil"/>
            </w:tcBorders>
            <w:noWrap w:val="0"/>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i w:val="0"/>
                <w:color w:val="auto"/>
                <w:kern w:val="0"/>
                <w:sz w:val="21"/>
                <w:szCs w:val="21"/>
                <w:u w:val="none"/>
                <w:lang w:val="en-US" w:eastAsia="zh-CN" w:bidi="ar"/>
              </w:rPr>
            </w:pPr>
            <w:r>
              <w:rPr>
                <w:rFonts w:hint="default" w:ascii="Times New Roman" w:hAnsi="Times New Roman" w:eastAsia="宋体" w:cs="Times New Roman"/>
                <w:b w:val="0"/>
                <w:bCs w:val="0"/>
                <w:i w:val="0"/>
                <w:color w:val="auto"/>
                <w:kern w:val="0"/>
                <w:sz w:val="21"/>
                <w:szCs w:val="21"/>
                <w:u w:val="none"/>
                <w:lang w:val="en-US" w:eastAsia="zh-CN" w:bidi="ar"/>
              </w:rPr>
              <w:t>66</w:t>
            </w:r>
          </w:p>
        </w:tc>
      </w:tr>
    </w:tbl>
    <w:p>
      <w:pPr>
        <w:pStyle w:val="73"/>
        <w:spacing w:beforeLines="50" w:line="360"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3.1.</w:t>
      </w:r>
      <w:bookmarkEnd w:id="143"/>
      <w:bookmarkEnd w:id="144"/>
      <w:r>
        <w:rPr>
          <w:rFonts w:hint="default" w:ascii="Times New Roman" w:hAnsi="Times New Roman" w:eastAsia="宋体" w:cs="Times New Roman"/>
          <w:color w:val="auto"/>
          <w:sz w:val="28"/>
          <w:szCs w:val="28"/>
          <w:lang w:val="en-US" w:eastAsia="zh-CN"/>
        </w:rPr>
        <w:t>5</w:t>
      </w:r>
      <w:r>
        <w:rPr>
          <w:rFonts w:hint="default" w:ascii="Times New Roman" w:hAnsi="Times New Roman" w:eastAsia="宋体" w:cs="Times New Roman"/>
          <w:color w:val="auto"/>
          <w:sz w:val="28"/>
          <w:szCs w:val="28"/>
        </w:rPr>
        <w:t>项目原辅料及能源消耗</w:t>
      </w:r>
      <w:bookmarkEnd w:id="145"/>
      <w:bookmarkEnd w:id="146"/>
      <w:bookmarkEnd w:id="147"/>
      <w:bookmarkEnd w:id="148"/>
    </w:p>
    <w:p>
      <w:pPr>
        <w:pStyle w:val="150"/>
        <w:spacing w:beforeLines="50"/>
        <w:ind w:firstLine="480"/>
        <w:rPr>
          <w:rFonts w:hint="default" w:ascii="Times New Roman" w:hAnsi="Times New Roman" w:eastAsia="宋体" w:cs="Times New Roman"/>
          <w:color w:val="auto"/>
          <w:kern w:val="2"/>
          <w:szCs w:val="22"/>
          <w:lang w:val="en-US"/>
        </w:rPr>
      </w:pPr>
      <w:r>
        <w:rPr>
          <w:rFonts w:hint="default" w:ascii="Times New Roman" w:hAnsi="Times New Roman" w:eastAsia="宋体" w:cs="Times New Roman"/>
          <w:color w:val="auto"/>
          <w:kern w:val="2"/>
          <w:szCs w:val="22"/>
        </w:rPr>
        <w:t>项目主要原辅料及能源消耗情况见表3.1-</w:t>
      </w:r>
      <w:r>
        <w:rPr>
          <w:rFonts w:hint="default" w:ascii="Times New Roman" w:hAnsi="Times New Roman" w:eastAsia="宋体" w:cs="Times New Roman"/>
          <w:color w:val="auto"/>
          <w:kern w:val="2"/>
          <w:szCs w:val="22"/>
          <w:lang w:val="en-US" w:eastAsia="zh-CN"/>
        </w:rPr>
        <w:t>4。</w:t>
      </w:r>
    </w:p>
    <w:p>
      <w:pPr>
        <w:pStyle w:val="150"/>
        <w:spacing w:beforeLines="50" w:line="480" w:lineRule="exact"/>
        <w:ind w:firstLine="0" w:firstLineChars="0"/>
        <w:rPr>
          <w:rFonts w:hint="default" w:ascii="Times New Roman" w:hAnsi="Times New Roman" w:eastAsia="宋体" w:cs="Times New Roman"/>
          <w:color w:val="auto"/>
          <w:kern w:val="2"/>
          <w:szCs w:val="22"/>
        </w:rPr>
      </w:pPr>
      <w:r>
        <w:rPr>
          <w:rFonts w:hint="default" w:ascii="Times New Roman" w:hAnsi="Times New Roman" w:eastAsia="宋体" w:cs="Times New Roman"/>
          <w:color w:val="auto"/>
          <w:kern w:val="2"/>
          <w:szCs w:val="22"/>
        </w:rPr>
        <w:t>表3.1-</w:t>
      </w:r>
      <w:r>
        <w:rPr>
          <w:rFonts w:hint="default" w:ascii="Times New Roman" w:hAnsi="Times New Roman" w:eastAsia="宋体" w:cs="Times New Roman"/>
          <w:color w:val="auto"/>
          <w:kern w:val="2"/>
          <w:szCs w:val="22"/>
          <w:lang w:val="en-US" w:eastAsia="zh-CN"/>
        </w:rPr>
        <w:t>4</w:t>
      </w:r>
      <w:r>
        <w:rPr>
          <w:rFonts w:hint="default" w:ascii="Times New Roman" w:hAnsi="Times New Roman" w:eastAsia="宋体" w:cs="Times New Roman"/>
          <w:color w:val="auto"/>
          <w:kern w:val="2"/>
          <w:szCs w:val="22"/>
        </w:rPr>
        <w:t xml:space="preserve">                能源及主要原辅料消耗情况</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4"/>
        <w:gridCol w:w="1726"/>
        <w:gridCol w:w="1450"/>
        <w:gridCol w:w="1717"/>
        <w:gridCol w:w="1791"/>
        <w:gridCol w:w="156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8"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序号</w:t>
            </w:r>
          </w:p>
        </w:tc>
        <w:tc>
          <w:tcPr>
            <w:tcW w:w="1584"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名称</w:t>
            </w:r>
          </w:p>
        </w:tc>
        <w:tc>
          <w:tcPr>
            <w:tcW w:w="1330"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单位</w:t>
            </w:r>
          </w:p>
        </w:tc>
        <w:tc>
          <w:tcPr>
            <w:tcW w:w="1575"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用量</w:t>
            </w:r>
          </w:p>
        </w:tc>
        <w:tc>
          <w:tcPr>
            <w:tcW w:w="1643"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储存地点</w:t>
            </w:r>
          </w:p>
        </w:tc>
        <w:tc>
          <w:tcPr>
            <w:tcW w:w="1432"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最大储存量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8"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1</w:t>
            </w:r>
          </w:p>
        </w:tc>
        <w:tc>
          <w:tcPr>
            <w:tcW w:w="1584" w:type="dxa"/>
            <w:vAlign w:val="center"/>
          </w:tcPr>
          <w:p>
            <w:pPr>
              <w:pStyle w:val="50"/>
              <w:snapToGrid w:val="0"/>
              <w:spacing w:after="0"/>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铁矿石</w:t>
            </w:r>
          </w:p>
        </w:tc>
        <w:tc>
          <w:tcPr>
            <w:tcW w:w="1330" w:type="dxa"/>
            <w:vAlign w:val="center"/>
          </w:tcPr>
          <w:p>
            <w:pPr>
              <w:pStyle w:val="50"/>
              <w:snapToGrid w:val="0"/>
              <w:spacing w:after="0"/>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t/a</w:t>
            </w:r>
          </w:p>
        </w:tc>
        <w:tc>
          <w:tcPr>
            <w:tcW w:w="1575"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lang w:val="en-US" w:eastAsia="zh-CN"/>
              </w:rPr>
              <w:t>200</w:t>
            </w:r>
            <w:r>
              <w:rPr>
                <w:rFonts w:hint="default" w:ascii="Times New Roman" w:hAnsi="Times New Roman" w:eastAsia="宋体" w:cs="Times New Roman"/>
                <w:bCs/>
                <w:szCs w:val="21"/>
              </w:rPr>
              <w:t>万</w:t>
            </w:r>
          </w:p>
        </w:tc>
        <w:tc>
          <w:tcPr>
            <w:tcW w:w="1643"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 w:val="0"/>
                <w:bCs/>
                <w:i w:val="0"/>
                <w:color w:val="auto"/>
                <w:kern w:val="0"/>
                <w:sz w:val="21"/>
                <w:szCs w:val="21"/>
                <w:u w:val="none"/>
                <w:lang w:val="en-US" w:eastAsia="zh-CN" w:bidi="ar"/>
              </w:rPr>
              <w:t>原料场</w:t>
            </w:r>
          </w:p>
        </w:tc>
        <w:tc>
          <w:tcPr>
            <w:tcW w:w="1432"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1</w:t>
            </w:r>
            <w:r>
              <w:rPr>
                <w:rFonts w:hint="default" w:ascii="Times New Roman" w:hAnsi="Times New Roman" w:eastAsia="宋体" w:cs="Times New Roman"/>
                <w:bCs/>
                <w:szCs w:val="21"/>
                <w:lang w:val="en-US" w:eastAsia="zh-CN"/>
              </w:rPr>
              <w:t>5</w:t>
            </w:r>
            <w:r>
              <w:rPr>
                <w:rFonts w:hint="default" w:ascii="Times New Roman" w:hAnsi="Times New Roman" w:eastAsia="宋体" w:cs="Times New Roman"/>
                <w:bCs/>
                <w:szCs w:val="21"/>
              </w:rPr>
              <w:t>00t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8"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2</w:t>
            </w:r>
          </w:p>
        </w:tc>
        <w:tc>
          <w:tcPr>
            <w:tcW w:w="1584" w:type="dxa"/>
            <w:vAlign w:val="center"/>
          </w:tcPr>
          <w:p>
            <w:pPr>
              <w:pStyle w:val="50"/>
              <w:snapToGrid w:val="0"/>
              <w:spacing w:after="0"/>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钢球</w:t>
            </w:r>
          </w:p>
        </w:tc>
        <w:tc>
          <w:tcPr>
            <w:tcW w:w="1330" w:type="dxa"/>
            <w:vAlign w:val="center"/>
          </w:tcPr>
          <w:p>
            <w:pPr>
              <w:pStyle w:val="50"/>
              <w:snapToGrid w:val="0"/>
              <w:spacing w:after="0"/>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t/a</w:t>
            </w:r>
          </w:p>
        </w:tc>
        <w:tc>
          <w:tcPr>
            <w:tcW w:w="1575"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500</w:t>
            </w:r>
          </w:p>
        </w:tc>
        <w:tc>
          <w:tcPr>
            <w:tcW w:w="1643"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 w:val="0"/>
                <w:bCs/>
                <w:i w:val="0"/>
                <w:color w:val="auto"/>
                <w:kern w:val="0"/>
                <w:sz w:val="21"/>
                <w:szCs w:val="21"/>
                <w:u w:val="none"/>
                <w:lang w:val="en-US" w:eastAsia="zh-CN" w:bidi="ar"/>
              </w:rPr>
              <w:t>生产车间</w:t>
            </w:r>
          </w:p>
        </w:tc>
        <w:tc>
          <w:tcPr>
            <w:tcW w:w="1432"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5t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8"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3</w:t>
            </w:r>
          </w:p>
        </w:tc>
        <w:tc>
          <w:tcPr>
            <w:tcW w:w="1584" w:type="dxa"/>
            <w:vAlign w:val="center"/>
          </w:tcPr>
          <w:p>
            <w:pPr>
              <w:pStyle w:val="50"/>
              <w:snapToGrid w:val="0"/>
              <w:spacing w:after="0"/>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衬板</w:t>
            </w:r>
          </w:p>
        </w:tc>
        <w:tc>
          <w:tcPr>
            <w:tcW w:w="1330" w:type="dxa"/>
            <w:vAlign w:val="center"/>
          </w:tcPr>
          <w:p>
            <w:pPr>
              <w:pStyle w:val="50"/>
              <w:snapToGrid w:val="0"/>
              <w:spacing w:after="0"/>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t/a</w:t>
            </w:r>
          </w:p>
        </w:tc>
        <w:tc>
          <w:tcPr>
            <w:tcW w:w="1575"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rPr>
              <w:t>20</w:t>
            </w:r>
            <w:r>
              <w:rPr>
                <w:rFonts w:hint="default" w:ascii="Times New Roman" w:hAnsi="Times New Roman" w:eastAsia="宋体" w:cs="Times New Roman"/>
                <w:bCs/>
                <w:szCs w:val="21"/>
                <w:lang w:val="en-US" w:eastAsia="zh-CN"/>
              </w:rPr>
              <w:t>0</w:t>
            </w:r>
          </w:p>
        </w:tc>
        <w:tc>
          <w:tcPr>
            <w:tcW w:w="1643"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 w:val="0"/>
                <w:bCs/>
                <w:i w:val="0"/>
                <w:color w:val="auto"/>
                <w:kern w:val="0"/>
                <w:sz w:val="21"/>
                <w:szCs w:val="21"/>
                <w:u w:val="none"/>
                <w:lang w:val="en-US" w:eastAsia="zh-CN" w:bidi="ar"/>
              </w:rPr>
              <w:t>生产车间</w:t>
            </w:r>
          </w:p>
        </w:tc>
        <w:tc>
          <w:tcPr>
            <w:tcW w:w="1432"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2t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8"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4</w:t>
            </w:r>
          </w:p>
        </w:tc>
        <w:tc>
          <w:tcPr>
            <w:tcW w:w="1584" w:type="dxa"/>
            <w:vAlign w:val="center"/>
          </w:tcPr>
          <w:p>
            <w:pPr>
              <w:pStyle w:val="50"/>
              <w:snapToGrid w:val="0"/>
              <w:spacing w:after="0"/>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过滤布</w:t>
            </w:r>
          </w:p>
        </w:tc>
        <w:tc>
          <w:tcPr>
            <w:tcW w:w="1330" w:type="dxa"/>
            <w:vAlign w:val="center"/>
          </w:tcPr>
          <w:p>
            <w:pPr>
              <w:pStyle w:val="50"/>
              <w:snapToGrid w:val="0"/>
              <w:spacing w:after="0"/>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rPr>
              <w:t>/a</w:t>
            </w:r>
          </w:p>
        </w:tc>
        <w:tc>
          <w:tcPr>
            <w:tcW w:w="1575"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rPr>
              <w:t>3000</w:t>
            </w:r>
            <w:r>
              <w:rPr>
                <w:rFonts w:hint="default" w:ascii="Times New Roman" w:hAnsi="Times New Roman" w:eastAsia="宋体" w:cs="Times New Roman"/>
                <w:bCs/>
                <w:szCs w:val="21"/>
                <w:lang w:val="en-US" w:eastAsia="zh-CN"/>
              </w:rPr>
              <w:t>0</w:t>
            </w:r>
          </w:p>
        </w:tc>
        <w:tc>
          <w:tcPr>
            <w:tcW w:w="1643"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 w:val="0"/>
                <w:bCs/>
                <w:i w:val="0"/>
                <w:color w:val="auto"/>
                <w:kern w:val="0"/>
                <w:sz w:val="21"/>
                <w:szCs w:val="21"/>
                <w:u w:val="none"/>
                <w:lang w:val="en-US" w:eastAsia="zh-CN" w:bidi="ar"/>
              </w:rPr>
              <w:t>生产车间</w:t>
            </w:r>
          </w:p>
        </w:tc>
        <w:tc>
          <w:tcPr>
            <w:tcW w:w="1432"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300</w:t>
            </w: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8"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5</w:t>
            </w:r>
          </w:p>
        </w:tc>
        <w:tc>
          <w:tcPr>
            <w:tcW w:w="1584" w:type="dxa"/>
            <w:vAlign w:val="center"/>
          </w:tcPr>
          <w:p>
            <w:pPr>
              <w:pStyle w:val="50"/>
              <w:snapToGrid w:val="0"/>
              <w:spacing w:after="0"/>
              <w:ind w:left="0" w:lef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机油</w:t>
            </w:r>
          </w:p>
        </w:tc>
        <w:tc>
          <w:tcPr>
            <w:tcW w:w="1330" w:type="dxa"/>
            <w:vAlign w:val="center"/>
          </w:tcPr>
          <w:p>
            <w:pPr>
              <w:pStyle w:val="50"/>
              <w:snapToGrid w:val="0"/>
              <w:spacing w:after="0"/>
              <w:ind w:left="0" w:lef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t/a</w:t>
            </w:r>
          </w:p>
        </w:tc>
        <w:tc>
          <w:tcPr>
            <w:tcW w:w="1575" w:type="dxa"/>
            <w:vAlign w:val="center"/>
          </w:tcPr>
          <w:p>
            <w:pPr>
              <w:jc w:val="center"/>
              <w:rPr>
                <w:rFonts w:hint="default"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szCs w:val="21"/>
                <w:lang w:val="en-US" w:eastAsia="zh-CN"/>
              </w:rPr>
              <w:t>1</w:t>
            </w:r>
          </w:p>
        </w:tc>
        <w:tc>
          <w:tcPr>
            <w:tcW w:w="1643" w:type="dxa"/>
            <w:vAlign w:val="center"/>
          </w:tcPr>
          <w:p>
            <w:pPr>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rPr>
              <w:t>不储存</w:t>
            </w:r>
          </w:p>
        </w:tc>
        <w:tc>
          <w:tcPr>
            <w:tcW w:w="1432" w:type="dxa"/>
            <w:vAlign w:val="center"/>
          </w:tcPr>
          <w:p>
            <w:pPr>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8"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6</w:t>
            </w:r>
          </w:p>
        </w:tc>
        <w:tc>
          <w:tcPr>
            <w:tcW w:w="1584" w:type="dxa"/>
            <w:vAlign w:val="center"/>
          </w:tcPr>
          <w:p>
            <w:pPr>
              <w:pStyle w:val="50"/>
              <w:snapToGrid w:val="0"/>
              <w:spacing w:after="0"/>
              <w:ind w:left="0" w:lef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水</w:t>
            </w:r>
          </w:p>
        </w:tc>
        <w:tc>
          <w:tcPr>
            <w:tcW w:w="1330" w:type="dxa"/>
            <w:vAlign w:val="center"/>
          </w:tcPr>
          <w:p>
            <w:pPr>
              <w:pStyle w:val="50"/>
              <w:snapToGrid w:val="0"/>
              <w:spacing w:after="0"/>
              <w:ind w:left="0" w:lef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/a</w:t>
            </w:r>
          </w:p>
        </w:tc>
        <w:tc>
          <w:tcPr>
            <w:tcW w:w="1575" w:type="dxa"/>
            <w:vAlign w:val="center"/>
          </w:tcPr>
          <w:p>
            <w:pPr>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145965</w:t>
            </w:r>
          </w:p>
        </w:tc>
        <w:tc>
          <w:tcPr>
            <w:tcW w:w="1643" w:type="dxa"/>
            <w:vAlign w:val="center"/>
          </w:tcPr>
          <w:p>
            <w:pPr>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rPr>
              <w:t>/</w:t>
            </w:r>
          </w:p>
        </w:tc>
        <w:tc>
          <w:tcPr>
            <w:tcW w:w="1432" w:type="dxa"/>
            <w:vAlign w:val="center"/>
          </w:tcPr>
          <w:p>
            <w:pPr>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8"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7</w:t>
            </w:r>
          </w:p>
        </w:tc>
        <w:tc>
          <w:tcPr>
            <w:tcW w:w="1584" w:type="dxa"/>
            <w:vAlign w:val="center"/>
          </w:tcPr>
          <w:p>
            <w:pPr>
              <w:pStyle w:val="50"/>
              <w:snapToGrid w:val="0"/>
              <w:spacing w:after="0"/>
              <w:ind w:left="0" w:lef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电</w:t>
            </w:r>
          </w:p>
        </w:tc>
        <w:tc>
          <w:tcPr>
            <w:tcW w:w="1330" w:type="dxa"/>
            <w:vAlign w:val="center"/>
          </w:tcPr>
          <w:p>
            <w:pPr>
              <w:pStyle w:val="50"/>
              <w:snapToGrid w:val="0"/>
              <w:spacing w:after="0"/>
              <w:ind w:left="0" w:lef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Cs w:val="21"/>
              </w:rPr>
              <w:t>kW·h</w:t>
            </w:r>
          </w:p>
        </w:tc>
        <w:tc>
          <w:tcPr>
            <w:tcW w:w="1575" w:type="dxa"/>
            <w:vAlign w:val="center"/>
          </w:tcPr>
          <w:p>
            <w:pPr>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2513.71</w:t>
            </w:r>
            <w:r>
              <w:rPr>
                <w:rFonts w:hint="default" w:ascii="Times New Roman" w:hAnsi="Times New Roman" w:eastAsia="宋体" w:cs="Times New Roman"/>
                <w:bCs/>
                <w:szCs w:val="21"/>
              </w:rPr>
              <w:t>万</w:t>
            </w:r>
          </w:p>
        </w:tc>
        <w:tc>
          <w:tcPr>
            <w:tcW w:w="1643" w:type="dxa"/>
            <w:vAlign w:val="center"/>
          </w:tcPr>
          <w:p>
            <w:pPr>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rPr>
              <w:t>/</w:t>
            </w:r>
          </w:p>
        </w:tc>
        <w:tc>
          <w:tcPr>
            <w:tcW w:w="1432" w:type="dxa"/>
            <w:vAlign w:val="center"/>
          </w:tcPr>
          <w:p>
            <w:pPr>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rPr>
              <w:t>/</w:t>
            </w:r>
          </w:p>
        </w:tc>
      </w:tr>
    </w:tbl>
    <w:p>
      <w:pPr>
        <w:pStyle w:val="150"/>
        <w:spacing w:beforeLines="50" w:line="480" w:lineRule="exact"/>
        <w:ind w:firstLine="480"/>
        <w:rPr>
          <w:rFonts w:hint="default" w:ascii="Times New Roman" w:hAnsi="Times New Roman" w:eastAsia="宋体" w:cs="Times New Roman"/>
          <w:kern w:val="2"/>
          <w:szCs w:val="22"/>
        </w:rPr>
      </w:pPr>
      <w:r>
        <w:rPr>
          <w:rFonts w:hint="default" w:ascii="Times New Roman" w:hAnsi="Times New Roman" w:eastAsia="宋体" w:cs="Times New Roman"/>
          <w:kern w:val="2"/>
          <w:szCs w:val="22"/>
        </w:rPr>
        <w:t>矿石的元素含量和化学成分以及磁铁矿的化学成分和物相分析结果详见表</w:t>
      </w:r>
      <w:r>
        <w:rPr>
          <w:rFonts w:hint="default" w:ascii="Times New Roman" w:hAnsi="Times New Roman" w:eastAsia="宋体" w:cs="Times New Roman"/>
          <w:kern w:val="2"/>
          <w:szCs w:val="22"/>
          <w:lang w:val="en-US" w:eastAsia="zh-CN"/>
        </w:rPr>
        <w:t>3.1-5</w:t>
      </w:r>
      <w:r>
        <w:rPr>
          <w:rFonts w:hint="default" w:ascii="Times New Roman" w:hAnsi="Times New Roman" w:eastAsia="宋体" w:cs="Times New Roman"/>
          <w:kern w:val="2"/>
          <w:szCs w:val="22"/>
        </w:rPr>
        <w:t>及表</w:t>
      </w:r>
      <w:r>
        <w:rPr>
          <w:rFonts w:hint="default" w:ascii="Times New Roman" w:hAnsi="Times New Roman" w:eastAsia="宋体" w:cs="Times New Roman"/>
          <w:kern w:val="2"/>
          <w:szCs w:val="22"/>
          <w:lang w:val="en-US" w:eastAsia="zh-CN"/>
        </w:rPr>
        <w:t>3.1-6</w:t>
      </w:r>
      <w:r>
        <w:rPr>
          <w:rFonts w:hint="default" w:ascii="Times New Roman" w:hAnsi="Times New Roman" w:eastAsia="宋体" w:cs="Times New Roman"/>
          <w:kern w:val="2"/>
          <w:szCs w:val="22"/>
        </w:rPr>
        <w:t>。</w:t>
      </w:r>
    </w:p>
    <w:p>
      <w:pPr>
        <w:pStyle w:val="150"/>
        <w:spacing w:beforeLines="50" w:line="480" w:lineRule="exact"/>
        <w:ind w:firstLine="0" w:firstLineChars="0"/>
        <w:rPr>
          <w:rFonts w:hint="default" w:ascii="Times New Roman" w:hAnsi="Times New Roman" w:eastAsia="宋体" w:cs="Times New Roman"/>
          <w:kern w:val="2"/>
          <w:szCs w:val="22"/>
        </w:rPr>
      </w:pPr>
      <w:r>
        <w:rPr>
          <w:rFonts w:hint="default" w:ascii="Times New Roman" w:hAnsi="Times New Roman" w:eastAsia="宋体" w:cs="Times New Roman"/>
          <w:kern w:val="2"/>
          <w:szCs w:val="22"/>
        </w:rPr>
        <w:t>表</w:t>
      </w:r>
      <w:r>
        <w:rPr>
          <w:rFonts w:hint="default" w:ascii="Times New Roman" w:hAnsi="Times New Roman" w:eastAsia="宋体" w:cs="Times New Roman"/>
          <w:kern w:val="2"/>
          <w:szCs w:val="22"/>
          <w:lang w:val="en-US" w:eastAsia="zh-CN"/>
        </w:rPr>
        <w:t>3.1-5</w:t>
      </w:r>
      <w:r>
        <w:rPr>
          <w:rFonts w:hint="default" w:ascii="Times New Roman" w:hAnsi="Times New Roman" w:eastAsia="宋体" w:cs="Times New Roman"/>
          <w:kern w:val="2"/>
          <w:szCs w:val="22"/>
        </w:rPr>
        <w:t xml:space="preserve">                </w:t>
      </w:r>
      <w:r>
        <w:rPr>
          <w:rFonts w:hint="default" w:ascii="Times New Roman" w:hAnsi="Times New Roman" w:eastAsia="宋体" w:cs="Times New Roman"/>
          <w:kern w:val="2"/>
          <w:szCs w:val="22"/>
          <w:lang w:val="en-US" w:eastAsia="zh-CN"/>
        </w:rPr>
        <w:t xml:space="preserve"> </w:t>
      </w:r>
      <w:r>
        <w:rPr>
          <w:rFonts w:hint="eastAsia" w:ascii="Times New Roman" w:hAnsi="Times New Roman" w:eastAsia="宋体" w:cs="Times New Roman"/>
          <w:kern w:val="2"/>
          <w:szCs w:val="22"/>
          <w:lang w:val="en-US" w:eastAsia="zh-CN"/>
        </w:rPr>
        <w:t xml:space="preserve">   </w:t>
      </w:r>
      <w:r>
        <w:rPr>
          <w:rFonts w:hint="default" w:ascii="Times New Roman" w:hAnsi="Times New Roman" w:eastAsia="宋体" w:cs="Times New Roman"/>
          <w:kern w:val="2"/>
          <w:szCs w:val="22"/>
          <w:lang w:val="en-US" w:eastAsia="zh-CN"/>
        </w:rPr>
        <w:t xml:space="preserve"> </w:t>
      </w:r>
      <w:r>
        <w:rPr>
          <w:rFonts w:hint="default" w:ascii="Times New Roman" w:hAnsi="Times New Roman" w:eastAsia="宋体" w:cs="Times New Roman"/>
          <w:kern w:val="2"/>
          <w:szCs w:val="22"/>
        </w:rPr>
        <w:t>原矿石化学成分分析结果</w:t>
      </w:r>
    </w:p>
    <w:tbl>
      <w:tblPr>
        <w:tblStyle w:val="51"/>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25"/>
        <w:gridCol w:w="926"/>
        <w:gridCol w:w="928"/>
        <w:gridCol w:w="928"/>
        <w:gridCol w:w="928"/>
        <w:gridCol w:w="928"/>
        <w:gridCol w:w="928"/>
        <w:gridCol w:w="932"/>
        <w:gridCol w:w="932"/>
        <w:gridCol w:w="93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49" w:type="dxa"/>
            <w:tcBorders>
              <w:top w:val="single" w:color="auto" w:sz="4" w:space="0"/>
              <w:left w:val="nil"/>
              <w:bottom w:val="single" w:color="auto" w:sz="4" w:space="0"/>
              <w:right w:val="single" w:color="auto" w:sz="4" w:space="0"/>
              <w:tl2br w:val="nil"/>
              <w:tr2bl w:val="nil"/>
            </w:tcBorders>
            <w:vAlign w:val="center"/>
          </w:tcPr>
          <w:p>
            <w:pPr>
              <w:pStyle w:val="74"/>
              <w:spacing w:before="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w:t>
            </w:r>
          </w:p>
        </w:tc>
        <w:tc>
          <w:tcPr>
            <w:tcW w:w="849"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SiO</w:t>
            </w:r>
            <w:r>
              <w:rPr>
                <w:rFonts w:hint="default" w:ascii="Times New Roman" w:hAnsi="Times New Roman" w:eastAsia="宋体" w:cs="Times New Roman"/>
                <w:sz w:val="21"/>
                <w:szCs w:val="21"/>
                <w:vertAlign w:val="subscript"/>
              </w:rPr>
              <w:t>2</w:t>
            </w:r>
          </w:p>
        </w:tc>
        <w:tc>
          <w:tcPr>
            <w:tcW w:w="851"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Al</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rPr>
              <w:t>O</w:t>
            </w:r>
            <w:r>
              <w:rPr>
                <w:rFonts w:hint="default" w:ascii="Times New Roman" w:hAnsi="Times New Roman" w:eastAsia="宋体" w:cs="Times New Roman"/>
                <w:sz w:val="21"/>
                <w:szCs w:val="21"/>
                <w:vertAlign w:val="subscript"/>
              </w:rPr>
              <w:t>3</w:t>
            </w:r>
          </w:p>
        </w:tc>
        <w:tc>
          <w:tcPr>
            <w:tcW w:w="851" w:type="dxa"/>
            <w:tcBorders>
              <w:top w:val="single" w:color="auto" w:sz="4" w:space="0"/>
              <w:left w:val="single" w:color="auto" w:sz="4" w:space="0"/>
              <w:bottom w:val="single" w:color="auto" w:sz="4" w:space="0"/>
              <w:right w:val="single" w:color="auto" w:sz="4" w:space="0"/>
              <w:tl2br w:val="nil"/>
              <w:tr2bl w:val="nil"/>
            </w:tcBorders>
            <w:vAlign w:val="center"/>
          </w:tcPr>
          <w:p>
            <w:pPr>
              <w:pStyle w:val="150"/>
              <w:spacing w:line="440" w:lineRule="exact"/>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mFe</w:t>
            </w:r>
          </w:p>
        </w:tc>
        <w:tc>
          <w:tcPr>
            <w:tcW w:w="851" w:type="dxa"/>
            <w:tcBorders>
              <w:top w:val="single" w:color="auto" w:sz="4" w:space="0"/>
              <w:left w:val="single" w:color="auto" w:sz="4" w:space="0"/>
              <w:bottom w:val="single" w:color="auto" w:sz="4" w:space="0"/>
              <w:right w:val="single" w:color="auto" w:sz="4" w:space="0"/>
              <w:tl2br w:val="nil"/>
              <w:tr2bl w:val="nil"/>
            </w:tcBorders>
            <w:vAlign w:val="center"/>
          </w:tcPr>
          <w:p>
            <w:pPr>
              <w:pStyle w:val="150"/>
              <w:spacing w:line="440" w:lineRule="exact"/>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MgO</w:t>
            </w:r>
          </w:p>
        </w:tc>
        <w:tc>
          <w:tcPr>
            <w:tcW w:w="851"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CaO</w:t>
            </w:r>
          </w:p>
        </w:tc>
        <w:tc>
          <w:tcPr>
            <w:tcW w:w="851"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K</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rPr>
              <w:t>O</w:t>
            </w:r>
          </w:p>
        </w:tc>
        <w:tc>
          <w:tcPr>
            <w:tcW w:w="855"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P2O5</w:t>
            </w:r>
          </w:p>
        </w:tc>
        <w:tc>
          <w:tcPr>
            <w:tcW w:w="855"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MnO</w:t>
            </w:r>
            <w:r>
              <w:rPr>
                <w:rFonts w:hint="default" w:ascii="Times New Roman" w:hAnsi="Times New Roman" w:eastAsia="宋体" w:cs="Times New Roman"/>
                <w:sz w:val="21"/>
                <w:szCs w:val="21"/>
                <w:vertAlign w:val="subscript"/>
              </w:rPr>
              <w:t>2</w:t>
            </w:r>
          </w:p>
        </w:tc>
        <w:tc>
          <w:tcPr>
            <w:tcW w:w="855" w:type="dxa"/>
            <w:tcBorders>
              <w:top w:val="single" w:color="auto" w:sz="4" w:space="0"/>
              <w:left w:val="single" w:color="auto" w:sz="4" w:space="0"/>
              <w:bottom w:val="single" w:color="auto" w:sz="4" w:space="0"/>
              <w:right w:val="nil"/>
              <w:tl2br w:val="nil"/>
              <w:tr2bl w:val="nil"/>
            </w:tcBorders>
            <w:vAlign w:val="center"/>
          </w:tcPr>
          <w:p>
            <w:pPr>
              <w:pStyle w:val="74"/>
              <w:spacing w:before="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TiO</w:t>
            </w:r>
            <w:r>
              <w:rPr>
                <w:rFonts w:hint="default" w:ascii="Times New Roman" w:hAnsi="Times New Roman" w:eastAsia="宋体" w:cs="Times New Roman"/>
                <w:sz w:val="21"/>
                <w:szCs w:val="21"/>
                <w:vertAlign w:val="subscript"/>
              </w:rPr>
              <w:t>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49" w:type="dxa"/>
            <w:tcBorders>
              <w:top w:val="single" w:color="auto" w:sz="4" w:space="0"/>
              <w:left w:val="nil"/>
              <w:bottom w:val="single" w:color="auto" w:sz="4" w:space="0"/>
              <w:right w:val="single" w:color="auto" w:sz="4" w:space="0"/>
              <w:tl2br w:val="nil"/>
              <w:tr2bl w:val="nil"/>
            </w:tcBorders>
            <w:vAlign w:val="center"/>
          </w:tcPr>
          <w:p>
            <w:pPr>
              <w:pStyle w:val="74"/>
              <w:spacing w:before="0" w:line="480" w:lineRule="exact"/>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849"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480" w:lineRule="exact"/>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18.79</w:t>
            </w:r>
          </w:p>
        </w:tc>
        <w:tc>
          <w:tcPr>
            <w:tcW w:w="851"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480" w:lineRule="exact"/>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35.36</w:t>
            </w:r>
          </w:p>
        </w:tc>
        <w:tc>
          <w:tcPr>
            <w:tcW w:w="851"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35.54</w:t>
            </w:r>
          </w:p>
        </w:tc>
        <w:tc>
          <w:tcPr>
            <w:tcW w:w="851"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4.13</w:t>
            </w:r>
          </w:p>
        </w:tc>
        <w:tc>
          <w:tcPr>
            <w:tcW w:w="851"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0.29</w:t>
            </w:r>
          </w:p>
        </w:tc>
        <w:tc>
          <w:tcPr>
            <w:tcW w:w="851"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0.13</w:t>
            </w:r>
          </w:p>
        </w:tc>
        <w:tc>
          <w:tcPr>
            <w:tcW w:w="855"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0.092</w:t>
            </w:r>
          </w:p>
        </w:tc>
        <w:tc>
          <w:tcPr>
            <w:tcW w:w="855"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0.23</w:t>
            </w:r>
          </w:p>
        </w:tc>
        <w:tc>
          <w:tcPr>
            <w:tcW w:w="855" w:type="dxa"/>
            <w:tcBorders>
              <w:top w:val="single" w:color="auto" w:sz="4" w:space="0"/>
              <w:left w:val="single" w:color="auto" w:sz="4" w:space="0"/>
              <w:bottom w:val="single" w:color="auto" w:sz="4" w:space="0"/>
              <w:right w:val="nil"/>
              <w:tl2br w:val="nil"/>
              <w:tr2bl w:val="nil"/>
            </w:tcBorders>
            <w:vAlign w:val="center"/>
          </w:tcPr>
          <w:p>
            <w:pPr>
              <w:pStyle w:val="74"/>
              <w:spacing w:before="0"/>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2.01</w:t>
            </w:r>
          </w:p>
        </w:tc>
      </w:tr>
    </w:tbl>
    <w:p>
      <w:pPr>
        <w:pStyle w:val="150"/>
        <w:spacing w:beforeLines="50" w:line="480" w:lineRule="exact"/>
        <w:ind w:firstLine="0" w:firstLineChars="0"/>
        <w:rPr>
          <w:rFonts w:hint="default" w:ascii="Times New Roman" w:hAnsi="Times New Roman" w:eastAsia="宋体" w:cs="Times New Roman"/>
          <w:kern w:val="2"/>
          <w:szCs w:val="22"/>
        </w:rPr>
      </w:pPr>
      <w:r>
        <w:rPr>
          <w:rFonts w:hint="default" w:ascii="Times New Roman" w:hAnsi="Times New Roman" w:eastAsia="宋体" w:cs="Times New Roman"/>
          <w:kern w:val="2"/>
          <w:szCs w:val="22"/>
        </w:rPr>
        <w:t>表</w:t>
      </w:r>
      <w:r>
        <w:rPr>
          <w:rFonts w:hint="default" w:ascii="Times New Roman" w:hAnsi="Times New Roman" w:eastAsia="宋体" w:cs="Times New Roman"/>
          <w:kern w:val="2"/>
          <w:szCs w:val="22"/>
          <w:lang w:val="en-US" w:eastAsia="zh-CN"/>
        </w:rPr>
        <w:t>3.1-6</w:t>
      </w:r>
      <w:r>
        <w:rPr>
          <w:rFonts w:hint="default" w:ascii="Times New Roman" w:hAnsi="Times New Roman" w:eastAsia="宋体" w:cs="Times New Roman"/>
          <w:kern w:val="2"/>
          <w:szCs w:val="22"/>
        </w:rPr>
        <w:t xml:space="preserve">                  </w:t>
      </w:r>
      <w:r>
        <w:rPr>
          <w:rFonts w:hint="eastAsia" w:ascii="Times New Roman" w:hAnsi="Times New Roman" w:eastAsia="宋体" w:cs="Times New Roman"/>
          <w:kern w:val="2"/>
          <w:szCs w:val="22"/>
          <w:lang w:val="en-US" w:eastAsia="zh-CN"/>
        </w:rPr>
        <w:t xml:space="preserve">    </w:t>
      </w:r>
      <w:r>
        <w:rPr>
          <w:rFonts w:hint="default" w:ascii="Times New Roman" w:hAnsi="Times New Roman" w:eastAsia="宋体" w:cs="Times New Roman"/>
          <w:kern w:val="2"/>
          <w:szCs w:val="22"/>
        </w:rPr>
        <w:t xml:space="preserve"> 矿石的元素含量</w:t>
      </w:r>
    </w:p>
    <w:tbl>
      <w:tblPr>
        <w:tblStyle w:val="51"/>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53"/>
        <w:gridCol w:w="964"/>
        <w:gridCol w:w="1048"/>
        <w:gridCol w:w="1006"/>
        <w:gridCol w:w="1005"/>
        <w:gridCol w:w="1005"/>
        <w:gridCol w:w="1005"/>
        <w:gridCol w:w="1005"/>
        <w:gridCol w:w="99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1150" w:type="dxa"/>
            <w:tcBorders>
              <w:top w:val="single" w:color="auto" w:sz="4" w:space="0"/>
              <w:left w:val="nil"/>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元素种类</w:t>
            </w:r>
          </w:p>
        </w:tc>
        <w:tc>
          <w:tcPr>
            <w:tcW w:w="8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钡Ba</w:t>
            </w:r>
          </w:p>
        </w:tc>
        <w:tc>
          <w:tcPr>
            <w:tcW w:w="96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锆Zr</w:t>
            </w:r>
          </w:p>
        </w:tc>
        <w:tc>
          <w:tcPr>
            <w:tcW w:w="923"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锡Sn</w:t>
            </w:r>
          </w:p>
        </w:tc>
        <w:tc>
          <w:tcPr>
            <w:tcW w:w="92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铅Pb</w:t>
            </w:r>
          </w:p>
        </w:tc>
        <w:tc>
          <w:tcPr>
            <w:tcW w:w="92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钨W</w:t>
            </w:r>
          </w:p>
        </w:tc>
        <w:tc>
          <w:tcPr>
            <w:tcW w:w="92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铋Bi</w:t>
            </w:r>
          </w:p>
        </w:tc>
        <w:tc>
          <w:tcPr>
            <w:tcW w:w="92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钼Mo</w:t>
            </w:r>
          </w:p>
        </w:tc>
        <w:tc>
          <w:tcPr>
            <w:tcW w:w="915" w:type="dxa"/>
            <w:tcBorders>
              <w:top w:val="single" w:color="auto" w:sz="4" w:space="0"/>
              <w:left w:val="single" w:color="auto" w:sz="4" w:space="0"/>
              <w:bottom w:val="single" w:color="auto" w:sz="4" w:space="0"/>
              <w:right w:val="nil"/>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锌Zn</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1150" w:type="dxa"/>
            <w:tcBorders>
              <w:top w:val="single" w:color="auto" w:sz="4" w:space="0"/>
              <w:left w:val="nil"/>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含量（%）</w:t>
            </w:r>
          </w:p>
        </w:tc>
        <w:tc>
          <w:tcPr>
            <w:tcW w:w="884" w:type="dxa"/>
            <w:tcBorders>
              <w:top w:val="single" w:color="auto" w:sz="4" w:space="0"/>
              <w:left w:val="single" w:color="auto" w:sz="4" w:space="0"/>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0.008</w:t>
            </w:r>
          </w:p>
        </w:tc>
        <w:tc>
          <w:tcPr>
            <w:tcW w:w="962" w:type="dxa"/>
            <w:tcBorders>
              <w:top w:val="single" w:color="auto" w:sz="4" w:space="0"/>
              <w:left w:val="single" w:color="auto" w:sz="4" w:space="0"/>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0.3</w:t>
            </w:r>
          </w:p>
        </w:tc>
        <w:tc>
          <w:tcPr>
            <w:tcW w:w="923" w:type="dxa"/>
            <w:tcBorders>
              <w:top w:val="single" w:color="auto" w:sz="4" w:space="0"/>
              <w:left w:val="single" w:color="auto" w:sz="4" w:space="0"/>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&lt;0.01</w:t>
            </w:r>
          </w:p>
        </w:tc>
        <w:tc>
          <w:tcPr>
            <w:tcW w:w="922" w:type="dxa"/>
            <w:tcBorders>
              <w:top w:val="single" w:color="auto" w:sz="4" w:space="0"/>
              <w:left w:val="single" w:color="auto" w:sz="4" w:space="0"/>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0.018</w:t>
            </w:r>
          </w:p>
        </w:tc>
        <w:tc>
          <w:tcPr>
            <w:tcW w:w="922" w:type="dxa"/>
            <w:tcBorders>
              <w:top w:val="single" w:color="auto" w:sz="4" w:space="0"/>
              <w:left w:val="single" w:color="auto" w:sz="4" w:space="0"/>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&lt;0.01</w:t>
            </w:r>
          </w:p>
        </w:tc>
        <w:tc>
          <w:tcPr>
            <w:tcW w:w="922" w:type="dxa"/>
            <w:tcBorders>
              <w:top w:val="single" w:color="auto" w:sz="4" w:space="0"/>
              <w:left w:val="single" w:color="auto" w:sz="4" w:space="0"/>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&lt;0.01</w:t>
            </w:r>
          </w:p>
        </w:tc>
        <w:tc>
          <w:tcPr>
            <w:tcW w:w="922" w:type="dxa"/>
            <w:tcBorders>
              <w:top w:val="single" w:color="auto" w:sz="4" w:space="0"/>
              <w:left w:val="single" w:color="auto" w:sz="4" w:space="0"/>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&lt;0.01</w:t>
            </w:r>
          </w:p>
        </w:tc>
        <w:tc>
          <w:tcPr>
            <w:tcW w:w="915" w:type="dxa"/>
            <w:tcBorders>
              <w:top w:val="single" w:color="auto" w:sz="4" w:space="0"/>
              <w:left w:val="single" w:color="auto" w:sz="4" w:space="0"/>
              <w:bottom w:val="single" w:color="auto" w:sz="4" w:space="0"/>
              <w:right w:val="nil"/>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0.051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1150" w:type="dxa"/>
            <w:tcBorders>
              <w:top w:val="single" w:color="auto" w:sz="4" w:space="0"/>
              <w:left w:val="nil"/>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元素种类</w:t>
            </w:r>
          </w:p>
        </w:tc>
        <w:tc>
          <w:tcPr>
            <w:tcW w:w="884"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钒V</w:t>
            </w:r>
          </w:p>
        </w:tc>
        <w:tc>
          <w:tcPr>
            <w:tcW w:w="96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铜Cu</w:t>
            </w:r>
          </w:p>
        </w:tc>
        <w:tc>
          <w:tcPr>
            <w:tcW w:w="923"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铬Cr</w:t>
            </w:r>
          </w:p>
        </w:tc>
        <w:tc>
          <w:tcPr>
            <w:tcW w:w="92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锂Li</w:t>
            </w:r>
          </w:p>
        </w:tc>
        <w:tc>
          <w:tcPr>
            <w:tcW w:w="92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锶Sr</w:t>
            </w:r>
          </w:p>
        </w:tc>
        <w:tc>
          <w:tcPr>
            <w:tcW w:w="92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szCs w:val="21"/>
              </w:rPr>
            </w:pPr>
          </w:p>
        </w:tc>
        <w:tc>
          <w:tcPr>
            <w:tcW w:w="922"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szCs w:val="21"/>
              </w:rPr>
            </w:pPr>
          </w:p>
        </w:tc>
        <w:tc>
          <w:tcPr>
            <w:tcW w:w="915" w:type="dxa"/>
            <w:tcBorders>
              <w:top w:val="single" w:color="auto" w:sz="4" w:space="0"/>
              <w:left w:val="single" w:color="auto" w:sz="4" w:space="0"/>
              <w:bottom w:val="single" w:color="auto" w:sz="4" w:space="0"/>
              <w:right w:val="nil"/>
              <w:tl2br w:val="nil"/>
              <w:tr2bl w:val="nil"/>
            </w:tcBorders>
            <w:vAlign w:val="center"/>
          </w:tcPr>
          <w:p>
            <w:pPr>
              <w:jc w:val="center"/>
              <w:rPr>
                <w:rFonts w:hint="default" w:ascii="Times New Roman" w:hAnsi="Times New Roman" w:eastAsia="宋体" w:cs="Times New Roman"/>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1150" w:type="dxa"/>
            <w:tcBorders>
              <w:top w:val="single" w:color="auto" w:sz="4" w:space="0"/>
              <w:left w:val="nil"/>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含量（%）</w:t>
            </w:r>
          </w:p>
        </w:tc>
        <w:tc>
          <w:tcPr>
            <w:tcW w:w="884" w:type="dxa"/>
            <w:tcBorders>
              <w:top w:val="single" w:color="auto" w:sz="4" w:space="0"/>
              <w:left w:val="single" w:color="auto" w:sz="4" w:space="0"/>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0.068</w:t>
            </w:r>
          </w:p>
        </w:tc>
        <w:tc>
          <w:tcPr>
            <w:tcW w:w="962" w:type="dxa"/>
            <w:tcBorders>
              <w:top w:val="single" w:color="auto" w:sz="4" w:space="0"/>
              <w:left w:val="single" w:color="auto" w:sz="4" w:space="0"/>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0.012</w:t>
            </w:r>
          </w:p>
        </w:tc>
        <w:tc>
          <w:tcPr>
            <w:tcW w:w="923" w:type="dxa"/>
            <w:tcBorders>
              <w:top w:val="single" w:color="auto" w:sz="4" w:space="0"/>
              <w:left w:val="single" w:color="auto" w:sz="4" w:space="0"/>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0.038</w:t>
            </w:r>
          </w:p>
        </w:tc>
        <w:tc>
          <w:tcPr>
            <w:tcW w:w="922" w:type="dxa"/>
            <w:tcBorders>
              <w:top w:val="single" w:color="auto" w:sz="4" w:space="0"/>
              <w:left w:val="single" w:color="auto" w:sz="4" w:space="0"/>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0.3</w:t>
            </w:r>
          </w:p>
        </w:tc>
        <w:tc>
          <w:tcPr>
            <w:tcW w:w="922" w:type="dxa"/>
            <w:tcBorders>
              <w:top w:val="single" w:color="auto" w:sz="4" w:space="0"/>
              <w:left w:val="single" w:color="auto" w:sz="4" w:space="0"/>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&lt;0.01</w:t>
            </w:r>
          </w:p>
        </w:tc>
        <w:tc>
          <w:tcPr>
            <w:tcW w:w="922" w:type="dxa"/>
            <w:tcBorders>
              <w:top w:val="single" w:color="auto" w:sz="4" w:space="0"/>
              <w:left w:val="single" w:color="auto" w:sz="4" w:space="0"/>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p>
        </w:tc>
        <w:tc>
          <w:tcPr>
            <w:tcW w:w="922" w:type="dxa"/>
            <w:tcBorders>
              <w:top w:val="single" w:color="auto" w:sz="4" w:space="0"/>
              <w:left w:val="single" w:color="auto" w:sz="4" w:space="0"/>
              <w:bottom w:val="single" w:color="auto" w:sz="4" w:space="0"/>
              <w:right w:val="single" w:color="auto" w:sz="4" w:space="0"/>
              <w:tl2br w:val="nil"/>
              <w:tr2bl w:val="nil"/>
            </w:tcBorders>
            <w:vAlign w:val="center"/>
          </w:tcPr>
          <w:p>
            <w:pPr>
              <w:spacing w:line="400" w:lineRule="exact"/>
              <w:jc w:val="center"/>
              <w:rPr>
                <w:rFonts w:hint="default" w:ascii="Times New Roman" w:hAnsi="Times New Roman" w:eastAsia="宋体" w:cs="Times New Roman"/>
                <w:szCs w:val="21"/>
              </w:rPr>
            </w:pPr>
          </w:p>
        </w:tc>
        <w:tc>
          <w:tcPr>
            <w:tcW w:w="915" w:type="dxa"/>
            <w:tcBorders>
              <w:top w:val="single" w:color="auto" w:sz="4" w:space="0"/>
              <w:left w:val="single" w:color="auto" w:sz="4" w:space="0"/>
              <w:bottom w:val="single" w:color="auto" w:sz="4" w:space="0"/>
              <w:right w:val="nil"/>
              <w:tl2br w:val="nil"/>
              <w:tr2bl w:val="nil"/>
            </w:tcBorders>
            <w:vAlign w:val="center"/>
          </w:tcPr>
          <w:p>
            <w:pPr>
              <w:spacing w:line="400" w:lineRule="exact"/>
              <w:jc w:val="center"/>
              <w:rPr>
                <w:rFonts w:hint="default" w:ascii="Times New Roman" w:hAnsi="Times New Roman" w:eastAsia="宋体" w:cs="Times New Roman"/>
                <w:szCs w:val="21"/>
              </w:rPr>
            </w:pPr>
          </w:p>
        </w:tc>
      </w:tr>
    </w:tbl>
    <w:p>
      <w:pPr>
        <w:pStyle w:val="73"/>
        <w:spacing w:beforeLines="50" w:line="360"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3.1.</w:t>
      </w:r>
      <w:r>
        <w:rPr>
          <w:rFonts w:hint="default" w:ascii="Times New Roman" w:hAnsi="Times New Roman" w:eastAsia="宋体" w:cs="Times New Roman"/>
          <w:color w:val="auto"/>
          <w:sz w:val="28"/>
          <w:szCs w:val="28"/>
          <w:lang w:val="en-US" w:eastAsia="zh-CN"/>
        </w:rPr>
        <w:t>6</w:t>
      </w:r>
      <w:r>
        <w:rPr>
          <w:rFonts w:hint="default" w:ascii="Times New Roman" w:hAnsi="Times New Roman" w:eastAsia="宋体" w:cs="Times New Roman"/>
          <w:color w:val="auto"/>
          <w:sz w:val="28"/>
          <w:szCs w:val="28"/>
        </w:rPr>
        <w:t>公用工程</w:t>
      </w:r>
    </w:p>
    <w:bookmarkEnd w:id="149"/>
    <w:bookmarkEnd w:id="150"/>
    <w:bookmarkEnd w:id="151"/>
    <w:bookmarkEnd w:id="152"/>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bookmarkStart w:id="153" w:name="_Toc4628"/>
      <w:r>
        <w:rPr>
          <w:rFonts w:hint="default" w:ascii="Times New Roman" w:hAnsi="Times New Roman" w:eastAsia="宋体" w:cs="Times New Roman"/>
          <w:kern w:val="0"/>
          <w:sz w:val="24"/>
        </w:rPr>
        <w:t>（1）给水</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①生活用水</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本项目不设淋浴、食堂及宿舍，</w:t>
      </w:r>
      <w:r>
        <w:rPr>
          <w:rFonts w:hint="default" w:ascii="Times New Roman" w:hAnsi="Times New Roman" w:eastAsia="宋体" w:cs="Times New Roman"/>
          <w:sz w:val="24"/>
        </w:rPr>
        <w:t>用水定额按20L·人/d计算，</w:t>
      </w:r>
      <w:r>
        <w:rPr>
          <w:rFonts w:hint="default" w:ascii="Times New Roman" w:hAnsi="Times New Roman" w:eastAsia="宋体" w:cs="Times New Roman"/>
          <w:sz w:val="24"/>
          <w:lang w:eastAsia="zh-CN"/>
        </w:rPr>
        <w:t>新增员工</w:t>
      </w:r>
      <w:r>
        <w:rPr>
          <w:rFonts w:hint="default" w:ascii="Times New Roman" w:hAnsi="Times New Roman" w:eastAsia="宋体" w:cs="Times New Roman"/>
          <w:sz w:val="24"/>
          <w:lang w:val="en-US" w:eastAsia="zh-CN"/>
        </w:rPr>
        <w:t>30人，</w:t>
      </w:r>
      <w:r>
        <w:rPr>
          <w:rFonts w:hint="default" w:ascii="Times New Roman" w:hAnsi="Times New Roman" w:eastAsia="宋体" w:cs="Times New Roman"/>
          <w:sz w:val="24"/>
        </w:rPr>
        <w:t>年生产300天，员工生活用水量为0.6m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/d，即180m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/a。</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②生产用水</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1）选矿</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lang w:eastAsia="zh-CN"/>
        </w:rPr>
      </w:pPr>
      <w:r>
        <w:rPr>
          <w:rFonts w:hint="default" w:ascii="Times New Roman" w:hAnsi="Times New Roman" w:eastAsia="宋体" w:cs="Times New Roman"/>
          <w:kern w:val="0"/>
          <w:sz w:val="24"/>
        </w:rPr>
        <w:t>根据建设单位提供资料，每处理1t原矿石需水4m</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。本项目每天处理原矿石</w:t>
      </w:r>
      <w:r>
        <w:rPr>
          <w:rFonts w:hint="default" w:ascii="Times New Roman" w:hAnsi="Times New Roman" w:eastAsia="宋体" w:cs="Times New Roman"/>
          <w:kern w:val="0"/>
          <w:sz w:val="24"/>
          <w:lang w:val="en-US" w:eastAsia="zh-CN"/>
        </w:rPr>
        <w:t>1667</w:t>
      </w:r>
      <w:r>
        <w:rPr>
          <w:rFonts w:hint="default" w:ascii="Times New Roman" w:hAnsi="Times New Roman" w:eastAsia="宋体" w:cs="Times New Roman"/>
          <w:kern w:val="0"/>
          <w:sz w:val="24"/>
        </w:rPr>
        <w:t>t，所需水量为</w:t>
      </w:r>
      <w:r>
        <w:rPr>
          <w:rFonts w:hint="default" w:ascii="Times New Roman" w:hAnsi="Times New Roman" w:eastAsia="宋体" w:cs="Times New Roman"/>
          <w:kern w:val="0"/>
          <w:sz w:val="24"/>
          <w:lang w:val="en-US" w:eastAsia="zh-CN"/>
        </w:rPr>
        <w:t>6668</w:t>
      </w:r>
      <w:r>
        <w:rPr>
          <w:rFonts w:hint="default" w:ascii="Times New Roman" w:hAnsi="Times New Roman" w:eastAsia="宋体" w:cs="Times New Roman"/>
          <w:kern w:val="0"/>
          <w:sz w:val="24"/>
        </w:rPr>
        <w:t>m</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/d，</w:t>
      </w:r>
      <w:r>
        <w:rPr>
          <w:rFonts w:hint="default" w:ascii="Times New Roman" w:hAnsi="Times New Roman" w:eastAsia="宋体" w:cs="Times New Roman"/>
          <w:kern w:val="0"/>
          <w:sz w:val="24"/>
          <w:lang w:eastAsia="zh-CN"/>
        </w:rPr>
        <w:t>经沉淀后循环使用。其中产品及尾矿约含</w:t>
      </w:r>
      <w:r>
        <w:rPr>
          <w:rFonts w:hint="default" w:ascii="Times New Roman" w:hAnsi="Times New Roman" w:eastAsia="宋体" w:cs="Times New Roman"/>
          <w:kern w:val="0"/>
          <w:sz w:val="24"/>
          <w:lang w:val="en-US" w:eastAsia="zh-CN"/>
        </w:rPr>
        <w:t>10%的水分，即151.55</w:t>
      </w:r>
      <w:r>
        <w:rPr>
          <w:rFonts w:hint="default" w:ascii="Times New Roman" w:hAnsi="Times New Roman" w:eastAsia="宋体" w:cs="Times New Roman"/>
          <w:kern w:val="0"/>
          <w:sz w:val="24"/>
        </w:rPr>
        <w:t>m</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/d</w:t>
      </w:r>
      <w:r>
        <w:rPr>
          <w:rFonts w:hint="default" w:ascii="Times New Roman" w:hAnsi="Times New Roman" w:eastAsia="宋体" w:cs="Times New Roman"/>
          <w:kern w:val="0"/>
          <w:sz w:val="24"/>
          <w:lang w:eastAsia="zh-CN"/>
        </w:rPr>
        <w:t>，损失</w:t>
      </w:r>
      <w:r>
        <w:rPr>
          <w:rFonts w:hint="default" w:ascii="Times New Roman" w:hAnsi="Times New Roman" w:eastAsia="宋体" w:cs="Times New Roman"/>
          <w:kern w:val="0"/>
          <w:sz w:val="24"/>
          <w:lang w:val="en-US" w:eastAsia="zh-CN"/>
        </w:rPr>
        <w:t>5%，即333.4</w:t>
      </w:r>
      <w:r>
        <w:rPr>
          <w:rFonts w:hint="default" w:ascii="Times New Roman" w:hAnsi="Times New Roman" w:eastAsia="宋体" w:cs="Times New Roman"/>
          <w:kern w:val="0"/>
          <w:sz w:val="24"/>
        </w:rPr>
        <w:t>m</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/d</w:t>
      </w:r>
      <w:r>
        <w:rPr>
          <w:rFonts w:hint="default" w:ascii="Times New Roman" w:hAnsi="Times New Roman" w:eastAsia="宋体" w:cs="Times New Roman"/>
          <w:kern w:val="0"/>
          <w:sz w:val="24"/>
          <w:lang w:eastAsia="zh-CN"/>
        </w:rPr>
        <w:t>，所以每日新增用水量为</w:t>
      </w:r>
      <w:r>
        <w:rPr>
          <w:rFonts w:hint="default" w:ascii="Times New Roman" w:hAnsi="Times New Roman" w:eastAsia="宋体" w:cs="Times New Roman"/>
          <w:kern w:val="0"/>
          <w:sz w:val="24"/>
          <w:lang w:val="en-US" w:eastAsia="zh-CN"/>
        </w:rPr>
        <w:t>484.95</w:t>
      </w:r>
      <w:r>
        <w:rPr>
          <w:rFonts w:hint="default" w:ascii="Times New Roman" w:hAnsi="Times New Roman" w:eastAsia="宋体" w:cs="Times New Roman"/>
          <w:kern w:val="0"/>
          <w:sz w:val="24"/>
        </w:rPr>
        <w:t>m</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/d</w:t>
      </w:r>
      <w:r>
        <w:rPr>
          <w:rFonts w:hint="default" w:ascii="Times New Roman" w:hAnsi="Times New Roman" w:eastAsia="宋体" w:cs="Times New Roman"/>
          <w:kern w:val="0"/>
          <w:sz w:val="24"/>
          <w:lang w:eastAsia="zh-CN"/>
        </w:rPr>
        <w:t>，即</w:t>
      </w:r>
      <w:r>
        <w:rPr>
          <w:rFonts w:hint="default" w:ascii="Times New Roman" w:hAnsi="Times New Roman" w:eastAsia="宋体" w:cs="Times New Roman"/>
          <w:kern w:val="0"/>
          <w:sz w:val="24"/>
          <w:lang w:val="en-US" w:eastAsia="zh-CN"/>
        </w:rPr>
        <w:t>145485</w:t>
      </w:r>
      <w:r>
        <w:rPr>
          <w:rFonts w:hint="default" w:ascii="Times New Roman" w:hAnsi="Times New Roman" w:eastAsia="宋体" w:cs="Times New Roman"/>
          <w:kern w:val="0"/>
          <w:sz w:val="24"/>
        </w:rPr>
        <w:t>m</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w:t>
      </w:r>
      <w:r>
        <w:rPr>
          <w:rFonts w:hint="default" w:ascii="Times New Roman" w:hAnsi="Times New Roman" w:eastAsia="宋体" w:cs="Times New Roman"/>
          <w:kern w:val="0"/>
          <w:sz w:val="24"/>
          <w:lang w:val="en-US" w:eastAsia="zh-CN"/>
        </w:rPr>
        <w:t>a</w:t>
      </w:r>
      <w:r>
        <w:rPr>
          <w:rFonts w:hint="default" w:ascii="Times New Roman" w:hAnsi="Times New Roman" w:eastAsia="宋体" w:cs="Times New Roman"/>
          <w:kern w:val="0"/>
          <w:sz w:val="24"/>
        </w:rPr>
        <w:t>。</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2）抑尘</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抑尘用水量约为1.0m</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/d</w:t>
      </w:r>
      <w:r>
        <w:rPr>
          <w:rFonts w:hint="default" w:ascii="Times New Roman" w:hAnsi="Times New Roman" w:eastAsia="宋体" w:cs="Times New Roman"/>
          <w:sz w:val="24"/>
        </w:rPr>
        <w:t>，即300m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/a</w:t>
      </w:r>
      <w:r>
        <w:rPr>
          <w:rFonts w:hint="default" w:ascii="Times New Roman" w:hAnsi="Times New Roman" w:eastAsia="宋体" w:cs="Times New Roman"/>
          <w:kern w:val="0"/>
          <w:sz w:val="24"/>
        </w:rPr>
        <w:t>。</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项目用水量统计见表</w:t>
      </w:r>
      <w:r>
        <w:rPr>
          <w:rFonts w:hint="default" w:ascii="Times New Roman" w:hAnsi="Times New Roman" w:eastAsia="宋体" w:cs="Times New Roman"/>
          <w:kern w:val="0"/>
          <w:sz w:val="24"/>
          <w:lang w:val="en-US" w:eastAsia="zh-CN"/>
        </w:rPr>
        <w:t>3.1-7</w:t>
      </w:r>
      <w:r>
        <w:rPr>
          <w:rFonts w:hint="default" w:ascii="Times New Roman" w:hAnsi="Times New Roman" w:eastAsia="宋体" w:cs="Times New Roman"/>
          <w:kern w:val="0"/>
          <w:sz w:val="24"/>
        </w:rPr>
        <w:t>。</w:t>
      </w:r>
    </w:p>
    <w:p>
      <w:pPr>
        <w:spacing w:beforeLines="50" w:line="480" w:lineRule="exact"/>
        <w:rPr>
          <w:rFonts w:hint="default" w:ascii="Times New Roman" w:hAnsi="Times New Roman" w:eastAsia="宋体" w:cs="Times New Roman"/>
          <w:sz w:val="24"/>
        </w:rPr>
      </w:pPr>
      <w:r>
        <w:rPr>
          <w:rFonts w:hint="default" w:ascii="Times New Roman" w:hAnsi="Times New Roman" w:eastAsia="宋体" w:cs="Times New Roman"/>
          <w:sz w:val="24"/>
        </w:rPr>
        <w:t>表</w:t>
      </w:r>
      <w:r>
        <w:rPr>
          <w:rFonts w:hint="default" w:ascii="Times New Roman" w:hAnsi="Times New Roman" w:eastAsia="宋体" w:cs="Times New Roman"/>
          <w:sz w:val="24"/>
          <w:lang w:val="en-US" w:eastAsia="zh-CN"/>
        </w:rPr>
        <w:t>3.1-7</w:t>
      </w:r>
      <w:r>
        <w:rPr>
          <w:rFonts w:hint="default" w:ascii="Times New Roman" w:hAnsi="Times New Roman" w:eastAsia="宋体" w:cs="Times New Roman"/>
          <w:sz w:val="24"/>
        </w:rPr>
        <w:t xml:space="preserve">                </w:t>
      </w:r>
      <w:r>
        <w:rPr>
          <w:rFonts w:hint="eastAsia" w:ascii="Times New Roman" w:hAnsi="Times New Roman" w:eastAsia="宋体" w:cs="Times New Roman"/>
          <w:sz w:val="24"/>
          <w:lang w:val="en-US" w:eastAsia="zh-CN"/>
        </w:rPr>
        <w:t xml:space="preserve">    </w:t>
      </w:r>
      <w:r>
        <w:rPr>
          <w:rFonts w:hint="default" w:ascii="Times New Roman" w:hAnsi="Times New Roman" w:eastAsia="宋体" w:cs="Times New Roman"/>
          <w:sz w:val="24"/>
        </w:rPr>
        <w:t xml:space="preserve">   项目用水量统计表</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9"/>
        <w:gridCol w:w="943"/>
        <w:gridCol w:w="1241"/>
        <w:gridCol w:w="1293"/>
        <w:gridCol w:w="1062"/>
        <w:gridCol w:w="1217"/>
        <w:gridCol w:w="1217"/>
        <w:gridCol w:w="155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97"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序号</w:t>
            </w:r>
          </w:p>
        </w:tc>
        <w:tc>
          <w:tcPr>
            <w:tcW w:w="2004" w:type="dxa"/>
            <w:gridSpan w:val="2"/>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用水类别</w:t>
            </w:r>
          </w:p>
        </w:tc>
        <w:tc>
          <w:tcPr>
            <w:tcW w:w="1187"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用水指标</w:t>
            </w:r>
          </w:p>
        </w:tc>
        <w:tc>
          <w:tcPr>
            <w:tcW w:w="974"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规模</w:t>
            </w:r>
          </w:p>
        </w:tc>
        <w:tc>
          <w:tcPr>
            <w:tcW w:w="1117"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总用水量（m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/d）</w:t>
            </w:r>
          </w:p>
        </w:tc>
        <w:tc>
          <w:tcPr>
            <w:tcW w:w="1117"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循环水量（m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/d）</w:t>
            </w:r>
          </w:p>
        </w:tc>
        <w:tc>
          <w:tcPr>
            <w:tcW w:w="1427"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新鲜水补充量（m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/d）</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97" w:type="dxa"/>
            <w:vAlign w:val="center"/>
          </w:tcPr>
          <w:p>
            <w:pPr>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w:t>
            </w:r>
          </w:p>
        </w:tc>
        <w:tc>
          <w:tcPr>
            <w:tcW w:w="865" w:type="dxa"/>
            <w:vAlign w:val="center"/>
          </w:tcPr>
          <w:p>
            <w:pPr>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生活</w:t>
            </w:r>
          </w:p>
        </w:tc>
        <w:tc>
          <w:tcPr>
            <w:tcW w:w="1139"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劳动定员</w:t>
            </w:r>
          </w:p>
        </w:tc>
        <w:tc>
          <w:tcPr>
            <w:tcW w:w="1187"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20L/d·人</w:t>
            </w:r>
          </w:p>
        </w:tc>
        <w:tc>
          <w:tcPr>
            <w:tcW w:w="974"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30人</w:t>
            </w:r>
          </w:p>
        </w:tc>
        <w:tc>
          <w:tcPr>
            <w:tcW w:w="1117"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0.6</w:t>
            </w:r>
          </w:p>
        </w:tc>
        <w:tc>
          <w:tcPr>
            <w:tcW w:w="1117"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w:t>
            </w:r>
          </w:p>
        </w:tc>
        <w:tc>
          <w:tcPr>
            <w:tcW w:w="1427"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0.6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97" w:type="dxa"/>
            <w:vAlign w:val="center"/>
          </w:tcPr>
          <w:p>
            <w:pPr>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w:t>
            </w:r>
          </w:p>
        </w:tc>
        <w:tc>
          <w:tcPr>
            <w:tcW w:w="865" w:type="dxa"/>
            <w:vMerge w:val="restart"/>
            <w:vAlign w:val="center"/>
          </w:tcPr>
          <w:p>
            <w:pPr>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生产</w:t>
            </w:r>
          </w:p>
        </w:tc>
        <w:tc>
          <w:tcPr>
            <w:tcW w:w="1139"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选矿用水</w:t>
            </w:r>
          </w:p>
        </w:tc>
        <w:tc>
          <w:tcPr>
            <w:tcW w:w="1187"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4.0m</w:t>
            </w:r>
            <w:r>
              <w:rPr>
                <w:rFonts w:hint="default" w:ascii="Times New Roman" w:hAnsi="Times New Roman" w:eastAsia="宋体" w:cs="Times New Roman"/>
                <w:kern w:val="0"/>
                <w:szCs w:val="21"/>
                <w:vertAlign w:val="superscript"/>
              </w:rPr>
              <w:t>3</w:t>
            </w:r>
            <w:r>
              <w:rPr>
                <w:rFonts w:hint="default" w:ascii="Times New Roman" w:hAnsi="Times New Roman" w:eastAsia="宋体" w:cs="Times New Roman"/>
                <w:kern w:val="0"/>
                <w:szCs w:val="21"/>
              </w:rPr>
              <w:t>/t</w:t>
            </w:r>
          </w:p>
        </w:tc>
        <w:tc>
          <w:tcPr>
            <w:tcW w:w="974"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1667</w:t>
            </w:r>
            <w:r>
              <w:rPr>
                <w:rFonts w:hint="default" w:ascii="Times New Roman" w:hAnsi="Times New Roman" w:eastAsia="宋体" w:cs="Times New Roman"/>
                <w:kern w:val="0"/>
                <w:szCs w:val="21"/>
              </w:rPr>
              <w:t>t</w:t>
            </w:r>
          </w:p>
        </w:tc>
        <w:tc>
          <w:tcPr>
            <w:tcW w:w="1117" w:type="dxa"/>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6668</w:t>
            </w:r>
          </w:p>
        </w:tc>
        <w:tc>
          <w:tcPr>
            <w:tcW w:w="1117" w:type="dxa"/>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6183.05</w:t>
            </w:r>
          </w:p>
        </w:tc>
        <w:tc>
          <w:tcPr>
            <w:tcW w:w="1427" w:type="dxa"/>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484.95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697" w:type="dxa"/>
            <w:vAlign w:val="center"/>
          </w:tcPr>
          <w:p>
            <w:pPr>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3</w:t>
            </w:r>
          </w:p>
        </w:tc>
        <w:tc>
          <w:tcPr>
            <w:tcW w:w="865" w:type="dxa"/>
            <w:vMerge w:val="continue"/>
            <w:vAlign w:val="center"/>
          </w:tcPr>
          <w:p>
            <w:pPr>
              <w:jc w:val="center"/>
              <w:rPr>
                <w:rFonts w:hint="default" w:ascii="Times New Roman" w:hAnsi="Times New Roman" w:eastAsia="宋体" w:cs="Times New Roman"/>
                <w:kern w:val="0"/>
                <w:szCs w:val="21"/>
              </w:rPr>
            </w:pPr>
          </w:p>
        </w:tc>
        <w:tc>
          <w:tcPr>
            <w:tcW w:w="1139"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抑尘用水</w:t>
            </w:r>
          </w:p>
        </w:tc>
        <w:tc>
          <w:tcPr>
            <w:tcW w:w="1187"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w:t>
            </w:r>
          </w:p>
        </w:tc>
        <w:tc>
          <w:tcPr>
            <w:tcW w:w="974"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w:t>
            </w:r>
          </w:p>
        </w:tc>
        <w:tc>
          <w:tcPr>
            <w:tcW w:w="1117"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1.0</w:t>
            </w:r>
          </w:p>
        </w:tc>
        <w:tc>
          <w:tcPr>
            <w:tcW w:w="1117"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w:t>
            </w:r>
          </w:p>
        </w:tc>
        <w:tc>
          <w:tcPr>
            <w:tcW w:w="1427" w:type="dxa"/>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4862" w:type="dxa"/>
            <w:gridSpan w:val="5"/>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合计</w:t>
            </w:r>
          </w:p>
        </w:tc>
        <w:tc>
          <w:tcPr>
            <w:tcW w:w="3661" w:type="dxa"/>
            <w:gridSpan w:val="3"/>
            <w:vAlign w:val="center"/>
          </w:tcPr>
          <w:p>
            <w:pPr>
              <w:widowControl/>
              <w:jc w:val="center"/>
              <w:rPr>
                <w:rFonts w:hint="default" w:ascii="Times New Roman" w:hAnsi="Times New Roman" w:eastAsia="宋体" w:cs="Times New Roman"/>
                <w:kern w:val="0"/>
                <w:szCs w:val="21"/>
                <w:lang w:val="en-US" w:eastAsia="zh-CN"/>
              </w:rPr>
            </w:pPr>
            <w:r>
              <w:rPr>
                <w:rFonts w:hint="default" w:ascii="Times New Roman" w:hAnsi="Times New Roman" w:eastAsia="宋体" w:cs="Times New Roman"/>
                <w:kern w:val="0"/>
                <w:szCs w:val="21"/>
                <w:lang w:val="en-US" w:eastAsia="zh-CN"/>
              </w:rPr>
              <w:t>486.55</w:t>
            </w:r>
          </w:p>
        </w:tc>
      </w:tr>
    </w:tbl>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（2）排水</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sz w:val="24"/>
        </w:rPr>
      </w:pPr>
      <w:r>
        <w:rPr>
          <w:rFonts w:hint="default" w:ascii="Times New Roman" w:hAnsi="Times New Roman" w:eastAsia="宋体" w:cs="Times New Roman"/>
          <w:sz w:val="24"/>
        </w:rPr>
        <w:t>①生活污水</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sz w:val="24"/>
        </w:rPr>
        <w:t>生活污水排放量按实际用水量的80%计算，约0.48m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/d，</w:t>
      </w:r>
      <w:r>
        <w:rPr>
          <w:rFonts w:hint="default" w:ascii="Times New Roman" w:hAnsi="Times New Roman" w:eastAsia="宋体" w:cs="Times New Roman"/>
          <w:sz w:val="24"/>
          <w:lang w:val="en-US" w:eastAsia="zh-CN"/>
        </w:rPr>
        <w:t>144</w:t>
      </w:r>
      <w:r>
        <w:rPr>
          <w:rFonts w:hint="default" w:ascii="Times New Roman" w:hAnsi="Times New Roman" w:eastAsia="宋体" w:cs="Times New Roman"/>
          <w:sz w:val="24"/>
        </w:rPr>
        <w:t>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/a，排入1座有效容积约15m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的防渗旱厕，定期清掏、用作农肥。</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②选矿废水</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直接回流回用至磨选工艺，不外排。</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③抑尘</w:t>
      </w:r>
    </w:p>
    <w:p>
      <w:pPr>
        <w:keepNext w:val="0"/>
        <w:keepLines w:val="0"/>
        <w:pageBreakBefore w:val="0"/>
        <w:widowControl w:val="0"/>
        <w:kinsoku/>
        <w:wordWrap/>
        <w:overflowPunct/>
        <w:topLinePunct w:val="0"/>
        <w:autoSpaceDE w:val="0"/>
        <w:autoSpaceDN w:val="0"/>
        <w:bidi w:val="0"/>
        <w:adjustRightInd w:val="0"/>
        <w:snapToGrid/>
        <w:spacing w:beforeLines="50" w:line="360" w:lineRule="auto"/>
        <w:ind w:firstLine="480" w:firstLineChars="200"/>
        <w:jc w:val="left"/>
        <w:textAlignment w:val="auto"/>
        <w:rPr>
          <w:rFonts w:hint="default" w:ascii="Times New Roman" w:hAnsi="Times New Roman" w:eastAsia="宋体" w:cs="Times New Roman"/>
          <w:kern w:val="0"/>
          <w:sz w:val="24"/>
        </w:rPr>
      </w:pPr>
      <w:r>
        <w:rPr>
          <w:rFonts w:hint="default" w:ascii="Times New Roman" w:hAnsi="Times New Roman" w:eastAsia="宋体" w:cs="Times New Roman"/>
          <w:kern w:val="0"/>
          <w:sz w:val="24"/>
        </w:rPr>
        <w:t>抑尘用水全部蒸发。</w:t>
      </w:r>
    </w:p>
    <w:p>
      <w:pPr>
        <w:keepNext w:val="0"/>
        <w:keepLines w:val="0"/>
        <w:pageBreakBefore w:val="0"/>
        <w:widowControl w:val="0"/>
        <w:kinsoku/>
        <w:wordWrap/>
        <w:overflowPunct/>
        <w:topLinePunct w:val="0"/>
        <w:autoSpaceDE w:val="0"/>
        <w:autoSpaceDN w:val="0"/>
        <w:bidi w:val="0"/>
        <w:adjustRightInd w:val="0"/>
        <w:snapToGrid/>
        <w:spacing w:beforeLines="50" w:line="360" w:lineRule="auto"/>
        <w:ind w:firstLine="480" w:firstLineChars="200"/>
        <w:jc w:val="left"/>
        <w:textAlignment w:val="auto"/>
        <w:rPr>
          <w:rFonts w:hint="default" w:ascii="Times New Roman" w:hAnsi="Times New Roman" w:eastAsia="宋体" w:cs="Times New Roman"/>
          <w:kern w:val="0"/>
          <w:sz w:val="24"/>
        </w:rPr>
      </w:pPr>
      <w:r>
        <w:rPr>
          <w:rFonts w:hint="default" w:ascii="Times New Roman" w:hAnsi="Times New Roman" w:eastAsia="宋体" w:cs="Times New Roman"/>
          <w:kern w:val="0"/>
          <w:sz w:val="24"/>
        </w:rPr>
        <w:t>（3）供电</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电源来自当地电网，年需要消耗电量约</w:t>
      </w:r>
      <w:r>
        <w:rPr>
          <w:rFonts w:hint="default" w:ascii="Times New Roman" w:hAnsi="Times New Roman" w:eastAsia="宋体" w:cs="Times New Roman"/>
          <w:kern w:val="0"/>
          <w:sz w:val="24"/>
          <w:lang w:val="en-US" w:eastAsia="zh-CN"/>
        </w:rPr>
        <w:t>2513.71</w:t>
      </w:r>
      <w:r>
        <w:rPr>
          <w:rFonts w:hint="default" w:ascii="Times New Roman" w:hAnsi="Times New Roman" w:eastAsia="宋体" w:cs="Times New Roman"/>
          <w:kern w:val="0"/>
          <w:sz w:val="24"/>
        </w:rPr>
        <w:t>万kW·h。</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（4）取暖</w:t>
      </w:r>
    </w:p>
    <w:p>
      <w:pPr>
        <w:spacing w:beforeLines="50"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办公用房取暖采用电取暖。</w:t>
      </w:r>
    </w:p>
    <w:p>
      <w:pPr>
        <w:pStyle w:val="73"/>
        <w:spacing w:beforeLines="50" w:line="360"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3.1.</w:t>
      </w:r>
      <w:r>
        <w:rPr>
          <w:rFonts w:hint="default" w:ascii="Times New Roman" w:hAnsi="Times New Roman" w:eastAsia="宋体" w:cs="Times New Roman"/>
          <w:color w:val="auto"/>
          <w:sz w:val="28"/>
          <w:szCs w:val="28"/>
          <w:lang w:val="en-US" w:eastAsia="zh-CN"/>
        </w:rPr>
        <w:t>7</w:t>
      </w:r>
      <w:r>
        <w:rPr>
          <w:rFonts w:hint="default" w:ascii="Times New Roman" w:hAnsi="Times New Roman" w:eastAsia="宋体" w:cs="Times New Roman"/>
          <w:color w:val="auto"/>
          <w:sz w:val="28"/>
          <w:szCs w:val="28"/>
        </w:rPr>
        <w:t>平面布置</w:t>
      </w:r>
    </w:p>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本项目总占地</w:t>
      </w:r>
      <w:r>
        <w:rPr>
          <w:rFonts w:hint="default" w:ascii="Times New Roman" w:hAnsi="Times New Roman" w:eastAsia="宋体" w:cs="Times New Roman"/>
          <w:sz w:val="24"/>
          <w:lang w:val="en-US" w:eastAsia="zh-CN"/>
        </w:rPr>
        <w:t>66552</w:t>
      </w:r>
      <w:r>
        <w:rPr>
          <w:rFonts w:hint="default" w:ascii="Times New Roman" w:hAnsi="Times New Roman" w:eastAsia="宋体" w:cs="Times New Roman"/>
          <w:sz w:val="24"/>
        </w:rPr>
        <w:t>m</w:t>
      </w:r>
      <w:r>
        <w:rPr>
          <w:rFonts w:hint="default" w:ascii="Times New Roman" w:hAnsi="Times New Roman" w:eastAsia="宋体" w:cs="Times New Roman"/>
          <w:sz w:val="24"/>
          <w:vertAlign w:val="superscript"/>
        </w:rPr>
        <w:t>2</w:t>
      </w:r>
      <w:r>
        <w:rPr>
          <w:rFonts w:hint="default" w:ascii="Times New Roman" w:hAnsi="Times New Roman" w:eastAsia="宋体" w:cs="Times New Roman"/>
          <w:sz w:val="24"/>
        </w:rPr>
        <w:t>，厂区自然地形起伏较小，各系统生产车间依选矿工艺流程，充分利用地形进行布置。</w:t>
      </w:r>
    </w:p>
    <w:p>
      <w:pPr>
        <w:bidi w:val="0"/>
        <w:spacing w:line="360" w:lineRule="auto"/>
        <w:rPr>
          <w:rFonts w:hint="default" w:ascii="Times New Roman" w:hAnsi="Times New Roman" w:eastAsia="宋体" w:cs="Times New Roman"/>
          <w:sz w:val="24"/>
          <w:szCs w:val="24"/>
          <w:lang w:val="en-US" w:eastAsia="zh-CN"/>
        </w:rPr>
        <w:sectPr>
          <w:pgSz w:w="11907" w:h="16840"/>
          <w:pgMar w:top="1417" w:right="1417" w:bottom="1417" w:left="1417" w:header="964" w:footer="964" w:gutter="0"/>
          <w:cols w:space="720" w:num="1"/>
          <w:docGrid w:linePitch="312" w:charSpace="0"/>
        </w:sectPr>
      </w:pPr>
      <w:r>
        <w:rPr>
          <w:rFonts w:hint="default" w:ascii="Times New Roman" w:hAnsi="Times New Roman" w:eastAsia="宋体" w:cs="Times New Roman"/>
          <w:sz w:val="24"/>
        </w:rPr>
        <w:t>在总平面布置中，根据工艺流程、生产特点进行布置，包括：破碎车间、磨选车间、干排车间、尾矿仓、铁精粉</w:t>
      </w:r>
      <w:r>
        <w:rPr>
          <w:rFonts w:hint="default" w:ascii="Times New Roman" w:hAnsi="Times New Roman" w:eastAsia="宋体" w:cs="Times New Roman"/>
          <w:sz w:val="24"/>
          <w:lang w:eastAsia="zh-CN"/>
        </w:rPr>
        <w:t>仓</w:t>
      </w:r>
      <w:r>
        <w:rPr>
          <w:rFonts w:hint="default" w:ascii="Times New Roman" w:hAnsi="Times New Roman" w:eastAsia="宋体" w:cs="Times New Roman"/>
          <w:sz w:val="24"/>
        </w:rPr>
        <w:t>、办公用房及</w:t>
      </w:r>
      <w:r>
        <w:rPr>
          <w:rFonts w:hint="default" w:ascii="Times New Roman" w:hAnsi="Times New Roman" w:eastAsia="宋体" w:cs="Times New Roman"/>
          <w:sz w:val="24"/>
          <w:lang w:eastAsia="zh-CN"/>
        </w:rPr>
        <w:t>附属设备</w:t>
      </w:r>
      <w:r>
        <w:rPr>
          <w:rFonts w:hint="default" w:ascii="Times New Roman" w:hAnsi="Times New Roman" w:eastAsia="宋体" w:cs="Times New Roman"/>
          <w:sz w:val="24"/>
        </w:rPr>
        <w:t>。本厂区按功能进行划分，厂区</w:t>
      </w:r>
      <w:r>
        <w:rPr>
          <w:rFonts w:hint="eastAsia" w:ascii="Times New Roman" w:hAnsi="Times New Roman" w:eastAsia="宋体" w:cs="Times New Roman"/>
          <w:sz w:val="24"/>
          <w:lang w:eastAsia="zh-CN"/>
        </w:rPr>
        <w:t>西南</w:t>
      </w:r>
      <w:r>
        <w:rPr>
          <w:rFonts w:hint="default" w:ascii="Times New Roman" w:hAnsi="Times New Roman" w:eastAsia="宋体" w:cs="Times New Roman"/>
          <w:sz w:val="24"/>
        </w:rPr>
        <w:t>侧为生活区</w:t>
      </w:r>
      <w:r>
        <w:rPr>
          <w:rFonts w:hint="default" w:ascii="Times New Roman" w:hAnsi="Times New Roman" w:eastAsia="宋体" w:cs="Times New Roman"/>
          <w:sz w:val="24"/>
          <w:lang w:eastAsia="zh-CN"/>
        </w:rPr>
        <w:t>，北侧为破碎车间，</w:t>
      </w:r>
      <w:r>
        <w:rPr>
          <w:rFonts w:hint="default" w:ascii="Times New Roman" w:hAnsi="Times New Roman" w:eastAsia="宋体" w:cs="Times New Roman"/>
          <w:sz w:val="24"/>
          <w:lang w:val="en-US" w:eastAsia="zh-CN"/>
        </w:rPr>
        <w:t>2处球磨车间位于破碎车间南侧，干排车间</w:t>
      </w:r>
      <w:r>
        <w:rPr>
          <w:rFonts w:hint="default" w:ascii="Times New Roman" w:hAnsi="Times New Roman" w:eastAsia="宋体" w:cs="Times New Roman"/>
          <w:sz w:val="24"/>
          <w:lang w:eastAsia="zh-CN"/>
        </w:rPr>
        <w:t>位于球磨车间西侧，</w:t>
      </w:r>
      <w:r>
        <w:rPr>
          <w:rFonts w:hint="default" w:ascii="Times New Roman" w:hAnsi="Times New Roman" w:eastAsia="宋体" w:cs="Times New Roman"/>
          <w:sz w:val="24"/>
        </w:rPr>
        <w:t>铁精粉</w:t>
      </w:r>
      <w:r>
        <w:rPr>
          <w:rFonts w:hint="default" w:ascii="Times New Roman" w:hAnsi="Times New Roman" w:eastAsia="宋体" w:cs="Times New Roman"/>
          <w:sz w:val="24"/>
          <w:lang w:eastAsia="zh-CN"/>
        </w:rPr>
        <w:t>仓</w:t>
      </w:r>
      <w:r>
        <w:rPr>
          <w:rFonts w:hint="eastAsia" w:cs="Times New Roman"/>
          <w:sz w:val="24"/>
          <w:lang w:eastAsia="zh-CN"/>
        </w:rPr>
        <w:t>位于球磨车间南侧，</w:t>
      </w:r>
      <w:r>
        <w:rPr>
          <w:rFonts w:hint="default" w:ascii="Times New Roman" w:hAnsi="Times New Roman" w:eastAsia="宋体" w:cs="Times New Roman"/>
          <w:sz w:val="24"/>
          <w:lang w:eastAsia="zh-CN"/>
        </w:rPr>
        <w:t>尾矿仓位于厂区东侧</w:t>
      </w:r>
      <w:r>
        <w:rPr>
          <w:rFonts w:hint="default" w:ascii="Times New Roman" w:hAnsi="Times New Roman" w:eastAsia="宋体" w:cs="Times New Roman"/>
          <w:sz w:val="24"/>
        </w:rPr>
        <w:t>。平面布置见图</w:t>
      </w:r>
      <w:r>
        <w:rPr>
          <w:rFonts w:hint="default" w:ascii="Times New Roman" w:hAnsi="Times New Roman" w:eastAsia="宋体" w:cs="Times New Roman"/>
          <w:sz w:val="24"/>
          <w:lang w:val="en-US" w:eastAsia="zh-CN"/>
        </w:rPr>
        <w:t>3.1</w:t>
      </w:r>
      <w:r>
        <w:rPr>
          <w:rFonts w:hint="default" w:ascii="Times New Roman" w:hAnsi="Times New Roman" w:eastAsia="宋体" w:cs="Times New Roman"/>
          <w:sz w:val="24"/>
        </w:rPr>
        <w:t>-1</w:t>
      </w:r>
      <w:r>
        <w:rPr>
          <w:rFonts w:hint="default" w:ascii="Times New Roman" w:hAnsi="Times New Roman" w:eastAsia="宋体" w:cs="Times New Roman"/>
          <w:sz w:val="24"/>
          <w:lang w:eastAsia="zh-CN"/>
        </w:rPr>
        <w:t>。</w:t>
      </w:r>
    </w:p>
    <w:bookmarkEnd w:id="153"/>
    <w:p>
      <w:pPr>
        <w:spacing w:line="360" w:lineRule="auto"/>
        <w:jc w:val="center"/>
        <w:rPr>
          <w:rFonts w:hint="default" w:ascii="Times New Roman" w:hAnsi="Times New Roman" w:eastAsia="宋体" w:cs="Times New Roman"/>
          <w:color w:val="auto"/>
          <w:highlight w:val="none"/>
          <w:lang w:eastAsia="zh-CN"/>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84" w:leftChars="-270" w:hanging="651" w:hangingChars="270"/>
        <w:jc w:val="center"/>
        <w:rPr>
          <w:rFonts w:hint="default" w:ascii="Times New Roman" w:hAnsi="Times New Roman" w:eastAsia="宋体" w:cs="Times New Roman"/>
          <w:b/>
          <w:color w:val="auto"/>
          <w:sz w:val="24"/>
          <w:highlight w:val="yellow"/>
        </w:rPr>
      </w:pPr>
    </w:p>
    <w:p>
      <w:pPr>
        <w:spacing w:line="360" w:lineRule="auto"/>
        <w:ind w:left="0" w:leftChars="-270" w:hanging="567" w:hangingChars="270"/>
        <w:jc w:val="center"/>
        <w:rPr>
          <w:rFonts w:hint="default" w:ascii="Times New Roman" w:hAnsi="Times New Roman" w:eastAsia="宋体" w:cs="Times New Roman"/>
          <w:b/>
          <w:color w:val="auto"/>
          <w:sz w:val="24"/>
          <w:highlight w:val="none"/>
          <w:lang w:eastAsia="zh-CN"/>
        </w:rPr>
      </w:pPr>
      <w:r>
        <w:rPr>
          <w:rFonts w:hint="default" w:ascii="Times New Roman" w:hAnsi="Times New Roman" w:eastAsia="宋体" w:cs="Times New Roman"/>
          <w:color w:val="auto"/>
        </w:rPr>
        <w:drawing>
          <wp:anchor distT="0" distB="0" distL="114300" distR="114300" simplePos="0" relativeHeight="251879424" behindDoc="0" locked="0" layoutInCell="1" allowOverlap="1">
            <wp:simplePos x="0" y="0"/>
            <wp:positionH relativeFrom="column">
              <wp:posOffset>7679690</wp:posOffset>
            </wp:positionH>
            <wp:positionV relativeFrom="paragraph">
              <wp:posOffset>15240</wp:posOffset>
            </wp:positionV>
            <wp:extent cx="626745" cy="721995"/>
            <wp:effectExtent l="0" t="0" r="13335" b="9525"/>
            <wp:wrapNone/>
            <wp:docPr id="6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0"/>
                    <pic:cNvPicPr>
                      <a:picLocks noChangeAspect="1"/>
                    </pic:cNvPicPr>
                  </pic:nvPicPr>
                  <pic:blipFill>
                    <a:blip r:embed="rId26"/>
                    <a:stretch>
                      <a:fillRect/>
                    </a:stretch>
                  </pic:blipFill>
                  <pic:spPr>
                    <a:xfrm>
                      <a:off x="0" y="0"/>
                      <a:ext cx="626745" cy="721995"/>
                    </a:xfrm>
                    <a:prstGeom prst="rect">
                      <a:avLst/>
                    </a:prstGeom>
                    <a:noFill/>
                    <a:ln>
                      <a:noFill/>
                    </a:ln>
                  </pic:spPr>
                </pic:pic>
              </a:graphicData>
            </a:graphic>
          </wp:anchor>
        </w:drawing>
      </w:r>
      <w:r>
        <w:rPr>
          <w:rFonts w:hint="default" w:ascii="Times New Roman" w:hAnsi="Times New Roman" w:eastAsia="宋体" w:cs="Times New Roman"/>
          <w:color w:val="auto"/>
        </w:rPr>
        <w:drawing>
          <wp:anchor distT="0" distB="0" distL="114300" distR="114300" simplePos="0" relativeHeight="251880448" behindDoc="0" locked="0" layoutInCell="1" allowOverlap="1">
            <wp:simplePos x="0" y="0"/>
            <wp:positionH relativeFrom="column">
              <wp:posOffset>8014335</wp:posOffset>
            </wp:positionH>
            <wp:positionV relativeFrom="paragraph">
              <wp:posOffset>304165</wp:posOffset>
            </wp:positionV>
            <wp:extent cx="619125" cy="695325"/>
            <wp:effectExtent l="0" t="0" r="5715" b="5715"/>
            <wp:wrapNone/>
            <wp:docPr id="71"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87"/>
                    <pic:cNvPicPr>
                      <a:picLocks noChangeAspect="1"/>
                    </pic:cNvPicPr>
                  </pic:nvPicPr>
                  <pic:blipFill>
                    <a:blip r:embed="rId29"/>
                    <a:srcRect t="2667"/>
                    <a:stretch>
                      <a:fillRect/>
                    </a:stretch>
                  </pic:blipFill>
                  <pic:spPr>
                    <a:xfrm>
                      <a:off x="0" y="0"/>
                      <a:ext cx="619125" cy="695325"/>
                    </a:xfrm>
                    <a:prstGeom prst="rect">
                      <a:avLst/>
                    </a:prstGeom>
                    <a:noFill/>
                    <a:ln>
                      <a:noFill/>
                    </a:ln>
                  </pic:spPr>
                </pic:pic>
              </a:graphicData>
            </a:graphic>
          </wp:anchor>
        </w:drawing>
      </w:r>
      <w:r>
        <w:rPr>
          <w:rFonts w:hint="default" w:ascii="Times New Roman" w:hAnsi="Times New Roman" w:eastAsia="宋体" w:cs="Times New Roman"/>
        </w:rPr>
        <w:drawing>
          <wp:anchor distT="0" distB="0" distL="114300" distR="114300" simplePos="0" relativeHeight="251881472" behindDoc="0" locked="0" layoutInCell="1" allowOverlap="1">
            <wp:simplePos x="0" y="0"/>
            <wp:positionH relativeFrom="column">
              <wp:posOffset>7226300</wp:posOffset>
            </wp:positionH>
            <wp:positionV relativeFrom="paragraph">
              <wp:posOffset>-769620</wp:posOffset>
            </wp:positionV>
            <wp:extent cx="419100" cy="584200"/>
            <wp:effectExtent l="90805" t="55880" r="99695" b="60960"/>
            <wp:wrapNone/>
            <wp:docPr id="72" name="图片 2950" descr="1591236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950" descr="1591236247(1)"/>
                    <pic:cNvPicPr>
                      <a:picLocks noChangeAspect="1"/>
                    </pic:cNvPicPr>
                  </pic:nvPicPr>
                  <pic:blipFill>
                    <a:blip r:embed="rId30"/>
                    <a:stretch>
                      <a:fillRect/>
                    </a:stretch>
                  </pic:blipFill>
                  <pic:spPr>
                    <a:xfrm rot="1260000">
                      <a:off x="0" y="0"/>
                      <a:ext cx="419100" cy="584200"/>
                    </a:xfrm>
                    <a:prstGeom prst="rect">
                      <a:avLst/>
                    </a:prstGeom>
                    <a:noFill/>
                    <a:ln>
                      <a:noFill/>
                    </a:ln>
                  </pic:spPr>
                </pic:pic>
              </a:graphicData>
            </a:graphic>
          </wp:anchor>
        </w:drawing>
      </w:r>
      <w:r>
        <w:rPr>
          <w:rFonts w:hint="default" w:ascii="Times New Roman" w:hAnsi="Times New Roman" w:eastAsia="宋体" w:cs="Times New Roman"/>
        </w:rPr>
        <w:drawing>
          <wp:anchor distT="0" distB="0" distL="114300" distR="114300" simplePos="0" relativeHeight="251882496" behindDoc="0" locked="0" layoutInCell="1" allowOverlap="1">
            <wp:simplePos x="0" y="0"/>
            <wp:positionH relativeFrom="column">
              <wp:posOffset>7378700</wp:posOffset>
            </wp:positionH>
            <wp:positionV relativeFrom="paragraph">
              <wp:posOffset>-617220</wp:posOffset>
            </wp:positionV>
            <wp:extent cx="419100" cy="584200"/>
            <wp:effectExtent l="90805" t="55880" r="99695" b="60960"/>
            <wp:wrapNone/>
            <wp:docPr id="74" name="图片 2950" descr="1591236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950" descr="1591236247(1)"/>
                    <pic:cNvPicPr>
                      <a:picLocks noChangeAspect="1"/>
                    </pic:cNvPicPr>
                  </pic:nvPicPr>
                  <pic:blipFill>
                    <a:blip r:embed="rId30"/>
                    <a:stretch>
                      <a:fillRect/>
                    </a:stretch>
                  </pic:blipFill>
                  <pic:spPr>
                    <a:xfrm rot="1260000">
                      <a:off x="0" y="0"/>
                      <a:ext cx="419100" cy="584200"/>
                    </a:xfrm>
                    <a:prstGeom prst="rect">
                      <a:avLst/>
                    </a:prstGeom>
                    <a:noFill/>
                    <a:ln>
                      <a:noFill/>
                    </a:ln>
                  </pic:spPr>
                </pic:pic>
              </a:graphicData>
            </a:graphic>
          </wp:anchor>
        </w:drawing>
      </w:r>
      <w:r>
        <w:rPr>
          <w:rFonts w:hint="default" w:ascii="Times New Roman" w:hAnsi="Times New Roman" w:eastAsia="宋体" w:cs="Times New Roman"/>
          <w:color w:val="auto"/>
        </w:rPr>
        <w:drawing>
          <wp:anchor distT="0" distB="0" distL="114300" distR="114300" simplePos="0" relativeHeight="251884544" behindDoc="0" locked="0" layoutInCell="1" allowOverlap="1">
            <wp:simplePos x="0" y="0"/>
            <wp:positionH relativeFrom="column">
              <wp:posOffset>8319135</wp:posOffset>
            </wp:positionH>
            <wp:positionV relativeFrom="paragraph">
              <wp:posOffset>608965</wp:posOffset>
            </wp:positionV>
            <wp:extent cx="619125" cy="695325"/>
            <wp:effectExtent l="0" t="0" r="5715" b="5715"/>
            <wp:wrapNone/>
            <wp:docPr id="76"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87"/>
                    <pic:cNvPicPr>
                      <a:picLocks noChangeAspect="1"/>
                    </pic:cNvPicPr>
                  </pic:nvPicPr>
                  <pic:blipFill>
                    <a:blip r:embed="rId29"/>
                    <a:srcRect t="2667"/>
                    <a:stretch>
                      <a:fillRect/>
                    </a:stretch>
                  </pic:blipFill>
                  <pic:spPr>
                    <a:xfrm>
                      <a:off x="0" y="0"/>
                      <a:ext cx="619125" cy="695325"/>
                    </a:xfrm>
                    <a:prstGeom prst="rect">
                      <a:avLst/>
                    </a:prstGeom>
                    <a:noFill/>
                    <a:ln>
                      <a:noFill/>
                    </a:ln>
                  </pic:spPr>
                </pic:pic>
              </a:graphicData>
            </a:graphic>
          </wp:anchor>
        </w:drawing>
      </w:r>
      <w:r>
        <w:rPr>
          <w:rFonts w:hint="default" w:ascii="Times New Roman" w:hAnsi="Times New Roman" w:eastAsia="宋体" w:cs="Times New Roman"/>
        </w:rPr>
        <w:drawing>
          <wp:anchor distT="0" distB="0" distL="114300" distR="114300" simplePos="0" relativeHeight="251885568" behindDoc="0" locked="0" layoutInCell="1" allowOverlap="1">
            <wp:simplePos x="0" y="0"/>
            <wp:positionH relativeFrom="column">
              <wp:posOffset>8141335</wp:posOffset>
            </wp:positionH>
            <wp:positionV relativeFrom="paragraph">
              <wp:posOffset>502920</wp:posOffset>
            </wp:positionV>
            <wp:extent cx="508000" cy="710565"/>
            <wp:effectExtent l="0" t="0" r="10160" b="5715"/>
            <wp:wrapNone/>
            <wp:docPr id="77" name="图片 2950" descr="1591236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950" descr="1591236247(1)"/>
                    <pic:cNvPicPr>
                      <a:picLocks noChangeAspect="1"/>
                    </pic:cNvPicPr>
                  </pic:nvPicPr>
                  <pic:blipFill>
                    <a:blip r:embed="rId30"/>
                    <a:stretch>
                      <a:fillRect/>
                    </a:stretch>
                  </pic:blipFill>
                  <pic:spPr>
                    <a:xfrm>
                      <a:off x="0" y="0"/>
                      <a:ext cx="508000" cy="710565"/>
                    </a:xfrm>
                    <a:prstGeom prst="rect">
                      <a:avLst/>
                    </a:prstGeom>
                    <a:noFill/>
                    <a:ln>
                      <a:noFill/>
                    </a:ln>
                  </pic:spPr>
                </pic:pic>
              </a:graphicData>
            </a:graphic>
          </wp:anchor>
        </w:drawing>
      </w:r>
      <w:r>
        <w:rPr>
          <w:rFonts w:hint="default" w:ascii="Times New Roman" w:hAnsi="Times New Roman" w:eastAsia="宋体" w:cs="Times New Roman"/>
          <w:b w:val="0"/>
          <w:bCs/>
          <w:color w:val="auto"/>
          <w:sz w:val="24"/>
          <w:highlight w:val="none"/>
          <w:lang w:eastAsia="zh-CN"/>
        </w:rPr>
        <w:drawing>
          <wp:inline distT="0" distB="0" distL="114300" distR="114300">
            <wp:extent cx="5813425" cy="7522845"/>
            <wp:effectExtent l="0" t="0" r="8255" b="5715"/>
            <wp:docPr id="92" name="图片 92" descr="16388510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1638851063(1)"/>
                    <pic:cNvPicPr>
                      <a:picLocks noChangeAspect="1"/>
                    </pic:cNvPicPr>
                  </pic:nvPicPr>
                  <pic:blipFill>
                    <a:blip r:embed="rId31"/>
                    <a:stretch>
                      <a:fillRect/>
                    </a:stretch>
                  </pic:blipFill>
                  <pic:spPr>
                    <a:xfrm>
                      <a:off x="0" y="0"/>
                      <a:ext cx="5813425" cy="7522845"/>
                    </a:xfrm>
                    <a:prstGeom prst="rect">
                      <a:avLst/>
                    </a:prstGeom>
                  </pic:spPr>
                </pic:pic>
              </a:graphicData>
            </a:graphic>
          </wp:inline>
        </w:drawing>
      </w:r>
    </w:p>
    <w:p>
      <w:pPr>
        <w:spacing w:line="360" w:lineRule="auto"/>
        <w:jc w:val="center"/>
        <w:rPr>
          <w:rFonts w:hint="default" w:ascii="Times New Roman" w:hAnsi="Times New Roman" w:eastAsia="宋体" w:cs="Times New Roman"/>
          <w:color w:val="auto"/>
          <w:lang w:eastAsia="zh-CN"/>
        </w:rPr>
        <w:sectPr>
          <w:type w:val="continuous"/>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rPr>
        <w:drawing>
          <wp:anchor distT="0" distB="0" distL="114300" distR="114300" simplePos="0" relativeHeight="251883520" behindDoc="0" locked="0" layoutInCell="1" allowOverlap="1">
            <wp:simplePos x="0" y="0"/>
            <wp:positionH relativeFrom="column">
              <wp:posOffset>8166735</wp:posOffset>
            </wp:positionH>
            <wp:positionV relativeFrom="paragraph">
              <wp:posOffset>-2697480</wp:posOffset>
            </wp:positionV>
            <wp:extent cx="619125" cy="695325"/>
            <wp:effectExtent l="0" t="0" r="5715" b="5715"/>
            <wp:wrapNone/>
            <wp:docPr id="75"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87"/>
                    <pic:cNvPicPr>
                      <a:picLocks noChangeAspect="1"/>
                    </pic:cNvPicPr>
                  </pic:nvPicPr>
                  <pic:blipFill>
                    <a:blip r:embed="rId29"/>
                    <a:srcRect t="2667"/>
                    <a:stretch>
                      <a:fillRect/>
                    </a:stretch>
                  </pic:blipFill>
                  <pic:spPr>
                    <a:xfrm>
                      <a:off x="0" y="0"/>
                      <a:ext cx="619125" cy="695325"/>
                    </a:xfrm>
                    <a:prstGeom prst="rect">
                      <a:avLst/>
                    </a:prstGeom>
                    <a:noFill/>
                    <a:ln>
                      <a:noFill/>
                    </a:ln>
                  </pic:spPr>
                </pic:pic>
              </a:graphicData>
            </a:graphic>
          </wp:anchor>
        </w:drawing>
      </w:r>
      <w:r>
        <w:rPr>
          <w:rFonts w:hint="default" w:ascii="Times New Roman" w:hAnsi="Times New Roman" w:eastAsia="宋体" w:cs="Times New Roman"/>
          <w:b/>
          <w:color w:val="auto"/>
          <w:sz w:val="24"/>
          <w:highlight w:val="none"/>
        </w:rPr>
        <w:t>图3.1-</w:t>
      </w:r>
      <w:r>
        <w:rPr>
          <w:rFonts w:hint="default" w:ascii="Times New Roman" w:hAnsi="Times New Roman" w:eastAsia="宋体" w:cs="Times New Roman"/>
          <w:b/>
          <w:color w:val="auto"/>
          <w:sz w:val="24"/>
          <w:highlight w:val="none"/>
          <w:lang w:val="en-US" w:eastAsia="zh-CN"/>
        </w:rPr>
        <w:t>1</w:t>
      </w:r>
      <w:r>
        <w:rPr>
          <w:rFonts w:hint="default" w:ascii="Times New Roman" w:hAnsi="Times New Roman" w:eastAsia="宋体" w:cs="Times New Roman"/>
          <w:b/>
          <w:color w:val="auto"/>
          <w:sz w:val="24"/>
          <w:highlight w:val="none"/>
        </w:rPr>
        <w:t xml:space="preserve"> </w:t>
      </w:r>
      <w:r>
        <w:rPr>
          <w:rFonts w:hint="default" w:ascii="Times New Roman" w:hAnsi="Times New Roman" w:eastAsia="宋体" w:cs="Times New Roman"/>
          <w:b/>
          <w:color w:val="auto"/>
          <w:sz w:val="24"/>
          <w:highlight w:val="none"/>
          <w:lang w:eastAsia="zh-CN"/>
        </w:rPr>
        <w:t>厂区</w:t>
      </w:r>
      <w:r>
        <w:rPr>
          <w:rFonts w:hint="default" w:ascii="Times New Roman" w:hAnsi="Times New Roman" w:eastAsia="宋体" w:cs="Times New Roman"/>
          <w:b/>
          <w:color w:val="auto"/>
          <w:sz w:val="24"/>
          <w:highlight w:val="none"/>
        </w:rPr>
        <w:t>平面布置</w:t>
      </w:r>
      <w:r>
        <w:rPr>
          <w:rFonts w:hint="default" w:ascii="Times New Roman" w:hAnsi="Times New Roman" w:eastAsia="宋体" w:cs="Times New Roman"/>
          <w:b/>
          <w:color w:val="auto"/>
          <w:sz w:val="24"/>
          <w:highlight w:val="none"/>
          <w:lang w:eastAsia="zh-CN"/>
        </w:rPr>
        <w:t>图</w:t>
      </w:r>
    </w:p>
    <w:p>
      <w:pPr>
        <w:pStyle w:val="73"/>
        <w:spacing w:beforeLines="50" w:line="360"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3.1.</w:t>
      </w:r>
      <w:r>
        <w:rPr>
          <w:rFonts w:hint="default" w:ascii="Times New Roman" w:hAnsi="Times New Roman" w:eastAsia="宋体" w:cs="Times New Roman"/>
          <w:color w:val="auto"/>
          <w:sz w:val="28"/>
          <w:szCs w:val="28"/>
          <w:lang w:val="en-US" w:eastAsia="zh-CN"/>
        </w:rPr>
        <w:t>8</w:t>
      </w:r>
      <w:r>
        <w:rPr>
          <w:rFonts w:hint="default" w:ascii="Times New Roman" w:hAnsi="Times New Roman" w:eastAsia="宋体" w:cs="Times New Roman"/>
          <w:color w:val="auto"/>
          <w:sz w:val="28"/>
          <w:szCs w:val="28"/>
        </w:rPr>
        <w:t>项目工程分析</w:t>
      </w:r>
    </w:p>
    <w:p>
      <w:pPr>
        <w:spacing w:line="360" w:lineRule="auto"/>
        <w:jc w:val="left"/>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3.1.</w:t>
      </w:r>
      <w:r>
        <w:rPr>
          <w:rFonts w:hint="default" w:ascii="Times New Roman" w:hAnsi="Times New Roman" w:eastAsia="宋体" w:cs="Times New Roman"/>
          <w:b/>
          <w:color w:val="auto"/>
          <w:sz w:val="28"/>
          <w:szCs w:val="28"/>
          <w:lang w:val="en-US" w:eastAsia="zh-CN"/>
        </w:rPr>
        <w:t>8</w:t>
      </w:r>
      <w:r>
        <w:rPr>
          <w:rFonts w:hint="default" w:ascii="Times New Roman" w:hAnsi="Times New Roman" w:eastAsia="宋体" w:cs="Times New Roman"/>
          <w:b/>
          <w:color w:val="auto"/>
          <w:sz w:val="28"/>
          <w:szCs w:val="28"/>
        </w:rPr>
        <w:t>.1施工期</w:t>
      </w:r>
    </w:p>
    <w:p>
      <w:pPr>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w:t>
      </w:r>
      <w:r>
        <w:rPr>
          <w:rFonts w:hint="default" w:ascii="Times New Roman" w:hAnsi="Times New Roman" w:eastAsia="宋体" w:cs="Times New Roman"/>
          <w:color w:val="auto"/>
          <w:sz w:val="24"/>
          <w:lang w:eastAsia="zh-CN"/>
        </w:rPr>
        <w:t>为扩建项目，现场踏勘时，企业已完成部分建设</w:t>
      </w:r>
      <w:r>
        <w:rPr>
          <w:rFonts w:hint="default" w:ascii="Times New Roman" w:hAnsi="Times New Roman" w:eastAsia="宋体" w:cs="Times New Roman"/>
          <w:color w:val="auto"/>
          <w:sz w:val="24"/>
        </w:rPr>
        <w:t>。</w:t>
      </w:r>
    </w:p>
    <w:p>
      <w:pPr>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施工期工艺流程排污节点图见图3.1-2。</w:t>
      </w:r>
    </w:p>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color w:val="auto"/>
          <w:sz w:val="24"/>
        </w:rPr>
      </w:pPr>
      <w:r>
        <w:rPr>
          <w:rFonts w:hint="default" w:ascii="Times New Roman" w:hAnsi="Times New Roman" w:eastAsia="宋体" w:cs="Times New Roman"/>
          <w:color w:val="auto"/>
          <w:kern w:val="2"/>
          <w:sz w:val="21"/>
          <w:szCs w:val="21"/>
          <w:lang w:val="en-US" w:eastAsia="zh-CN" w:bidi="ar"/>
        </w:rPr>
        <w:drawing>
          <wp:inline distT="0" distB="0" distL="114300" distR="114300">
            <wp:extent cx="5842635" cy="3192145"/>
            <wp:effectExtent l="0" t="0" r="0" b="0"/>
            <wp:docPr id="10"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6" descr="IMG_256"/>
                    <pic:cNvPicPr>
                      <a:picLocks noChangeAspect="1"/>
                    </pic:cNvPicPr>
                  </pic:nvPicPr>
                  <pic:blipFill>
                    <a:blip r:embed="rId32"/>
                    <a:stretch>
                      <a:fillRect/>
                    </a:stretch>
                  </pic:blipFill>
                  <pic:spPr>
                    <a:xfrm>
                      <a:off x="0" y="0"/>
                      <a:ext cx="5842635" cy="3192145"/>
                    </a:xfrm>
                    <a:prstGeom prst="rect">
                      <a:avLst/>
                    </a:prstGeom>
                    <a:noFill/>
                    <a:ln w="9525">
                      <a:noFill/>
                    </a:ln>
                  </pic:spPr>
                </pic:pic>
              </a:graphicData>
            </a:graphic>
          </wp:inline>
        </w:drawing>
      </w:r>
    </w:p>
    <w:p>
      <w:pPr>
        <w:jc w:val="center"/>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图3.1-</w:t>
      </w:r>
      <w:r>
        <w:rPr>
          <w:rFonts w:hint="default" w:ascii="Times New Roman" w:hAnsi="Times New Roman" w:eastAsia="宋体" w:cs="Times New Roman"/>
          <w:b/>
          <w:color w:val="auto"/>
          <w:sz w:val="24"/>
          <w:lang w:val="en-US" w:eastAsia="zh-CN"/>
        </w:rPr>
        <w:t>2</w:t>
      </w:r>
      <w:r>
        <w:rPr>
          <w:rFonts w:hint="default" w:ascii="Times New Roman" w:hAnsi="Times New Roman" w:eastAsia="宋体" w:cs="Times New Roman"/>
          <w:b/>
          <w:color w:val="auto"/>
          <w:sz w:val="24"/>
        </w:rPr>
        <w:t xml:space="preserve"> 施工期工艺流程及排污节点图</w:t>
      </w:r>
    </w:p>
    <w:p>
      <w:pPr>
        <w:tabs>
          <w:tab w:val="left" w:pos="2550"/>
        </w:tabs>
        <w:spacing w:line="360" w:lineRule="auto"/>
        <w:ind w:firstLine="480" w:firstLineChars="200"/>
        <w:rPr>
          <w:rFonts w:hint="default" w:ascii="Times New Roman" w:hAnsi="Times New Roman" w:eastAsia="宋体" w:cs="Times New Roman"/>
          <w:color w:val="auto"/>
          <w:sz w:val="24"/>
        </w:rPr>
      </w:pPr>
    </w:p>
    <w:p>
      <w:pPr>
        <w:tabs>
          <w:tab w:val="left" w:pos="2550"/>
        </w:tabs>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kern w:val="44"/>
          <w:sz w:val="24"/>
        </w:rPr>
        <w:t>工艺流程说明</w:t>
      </w:r>
      <w:r>
        <w:rPr>
          <w:rFonts w:hint="default" w:ascii="Times New Roman" w:hAnsi="Times New Roman" w:eastAsia="宋体" w:cs="Times New Roman"/>
          <w:color w:val="auto"/>
          <w:sz w:val="24"/>
        </w:rPr>
        <w:t>：</w:t>
      </w:r>
    </w:p>
    <w:p>
      <w:pPr>
        <w:tabs>
          <w:tab w:val="left" w:pos="2550"/>
        </w:tabs>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1、清理场地：包括平整场地等；过程中产生粉尘。</w:t>
      </w:r>
    </w:p>
    <w:p>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2、土石方施工：包括挖掘土石方等；过程中产生粉尘、噪声、固废。</w:t>
      </w:r>
    </w:p>
    <w:p>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3、基础施工：包括打桩、砌筑基础等；过程中产生噪声。</w:t>
      </w:r>
    </w:p>
    <w:p>
      <w:pPr>
        <w:tabs>
          <w:tab w:val="left" w:pos="2550"/>
        </w:tabs>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4、结构施工：包括钢结构组装安装工程、砌体工程等；过程中产生噪声、固废。</w:t>
      </w:r>
    </w:p>
    <w:p>
      <w:pPr>
        <w:tabs>
          <w:tab w:val="left" w:pos="2550"/>
        </w:tabs>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5、设备安装：包括各处理间设备等；过程中产生噪声。</w:t>
      </w:r>
    </w:p>
    <w:p>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6、扫尾阶段：包括回填土方、清理现场等；过程中产生粉尘、固废。</w:t>
      </w:r>
    </w:p>
    <w:p>
      <w:pPr>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sz w:val="24"/>
        </w:rPr>
        <w:t>7、投入使用：施工完成，投入使用。</w:t>
      </w:r>
    </w:p>
    <w:p>
      <w:pPr>
        <w:spacing w:line="360" w:lineRule="auto"/>
        <w:jc w:val="left"/>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3.1.</w:t>
      </w:r>
      <w:r>
        <w:rPr>
          <w:rFonts w:hint="default" w:ascii="Times New Roman" w:hAnsi="Times New Roman" w:eastAsia="宋体" w:cs="Times New Roman"/>
          <w:b/>
          <w:color w:val="auto"/>
          <w:sz w:val="28"/>
          <w:szCs w:val="28"/>
          <w:lang w:val="en-US" w:eastAsia="zh-CN"/>
        </w:rPr>
        <w:t>8</w:t>
      </w:r>
      <w:r>
        <w:rPr>
          <w:rFonts w:hint="default" w:ascii="Times New Roman" w:hAnsi="Times New Roman" w:eastAsia="宋体" w:cs="Times New Roman"/>
          <w:b/>
          <w:color w:val="auto"/>
          <w:sz w:val="28"/>
          <w:szCs w:val="28"/>
        </w:rPr>
        <w:t>.2运营期</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1、工艺流程</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bCs/>
          <w:color w:val="auto"/>
          <w:sz w:val="24"/>
          <w:lang w:eastAsia="zh-CN"/>
        </w:rPr>
        <w:t>本</w:t>
      </w:r>
      <w:r>
        <w:rPr>
          <w:rFonts w:hint="default" w:ascii="Times New Roman" w:hAnsi="Times New Roman" w:eastAsia="宋体" w:cs="Times New Roman"/>
          <w:b w:val="0"/>
          <w:color w:val="auto"/>
          <w:sz w:val="24"/>
          <w:szCs w:val="24"/>
        </w:rPr>
        <w:t>项目</w:t>
      </w:r>
      <w:r>
        <w:rPr>
          <w:rFonts w:hint="default" w:ascii="Times New Roman" w:hAnsi="Times New Roman" w:eastAsia="宋体" w:cs="Times New Roman"/>
          <w:kern w:val="0"/>
          <w:sz w:val="24"/>
        </w:rPr>
        <w:t>采用磁选法生产，尾矿干排，主要步骤如下：</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（1）破碎筛分</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破碎产品粒度0～50mm。原矿通过汽车运至</w:t>
      </w:r>
      <w:r>
        <w:rPr>
          <w:rFonts w:hint="default" w:ascii="Times New Roman" w:hAnsi="Times New Roman" w:eastAsia="宋体" w:cs="Times New Roman"/>
          <w:kern w:val="0"/>
          <w:sz w:val="24"/>
          <w:lang w:eastAsia="zh-CN"/>
        </w:rPr>
        <w:t>料仓</w:t>
      </w:r>
      <w:r>
        <w:rPr>
          <w:rFonts w:hint="default" w:ascii="Times New Roman" w:hAnsi="Times New Roman" w:eastAsia="宋体" w:cs="Times New Roman"/>
          <w:kern w:val="0"/>
          <w:sz w:val="24"/>
        </w:rPr>
        <w:t>。通过电振给料机给入颚式破碎机进行粗碎，粗碎产品经输送机给入锤式破碎机进行细碎，再经皮带输送给振动筛进行筛分，筛下产品经输送机给入球磨机。筛上产品经由胶带输送机返回锤式破碎机细碎。</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（2）磨选</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经过破碎、筛分的原矿（0mm～2mm）由皮带机给入球磨机进行磨矿，分级机分级，粗颗粒返回球磨机继续研磨，细颗粒经磁选机一次磁选后进入高频筛，经过二次磁选、三次磁选后产出成品；粗颗粒进入二次磨矿，二次分级后再进入高频筛，进行循环，最多经三次磁选后即为精矿粉。</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（3）精矿脱水</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精矿选用精矿脱水机进行脱水，精矿粉经卸矿皮带卸到精矿堆场，脱水后精矿粉品位在66％以上，水份小于10％，装袋后定期外卖。</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（4）尾矿干排</w:t>
      </w:r>
    </w:p>
    <w:p>
      <w:pPr>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尾矿浓度低、流量大，磁选后尾矿经泵输送至尾矿甩干脱水机旋流脱水，旋流器采用圆形机组布局，利用离心沉降的原理，旋流器底流自流入脱水筛，脱水筛筛下料需返回旋流器形成闭路循环，旋流器溢流后进入</w:t>
      </w:r>
      <w:r>
        <w:rPr>
          <w:rFonts w:hint="default" w:ascii="Times New Roman" w:hAnsi="Times New Roman" w:eastAsia="宋体" w:cs="Times New Roman"/>
          <w:sz w:val="24"/>
          <w:szCs w:val="24"/>
          <w:lang w:eastAsia="zh-CN"/>
        </w:rPr>
        <w:t>浓密罐</w:t>
      </w:r>
      <w:r>
        <w:rPr>
          <w:rFonts w:hint="default" w:ascii="Times New Roman" w:hAnsi="Times New Roman" w:eastAsia="宋体" w:cs="Times New Roman"/>
          <w:sz w:val="24"/>
          <w:szCs w:val="24"/>
        </w:rPr>
        <w:t>，上层清液经泵送回磨选车间，循环使用，尾矿渣定期清掏、脱水后（含水率低于20%）送至</w:t>
      </w:r>
      <w:r>
        <w:rPr>
          <w:rFonts w:hint="default" w:ascii="Times New Roman" w:hAnsi="Times New Roman" w:eastAsia="宋体" w:cs="Times New Roman"/>
          <w:sz w:val="24"/>
          <w:szCs w:val="24"/>
          <w:lang w:eastAsia="zh-CN"/>
        </w:rPr>
        <w:t>历史采坑回填</w:t>
      </w:r>
      <w:r>
        <w:rPr>
          <w:rFonts w:hint="default" w:ascii="Times New Roman" w:hAnsi="Times New Roman" w:eastAsia="宋体" w:cs="Times New Roman"/>
          <w:sz w:val="24"/>
          <w:szCs w:val="24"/>
          <w:lang w:val="en-US" w:eastAsia="zh-CN"/>
        </w:rPr>
        <w:t>。</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sectPr>
          <w:pgSz w:w="11907" w:h="16840"/>
          <w:pgMar w:top="1417" w:right="1417" w:bottom="1417" w:left="1417" w:header="964" w:footer="964" w:gutter="0"/>
          <w:cols w:space="720" w:num="1"/>
          <w:docGrid w:linePitch="312" w:charSpace="0"/>
        </w:sectPr>
      </w:pPr>
      <w:r>
        <w:rPr>
          <w:rFonts w:hint="default" w:ascii="Times New Roman" w:hAnsi="Times New Roman" w:eastAsia="宋体" w:cs="Times New Roman"/>
          <w:sz w:val="24"/>
          <w:szCs w:val="24"/>
          <w:lang w:eastAsia="zh-CN"/>
        </w:rPr>
        <w:t>铁精粉</w:t>
      </w:r>
      <w:r>
        <w:rPr>
          <w:rFonts w:hint="default" w:ascii="Times New Roman" w:hAnsi="Times New Roman" w:eastAsia="宋体" w:cs="Times New Roman"/>
          <w:sz w:val="24"/>
          <w:szCs w:val="24"/>
          <w:lang w:val="en-US" w:eastAsia="zh-CN"/>
        </w:rPr>
        <w:t>生产</w:t>
      </w:r>
      <w:r>
        <w:rPr>
          <w:rFonts w:hint="default" w:ascii="Times New Roman" w:hAnsi="Times New Roman" w:eastAsia="宋体" w:cs="Times New Roman"/>
          <w:sz w:val="24"/>
          <w:szCs w:val="24"/>
        </w:rPr>
        <w:t>工艺流程及产污节点图如下。</w:t>
      </w:r>
    </w:p>
    <w:p>
      <w:pPr>
        <w:widowControl w:val="0"/>
        <w:spacing w:after="120" w:line="480" w:lineRule="auto"/>
        <w:ind w:left="0" w:leftChars="0" w:firstLine="0" w:firstLineChars="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_x0000_s2058" o:spid="_x0000_s2058" o:spt="202" type="#_x0000_t202" style="position:absolute;left:0pt;margin-left:65.55pt;margin-top:5.1pt;height:24pt;width:58.5pt;z-index:251803648;mso-width-relative:page;mso-height-relative:page;" fillcolor="#FFFFFF" filled="t" stroked="t" coordsize="21600,21600" o:gfxdata="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FH1E7dUAAAAJAQAADwAAAAAAAAABACAAAAAiAAAAZHJzL2Rvd25yZXYueG1s&#10;UEsBAhQAFAAAAAgAh07iQOYO5GptAgAA0wQAAA4AAAAAAAAAAQAgAAAAJAEAAGRycy9lMm9Eb2Mu&#10;eG1sUEsFBgAAAAAGAAYAWQEAAAMGA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破碎车间</w:t>
                  </w:r>
                </w:p>
              </w:txbxContent>
            </v:textbox>
          </v:shape>
        </w:pict>
      </w:r>
    </w:p>
    <w:p>
      <w:pPr>
        <w:widowControl w:val="0"/>
        <w:spacing w:after="120" w:line="480" w:lineRule="auto"/>
        <w:ind w:left="0" w:leftChars="0" w:firstLine="0" w:firstLineChars="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_x0000_s2059" o:spid="_x0000_s2059" o:spt="202" type="#_x0000_t202" style="position:absolute;left:0pt;margin-left:135.3pt;margin-top:26.8pt;height:24pt;width:29.3pt;z-index:251851776;mso-width-relative:page;mso-height-relative:page;" filled="f" stroked="f" coordsize="21600,21600" o:gfxdata="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F9Xyx7bAAAACgEAAA8A&#10;AAAAAAAAAQAgAAAAIgAAAGRycy9kb3ducmV2LnhtbFBLAQIUABQAAAAIAIdO4kCejAVBTQIAAIME&#10;AAAOAAAAAAAAAAEAIAAAACoBAABkcnMvZTJvRG9jLnhtbFBLBQYAAAAABgAGAFkBAADp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G</w:t>
                  </w:r>
                </w:p>
              </w:txbxContent>
            </v:textbox>
          </v:shape>
        </w:pict>
      </w:r>
      <w:r>
        <w:rPr>
          <w:rFonts w:hint="default" w:ascii="Times New Roman" w:hAnsi="Times New Roman" w:eastAsia="宋体" w:cs="Times New Roman"/>
          <w:kern w:val="2"/>
          <w:sz w:val="21"/>
          <w:szCs w:val="24"/>
          <w:lang w:val="en-US" w:eastAsia="zh-CN" w:bidi="ar-SA"/>
        </w:rPr>
        <w:pict>
          <v:shape id="_x0000_s2060" o:spid="_x0000_s2060" o:spt="32" type="#_x0000_t32" style="position:absolute;left:0pt;margin-left:97.45pt;margin-top:0.2pt;height:21.75pt;width:0.35pt;z-index:251804672;mso-width-relative:page;mso-height-relative:page;" filled="f" stroked="t" coordsize="21600,21600" o:gfxdata="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64PbLWAAAABwEAAA8AAAAAAAAAAQAg&#10;AAAAIgAAAGRycy9kb3ducmV2LnhtbFBLAQIUABQAAAAIAIdO4kD46iDIEAIAAPIDAAAOAAAAAAAA&#10;AAEAIAAAACUBAABkcnMvZTJvRG9jLnhtbFBLBQYAAAAABgAGAFkBAACnBQAA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061" o:spid="_x0000_s2061" o:spt="202" type="#_x0000_t202" style="position:absolute;left:0pt;margin-left:70.8pt;margin-top:23pt;height:24pt;width:52.5pt;z-index:251803648;mso-width-relative:page;mso-height-relative:page;" fillcolor="#FFFFFF" filled="t" stroked="t" coordsize="21600,21600" o:gfxdata="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3&#10;V7RG1QAAAAkBAAAPAAAAAAAAAAEAIAAAACIAAABkcnMvZG93bnJldi54bWxQSwECFAAUAAAACACH&#10;TuJAAdMTcGACAADIBAAADgAAAAAAAAABACAAAAAkAQAAZHJzL2Uyb0RvYy54bWxQSwUGAAAAAAYA&#10;BgBZAQAA9gU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上料</w:t>
                  </w:r>
                </w:p>
              </w:txbxContent>
            </v:textbox>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_x0000_s2062" o:spid="_x0000_s2062" o:spt="32" type="#_x0000_t32" style="position:absolute;left:0pt;flip:y;margin-left:124.8pt;margin-top:4.9pt;height:0.25pt;width:19.9pt;z-index:251852800;mso-width-relative:page;mso-height-relative:page;" filled="f" stroked="t" coordsize="21600,21600" o:gfxdata="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Epj&#10;YPjUAAAACAEAAA8AAAAAAAAAAQAgAAAAIgAAAGRycy9kb3ducmV2LnhtbFBLAQIUABQAAAAIAIdO&#10;4kCdBbcKJwIAAAcEAAAOAAAAAAAAAAEAIAAAACMBAABkcnMvZTJvRG9jLnhtbFBLBQYAAAAABgAG&#10;AFkBAAC8BQAAAAA=&#10;">
            <v:path arrowok="t"/>
            <v:fill on="f" focussize="0,0"/>
            <v:stroke color="#000000" joinstyle="round" dashstyle="dash" endarrow="block"/>
            <v:imagedata o:title=""/>
            <o:lock v:ext="edit" aspectratio="f"/>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_x0000_s2063" o:spid="_x0000_s2063" o:spt="32" type="#_x0000_t32" style="position:absolute;left:0pt;margin-left:97.8pt;margin-top:5.95pt;height:24pt;width:0pt;z-index:251804672;mso-width-relative:page;mso-height-relative:page;" filled="f" stroked="t" coordsize="21600,21600" o:gfxdata="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G7DgBXXAAAACQEA&#10;AA8AAAAAAAAAAQAgAAAAIgAAAGRycy9kb3ducmV2LnhtbFBLAQIUABQAAAAIAIdO4kB4tHiJGwIA&#10;APsDAAAOAAAAAAAAAAEAIAAAACYBAABkcnMvZTJvRG9jLnhtbFBLBQYAAAAABgAGAFkBAACzBQAA&#10;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064" o:spid="_x0000_s2064" o:spt="202" type="#_x0000_t202" style="position:absolute;left:0pt;margin-left:118.8pt;margin-top:16.8pt;height:24pt;width:41.25pt;z-index:251836416;mso-width-relative:page;mso-height-relative:page;" filled="f" stroked="f" coordsize="21600,21600" o:gfxdata="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2wRRl2gAAAAkBAAAPAAAAAAAAAAEA&#10;IAAAACIAAABkcnMvZG93bnJldi54bWxQSwECFAAUAAAACACHTuJAIE348EYCAAB3BAAADgAAAAAA&#10;AAABACAAAAApAQAAZHJzL2Uyb0RvYy54bWxQSwUGAAAAAAYABgBZAQAA4QU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N</w:t>
                  </w:r>
                </w:p>
              </w:txbxContent>
            </v:textbox>
          </v:shape>
        </w:pict>
      </w:r>
      <w:r>
        <w:rPr>
          <w:rFonts w:hint="default" w:ascii="Times New Roman" w:hAnsi="Times New Roman" w:eastAsia="宋体" w:cs="Times New Roman"/>
          <w:kern w:val="2"/>
          <w:sz w:val="21"/>
          <w:szCs w:val="24"/>
          <w:lang w:val="en-US" w:eastAsia="zh-CN" w:bidi="ar-SA"/>
        </w:rPr>
        <w:pict>
          <v:shape id="_x0000_s2065" o:spid="_x0000_s2065" o:spt="202" type="#_x0000_t202" style="position:absolute;left:0pt;margin-left:97.05pt;margin-top:5.55pt;height:24pt;width:52.5pt;z-index:251827200;mso-width-relative:page;mso-height-relative:page;" filled="f" stroked="f" coordsize="21600,21600" o:gfxdata="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SRaoLXAAAACQEAAA8AAAAAAAAAAQAgAAAAIgAA&#10;AGRycy9kb3ducmV2LnhtbFBLAQIUABQAAAAIAIdO4kDhuJr9QgIAAHcEAAAOAAAAAAAAAAEAIAAA&#10;ACYBAABkcnMvZTJvRG9jLnhtbFBLBQYAAAAABgAGAFkBAADa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粗破</w:t>
                  </w:r>
                </w:p>
              </w:txbxContent>
            </v:textbox>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_x0000_s2066" o:spid="_x0000_s2066" o:spt="202" type="#_x0000_t202" style="position:absolute;left:0pt;margin-left:61.8pt;margin-top:0.1pt;height:24pt;width:69.75pt;z-index:251805696;mso-width-relative:page;mso-height-relative:page;" fillcolor="#FFFFFF" filled="t" stroked="t" coordsize="21600,21600" o:gfxdata="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4ygv00gAAAAcBAAAPAAAAAAAAAAEAIAAAACIAAABkcnMvZG93bnJldi54bWxQ&#10;SwECFAAUAAAACACHTuJAm8zMmm8CAADUBAAADgAAAAAAAAABACAAAAAhAQAAZHJzL2Uyb0RvYy54&#10;bWxQSwUGAAAAAAYABgBZAQAAAgY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颚式破碎机</w:t>
                  </w:r>
                </w:p>
              </w:txbxContent>
            </v:textbox>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_x0000_s2068" o:spid="_x0000_s2068" o:spt="202" type="#_x0000_t202" style="position:absolute;left:0pt;margin-left:91.8pt;margin-top:11.35pt;height:24pt;width:62.25pt;z-index:251801600;mso-width-relative:page;mso-height-relative:page;" filled="f" stroked="f" coordsize="21600,21600" o:gfxdata="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9W5hY2gAAAAkBAAAPAAAAAAAAAAEA&#10;IAAAACIAAABkcnMvZG93bnJldi54bWxQSwECFAAUAAAACACHTuJAi8UOMUYCAAB3BAAADgAAAAAA&#10;AAABACAAAAApAQAAZHJzL2Uyb0RvYy54bWxQSwUGAAAAAAYABgBZAQAA4QU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二次破碎</w:t>
                  </w:r>
                </w:p>
              </w:txbxContent>
            </v:textbox>
          </v:shape>
        </w:pict>
      </w:r>
      <w:r>
        <w:rPr>
          <w:rFonts w:hint="default" w:ascii="Times New Roman" w:hAnsi="Times New Roman" w:eastAsia="宋体" w:cs="Times New Roman"/>
          <w:kern w:val="2"/>
          <w:sz w:val="21"/>
          <w:szCs w:val="24"/>
          <w:lang w:val="en-US" w:eastAsia="zh-CN" w:bidi="ar-SA"/>
        </w:rPr>
        <w:pict>
          <v:shape id="_x0000_s2069" o:spid="_x0000_s2069" o:spt="32" type="#_x0000_t32" style="position:absolute;left:0pt;margin-left:97.05pt;margin-top:13.25pt;height:24pt;width:0pt;z-index:251812864;mso-width-relative:page;mso-height-relative:page;" filled="f" stroked="t" coordsize="21600,21600" o:gfxdata="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Fu2DDZAAAA&#10;CQEAAA8AAAAAAAAAAQAgAAAAIgAAAGRycy9kb3ducmV2LnhtbFBLAQIUABQAAAAIAIdO4kBgZi/I&#10;HAIAAPsDAAAOAAAAAAAAAAEAIAAAACgBAABkcnMvZTJvRG9jLnhtbFBLBQYAAAAABgAGAFkBAAC2&#10;BQAA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070" o:spid="_x0000_s2070" o:spt="202" type="#_x0000_t202" style="position:absolute;left:0pt;margin-left:121.8pt;margin-top:21.1pt;height:24pt;width:41.25pt;z-index:251840512;mso-width-relative:page;mso-height-relative:page;" filled="f" stroked="f" coordsize="21600,21600" o:gfxdata="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tp0Oa2gAAAAkBAAAPAAAAAAAAAAEA&#10;IAAAACIAAABkcnMvZG93bnJldi54bWxQSwECFAAUAAAACACHTuJAYHsiqUYCAAB3BAAADgAAAAAA&#10;AAABACAAAAApAQAAZHJzL2Uyb0RvYy54bWxQSwUGAAAAAAYABgBZAQAA4QU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N</w:t>
                  </w:r>
                </w:p>
              </w:txbxContent>
            </v:textbox>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_x0000_s2071" o:spid="_x0000_s2071" o:spt="202" type="#_x0000_t202" style="position:absolute;left:0pt;margin-left:64.05pt;margin-top:6.65pt;height:24pt;width:69.75pt;z-index:251813888;mso-width-relative:page;mso-height-relative:page;" fillcolor="#FFFFFF" filled="t" stroked="t" coordsize="21600,21600" o:gfxdata="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o3TQq9UAAAAJAQAADwAAAAAAAAABACAAAAAiAAAAZHJzL2Rvd25yZXYueG1s&#10;UEsBAhQAFAAAAAgAh07iQFKA47xtAgAA1AQAAA4AAAAAAAAAAQAgAAAAJAEAAGRycy9lMm9Eb2Mu&#10;eG1sUEsFBgAAAAAGAAYAWQEAAAMGA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锤式破碎机</w:t>
                  </w:r>
                </w:p>
              </w:txbxContent>
            </v:textbox>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_x0000_s2072" o:spid="_x0000_s2072" o:spt="32" type="#_x0000_t32" style="position:absolute;left:0pt;margin-left:97.05pt;margin-top:19pt;height:24pt;width:0pt;z-index:251810816;mso-width-relative:page;mso-height-relative:page;" filled="f" stroked="t" coordsize="21600,21600" o:gfxdata="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Z7hFwNcAAAAJ&#10;AQAADwAAAAAAAAABACAAAAAiAAAAZHJzL2Rvd25yZXYueG1sUEsBAhQAFAAAAAgAh07iQBba0IAd&#10;AgAA+wMAAA4AAAAAAAAAAQAgAAAAJgEAAGRycy9lMm9Eb2MueG1sUEsFBgAAAAAGAAYAWQEAALUF&#10;AAA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073" o:spid="_x0000_s2073" o:spt="202" type="#_x0000_t202" style="position:absolute;left:0pt;margin-left:107.55pt;margin-top:26.1pt;height:24pt;width:41.25pt;z-index:251841536;mso-width-relative:page;mso-height-relative:page;" filled="f" stroked="f" coordsize="21600,21600" o:gfxdata="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G47wR2gAAAAoBAAAPAAAAAAAAAAEA&#10;IAAAACIAAABkcnMvZG93bnJldi54bWxQSwECFAAUAAAACACHTuJAux2s8kYCAAB3BAAADgAAAAAA&#10;AAABACAAAAApAQAAZHJzL2Uyb0RvYy54bWxQSwUGAAAAAAYABgBZAQAA4QU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N</w:t>
                  </w:r>
                </w:p>
              </w:txbxContent>
            </v:textbox>
          </v:shape>
        </w:pict>
      </w:r>
    </w:p>
    <w:p>
      <w:pPr>
        <w:rPr>
          <w:rFonts w:hint="default" w:ascii="Times New Roman" w:hAnsi="Times New Roman" w:eastAsia="宋体" w:cs="Times New Roman"/>
        </w:rPr>
      </w:pP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_x0000_s2074" o:spid="_x0000_s2074" o:spt="202" type="#_x0000_t202" style="position:absolute;left:0pt;margin-left:71.55pt;margin-top:0.35pt;height:24pt;width:52.5pt;z-index:251814912;mso-width-relative:page;mso-height-relative:page;" fillcolor="#FFFFFF" filled="t" stroked="t" coordsize="21600,21600" o:gfxdata="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DlWGD0gAAAAcBAAAPAAAAAAAAAAEAIAAAACIAAABkcnMvZG93bnJldi54bWxQ&#10;SwECFAAUAAAACACHTuJA+yNG8W8CAADUBAAADgAAAAAAAAABACAAAAAhAQAAZHJzL2Uyb0RvYy54&#10;bWxQSwUGAAAAAAYABgBZAQAAAgY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振动筛</w:t>
                  </w:r>
                </w:p>
              </w:txbxContent>
            </v:textbox>
          </v:shape>
        </w:pict>
      </w:r>
      <w:r>
        <w:rPr>
          <w:rFonts w:hint="default" w:ascii="Times New Roman" w:hAnsi="Times New Roman" w:eastAsia="宋体" w:cs="Times New Roman"/>
          <w:kern w:val="2"/>
          <w:sz w:val="21"/>
          <w:szCs w:val="24"/>
          <w:lang w:val="en-US" w:eastAsia="zh-CN" w:bidi="ar-SA"/>
        </w:rPr>
        <w:pict>
          <v:shape id="_x0000_s2075" o:spid="_x0000_s2075" o:spt="32" type="#_x0000_t32" style="position:absolute;left:0pt;margin-left:97.8pt;margin-top:24.8pt;height:24pt;width:0pt;z-index:251811840;mso-width-relative:page;mso-height-relative:page;" filled="f" stroked="t" coordsize="21600,21600" o:gfxdata="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mixiXtgAAAAJAQAA&#10;DwAAAAAAAAABACAAAAAiAAAAZHJzL2Rvd25yZXYueG1sUEsBAhQAFAAAAAgAh07iQHh1gW0ZAgAA&#10;+wMAAA4AAAAAAAAAAQAgAAAAJwEAAGRycy9lMm9Eb2MueG1sUEsFBgAAAAAGAAYAWQEAALIFAAAA&#10;AA==&#10;">
            <v:path arrowok="t"/>
            <v:fill on="f" focussize="0,0"/>
            <v:stroke color="#000000" joinstyle="round" endarrow="block"/>
            <v:imagedata o:title=""/>
            <o:lock v:ext="edit" aspectratio="f"/>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_x0000_s2076" o:spid="_x0000_s2076" o:spt="202" type="#_x0000_t202" style="position:absolute;left:0pt;margin-left:103.05pt;margin-top:1.75pt;height:24pt;width:41.25pt;z-index:251838464;mso-width-relative:page;mso-height-relative:page;" filled="f" stroked="f" coordsize="21600,21600" o:gfxdata="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ZDk0u2AAAAAgBAAAP&#10;AAAAAAAAAAEAIAAAACIAAABkcnMvZG93bnJldi54bWxQSwECFAAUAAAACACHTuJACkRQ9lECAACD&#10;BAAADgAAAAAAAAABACAAAAAnAQAAZHJzL2Uyb0RvYy54bWxQSwUGAAAAAAYABgBZAQAA6gU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N</w:t>
                  </w:r>
                </w:p>
              </w:txbxContent>
            </v:textbox>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_x0000_s2077" o:spid="_x0000_s2077" o:spt="202" type="#_x0000_t202" style="position:absolute;left:0pt;margin-left:70.8pt;margin-top:6.1pt;height:24pt;width:52.5pt;z-index:251815936;mso-width-relative:page;mso-height-relative:page;" fillcolor="#FFFFFF" filled="t" stroked="t" coordsize="21600,21600" o:gfxdata="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MzAN51QAAAAkBAAAPAAAAAAAAAAEAIAAAACIAAABkcnMvZG93bnJldi54&#10;bWxQSwECFAAUAAAACACHTuJAX6pijW8CAADUBAAADgAAAAAAAAABACAAAAAkAQAAZHJzL2Uyb0Rv&#10;Yy54bWxQSwUGAAAAAAYABgBZAQAABQY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球磨机</w:t>
                  </w:r>
                </w:p>
              </w:txbxContent>
            </v:textbox>
          </v:shape>
        </w:pict>
      </w:r>
      <w:r>
        <w:rPr>
          <w:rFonts w:hint="default" w:ascii="Times New Roman" w:hAnsi="Times New Roman" w:eastAsia="宋体" w:cs="Times New Roman"/>
          <w:kern w:val="2"/>
          <w:sz w:val="21"/>
          <w:szCs w:val="24"/>
          <w:lang w:val="en-US" w:eastAsia="zh-CN" w:bidi="ar-SA"/>
        </w:rPr>
        <w:pict>
          <v:group id="_x0000_s2078" o:spid="_x0000_s2078" o:spt="203" style="position:absolute;left:0pt;margin-left:49.5pt;margin-top:18.15pt;height:48.4pt;width:22.8pt;z-index:251846656;mso-width-relative:page;mso-height-relative:page;" coordorigin="8064,715586" coordsize="426,968" o:gfxdata="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">
            <o:lock v:ext="edit" aspectratio="f"/>
            <v:shape id="直接箭头连接符 244" o:spid="_x0000_s2080" o:spt="32" type="#_x0000_t32" style="position:absolute;left:8064;top:715596;flip:x y;height:959;width:0;" filled="f" stroked="t" coordsize="21600,21600" o:gfxdata="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2wGL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shape>
            <v:shape id="直接箭头连接符 245" o:spid="_x0000_s2081" o:spt="32" type="#_x0000_t32" style="position:absolute;left:8064;top:715586;flip:x;height:10;width:426;" filled="f" stroked="t" coordsize="21600,21600" o:gfxdata="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elm8e8AAAA&#10;3AAAAA8AAAAAAAAAAQAgAAAAIgAAAGRycy9kb3ducmV2LnhtbFBLAQIUABQAAAAIAIdO4kAzLwWe&#10;OwAAADkAAAAQAAAAAAAAAAEAIAAAAAsBAABkcnMvc2hhcGV4bWwueG1sUEsFBgAAAAAGAAYAWwEA&#10;ALUDAAAAAA==&#10;">
              <v:path arrowok="t"/>
              <v:fill on="f" focussize="0,0"/>
              <v:stroke color="#000000" joinstyle="round" startarrow="block"/>
              <v:imagedata o:title=""/>
              <o:lock v:ext="edit" aspectratio="f"/>
            </v:shape>
            <v:shape id="直接箭头连接符 245" o:spid="_x0000_s2083" o:spt="32" type="#_x0000_t32" style="position:absolute;left:8079;top:716547;flip:x y;height:2;width:358;" filled="f" stroked="t" coordsize="21600,21600" o:gfxdata="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TeLNb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shape>
          </v:group>
        </w:pict>
      </w:r>
    </w:p>
    <w:p>
      <w:pPr>
        <w:rPr>
          <w:rFonts w:hint="default" w:ascii="Times New Roman" w:hAnsi="Times New Roman" w:eastAsia="宋体" w:cs="Times New Roman"/>
        </w:rPr>
      </w:pPr>
      <w:r>
        <w:rPr>
          <w:rFonts w:hint="default" w:ascii="Times New Roman" w:hAnsi="Times New Roman" w:eastAsia="宋体" w:cs="Times New Roman"/>
          <w:sz w:val="21"/>
        </w:rPr>
        <w:pict>
          <v:shape id="_x0000_s2085" o:spid="_x0000_s2085" o:spt="32" type="#_x0000_t32" style="position:absolute;left:0pt;margin-left:97.8pt;margin-top:1.15pt;height:24pt;width:0pt;z-index:251806720;mso-width-relative:page;mso-height-relative:page;" filled="f" stroked="t" coordsize="21600,21600" o:gfxdata="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A+2QOLXAAAA&#10;CAEAAA8AAAAAAAAAAQAgAAAAIgAAAGRycy9kb3ducmV2LnhtbFBLAQIUABQAAAAIAIdO4kDnHLt2&#10;HgIAAPsDAAAOAAAAAAAAAAEAIAAAACYBAABkcnMvZTJvRG9jLnhtbFBLBQYAAAAABgAGAFkBAAC2&#10;BQAAAAA=&#10;">
            <v:path arrowok="t"/>
            <v:fill on="f" focussize="0,0"/>
            <v:stroke color="#000000" joinstyle="round" endarrow="block"/>
            <v:imagedata o:title=""/>
            <o:lock v:ext="edit" aspectratio="f"/>
          </v:shape>
        </w:pict>
      </w:r>
      <w:r>
        <w:rPr>
          <w:rFonts w:hint="default" w:ascii="Times New Roman" w:hAnsi="Times New Roman" w:eastAsia="宋体" w:cs="Times New Roman"/>
          <w:sz w:val="21"/>
        </w:rPr>
        <w:pict>
          <v:shape id="_x0000_s2086" o:spid="_x0000_s2086" o:spt="202" type="#_x0000_t202" style="position:absolute;left:0pt;margin-left:105.3pt;margin-top:6.75pt;height:24pt;width:41.25pt;z-index:251839488;mso-width-relative:page;mso-height-relative:page;" filled="f" stroked="f" coordsize="21600,21600" o:gfxdata="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Vl9KfaAAAACQEA&#10;AA8AAAAAAAAAAQAgAAAAIgAAAGRycy9kb3ducmV2LnhtbFBLAQIUABQAAAAIAIdO4kAtfty9UQIA&#10;AIMEAAAOAAAAAAAAAAEAIAAAACkBAABkcnMvZTJvRG9jLnhtbFBLBQYAAAAABgAGAFkBAADsBQAA&#10;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N</w:t>
                  </w:r>
                </w:p>
              </w:txbxContent>
            </v:textbox>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_x0000_s2087" o:spid="_x0000_s2087" o:spt="202" type="#_x0000_t202" style="position:absolute;left:0pt;margin-left:70.05pt;margin-top:12.65pt;height:24pt;width:52.5pt;z-index:251817984;mso-width-relative:page;mso-height-relative:page;" fillcolor="#FFFFFF" filled="t" stroked="t" coordsize="21600,21600" o:gfxdata="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bv9919UAAAAJAQAADwAAAAAAAAABACAAAAAiAAAAZHJzL2Rvd25yZXYueG1s&#10;UEsBAhQAFAAAAAgAh07iQDKUAMltAgAA0gQAAA4AAAAAAAAAAQAgAAAAJAEAAGRycy9lMm9Eb2Mu&#10;eG1sUEsFBgAAAAAGAAYAWQEAAAMGA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分级机</w:t>
                  </w:r>
                </w:p>
              </w:txbxContent>
            </v:textbox>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_x0000_s2088" o:spid="_x0000_s2088" o:spt="32" type="#_x0000_t32" style="position:absolute;left:0pt;margin-left:96.3pt;margin-top:7.7pt;height:24pt;width:0pt;z-index:251807744;mso-width-relative:page;mso-height-relative:page;" filled="f" stroked="t" coordsize="21600,21600" o:gfxdata="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qPHpl2AAAAAkB&#10;AAAPAAAAAAAAAAEAIAAAACIAAABkcnMvZG93bnJldi54bWxQSwECFAAUAAAACACHTuJA9nD6mBsC&#10;AAD7AwAADgAAAAAAAAABACAAAAAnAQAAZHJzL2Uyb0RvYy54bWxQSwUGAAAAAAYABgBZAQAAtAUA&#10;AAAA&#10;">
            <v:path arrowok="t"/>
            <v:fill on="f" focussize="0,0"/>
            <v:stroke color="#000000" joinstyle="round" endarrow="block"/>
            <v:imagedata o:title=""/>
            <o:lock v:ext="edit" aspectratio="f"/>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_x0000_s2089" o:spid="_x0000_s2089" o:spt="202" type="#_x0000_t202" style="position:absolute;left:0pt;margin-left:67.8pt;margin-top:19.9pt;height:24pt;width:60.75pt;z-index:251816960;mso-width-relative:page;mso-height-relative:page;" fillcolor="#FFFFFF" filled="t" stroked="t" coordsize="21600,21600" o:gfxdata="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8QGrBtYAAAAJAQAADwAAAAAAAAABACAAAAAiAAAAZHJzL2Rvd25yZXYueG1s&#10;UEsBAhQAFAAAAAgAh07iQDsGWsJsAgAA0wQAAA4AAAAAAAAAAQAgAAAAJQEAAGRycy9lMm9Eb2Mu&#10;eG1sUEsFBgAAAAAGAAYAWQEAAAMGA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一段磁选</w:t>
                  </w:r>
                </w:p>
              </w:txbxContent>
            </v:textbox>
          </v:shape>
        </w:pict>
      </w:r>
      <w:r>
        <w:rPr>
          <w:rFonts w:hint="default" w:ascii="Times New Roman" w:hAnsi="Times New Roman" w:eastAsia="宋体" w:cs="Times New Roman"/>
          <w:kern w:val="2"/>
          <w:sz w:val="21"/>
          <w:szCs w:val="24"/>
          <w:lang w:val="en-US" w:eastAsia="zh-CN" w:bidi="ar-SA"/>
        </w:rPr>
        <w:pict>
          <v:shape id="_x0000_s2090" o:spid="_x0000_s2090" o:spt="202" type="#_x0000_t202" style="position:absolute;left:0pt;margin-left:124.05pt;margin-top:25.2pt;height:24pt;width:41.25pt;z-index:251845632;mso-width-relative:page;mso-height-relative:page;" filled="f" stroked="f" coordsize="21600,21600" o:gfxdata="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1PBkXbAAAACQEAAA8AAAAAAAAA&#10;AQAgAAAAIgAAAGRycy9kb3ducmV2LnhtbFBLAQIUABQAAAAIAIdO4kCNvAT2RwIAAHcEAAAOAAAA&#10;AAAAAAEAIAAAACoBAABkcnMvZTJvRG9jLnhtbFBLBQYAAAAABgAGAFkBAADj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S、W</w:t>
                  </w:r>
                </w:p>
              </w:txbxContent>
            </v:textbox>
          </v:shape>
        </w:pict>
      </w:r>
      <w:r>
        <w:rPr>
          <w:rFonts w:hint="default" w:ascii="Times New Roman" w:hAnsi="Times New Roman" w:eastAsia="宋体" w:cs="Times New Roman"/>
          <w:kern w:val="2"/>
          <w:sz w:val="21"/>
          <w:szCs w:val="24"/>
          <w:lang w:val="en-US" w:eastAsia="zh-CN" w:bidi="ar-SA"/>
        </w:rPr>
        <w:pict>
          <v:shape id="_x0000_s2091" o:spid="_x0000_s2091" o:spt="202" type="#_x0000_t202" style="position:absolute;left:0pt;margin-left:109.05pt;margin-top:4.95pt;height:24pt;width:41.25pt;z-index:251842560;mso-width-relative:page;mso-height-relative:page;" filled="f" stroked="f" coordsize="21600,21600" o:gfxdata="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ABdJU7YAAAACAEAAA8AAAAAAAAAAQAg&#10;AAAAIgAAAGRycy9kb3ducmV2LnhtbFBLAQIUABQAAAAIAIdO4kDWtj4eRwIAAHcEAAAOAAAAAAAA&#10;AAEAIAAAACcBAABkcnMvZTJvRG9jLnhtbFBLBQYAAAAABgAGAFkBAADg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N</w:t>
                  </w:r>
                </w:p>
              </w:txbxContent>
            </v:textbox>
          </v:shape>
        </w:pict>
      </w:r>
      <w:r>
        <w:rPr>
          <w:rFonts w:hint="default" w:ascii="Times New Roman" w:hAnsi="Times New Roman" w:eastAsia="宋体" w:cs="Times New Roman"/>
          <w:kern w:val="2"/>
          <w:sz w:val="21"/>
          <w:szCs w:val="24"/>
          <w:lang w:val="en-US" w:eastAsia="zh-CN" w:bidi="ar-SA"/>
        </w:rPr>
        <w:pict>
          <v:group id="_x0000_s2092" o:spid="_x0000_s2092" o:spt="203" style="position:absolute;left:0pt;margin-left:130.05pt;margin-top:26.4pt;height:194.45pt;width:283.1pt;z-index:251834368;mso-width-relative:page;mso-height-relative:page;" coordorigin="8018,717440" coordsize="5662,3889" o:gfxdata="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">
            <o:lock v:ext="edit" aspectratio="f"/>
            <v:shape id="直接箭头连接符 244" o:spid="_x0000_s2093" o:spt="32" type="#_x0000_t32" style="position:absolute;left:13665;top:717445;flip:y;height:3885;width:0;" filled="f" stroked="t" coordsize="21600,21600" o:gfxdata="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f0kDrsAAADc&#10;AAAADwAAAAAAAAABACAAAAAiAAAAZHJzL2Rvd25yZXYueG1sUEsBAhQAFAAAAAgAh07iQDMvBZ47&#10;AAAAOQAAABAAAAAAAAAAAQAgAAAACgEAAGRycy9zaGFwZXhtbC54bWxQSwUGAAAAAAYABgBbAQAA&#10;tAMAAAAA&#10;">
              <v:path arrowok="t"/>
              <v:fill on="f" focussize="0,0"/>
              <v:stroke color="#000000" joinstyle="round"/>
              <v:imagedata o:title=""/>
              <o:lock v:ext="edit" aspectratio="f"/>
            </v:shape>
            <v:shape id="直接箭头连接符 245" o:spid="_x0000_s2094" o:spt="32" type="#_x0000_t32" style="position:absolute;left:8018;top:717440;height:5;width:5647;" filled="f" stroked="t" coordsize="21600,21600" o:gfxdata="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c7XkvQAA&#10;ANwAAAAPAAAAAAAAAAEAIAAAACIAAABkcnMvZG93bnJldi54bWxQSwECFAAUAAAACACHTuJAMy8F&#10;njsAAAA5AAAAEAAAAAAAAAABACAAAAAMAQAAZHJzL3NoYXBleG1sLnhtbFBLBQYAAAAABgAGAFsB&#10;AAC2AwAAAAA=&#10;">
              <v:path arrowok="t"/>
              <v:fill on="f" focussize="0,0"/>
              <v:stroke color="#000000" joinstyle="round" startarrow="block"/>
              <v:imagedata o:title=""/>
              <o:lock v:ext="edit" aspectratio="f"/>
            </v:shape>
            <v:shape id="直接箭头连接符 243" o:spid="_x0000_s2095" o:spt="32" type="#_x0000_t32" style="position:absolute;left:11948;top:721325;height:5;width:1732;" filled="f" stroked="t" coordsize="21600,21600" o:gfxdata="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mfNrL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shape>
          </v:group>
        </w:pict>
      </w:r>
    </w:p>
    <w:p>
      <w:pPr>
        <w:rPr>
          <w:rFonts w:hint="default" w:ascii="Times New Roman" w:hAnsi="Times New Roman" w:eastAsia="宋体" w:cs="Times New Roman"/>
        </w:rPr>
      </w:pPr>
      <w:r>
        <w:rPr>
          <w:rFonts w:hint="default" w:ascii="Times New Roman" w:hAnsi="Times New Roman" w:eastAsia="宋体" w:cs="Times New Roman"/>
          <w:sz w:val="21"/>
        </w:rPr>
        <w:pict>
          <v:group id="_x0000_s2096" o:spid="_x0000_s2096" o:spt="203" style="position:absolute;left:0pt;margin-left:129.3pt;margin-top:11.15pt;height:91.2pt;width:27.7pt;z-index:251830272;mso-width-relative:page;mso-height-relative:page;" coordorigin="9630,717738" coordsize="554,1824" o:gfxdata="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PANciDaAAAACgEAAA8AAAAAAAAAAQAgAAAA&#10;IgAAAGRycy9kb3ducmV2LnhtbFBLAQIUABQAAAAIAIdO4kBwCJ957QIAAGsLAAAOAAAAAAAAAAEA&#10;IAAAACkBAABkcnMvZTJvRG9jLnhtbFBLBQYAAAAABgAGAFkBAACIBgAAAAA=&#10;">
            <o:lock v:ext="edit" aspectratio="f"/>
            <v:shape id="直接箭头连接符 230" o:spid="_x0000_s2097" o:spt="32" type="#_x0000_t32" style="position:absolute;left:9660;top:718559;height:6;width:525;" filled="f" stroked="t" coordsize="21600,21600" o:gfxdata="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pLSrb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shape>
            <v:shape id="直接箭头连接符 231" o:spid="_x0000_s2098" o:spt="32" type="#_x0000_t32" style="position:absolute;left:9630;top:717738;height:6;width:525;" filled="f" stroked="t" coordsize="21600,21600" o:gfxdata="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53Nr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shape>
            <v:shape id="直接箭头连接符 167" o:spid="_x0000_s2099" o:spt="32" type="#_x0000_t32" style="position:absolute;left:10155;top:717738;height:1824;width:0;" filled="f" stroked="t" coordsize="21600,21600" o:gfxdata="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jfvQr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shape>
            <v:shape id="直接箭头连接符 179" o:spid="_x0000_s2100" o:spt="32" type="#_x0000_t32" style="position:absolute;left:9630;top:719531;height:6;width:525;" filled="f" stroked="t" coordsize="21600,21600" o:gfxdata="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XtK2b4A&#10;AADcAAAADwAAAAAAAAABACAAAAAiAAAAZHJzL2Rvd25yZXYueG1sUEsBAhQAFAAAAAgAh07iQDMv&#10;BZ47AAAAOQAAABAAAAAAAAAAAQAgAAAADQEAAGRycy9zaGFwZXhtbC54bWxQSwUGAAAAAAYABgBb&#10;AQAAtwMAAAAA&#10;">
              <v:path arrowok="t"/>
              <v:fill on="f" focussize="0,0"/>
              <v:stroke color="#000000" joinstyle="round"/>
              <v:imagedata o:title=""/>
              <o:lock v:ext="edit" aspectratio="f"/>
            </v:shape>
          </v:group>
        </w:pict>
      </w:r>
      <w:r>
        <w:rPr>
          <w:rFonts w:hint="default" w:ascii="Times New Roman" w:hAnsi="Times New Roman" w:eastAsia="宋体" w:cs="Times New Roman"/>
          <w:sz w:val="21"/>
        </w:rPr>
        <w:pict>
          <v:shape id="_x0000_s2103" o:spid="_x0000_s2103" o:spt="202" type="#_x0000_t202" style="position:absolute;left:0pt;margin-left:278.55pt;margin-top:7.8pt;height:24pt;width:52.5pt;z-index:251850752;mso-width-relative:page;mso-height-relative:page;" filled="f" stroked="f" coordsize="21600,21600" o:gfxdata="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cw9TWdkAAAAJAQAADwAAAAAAAAABACAAAAAi&#10;AAAAZHJzL2Rvd25yZXYueG1sUEsBAhQAFAAAAAgAh07iQDZTXXlCAgAAdwQAAA4AAAAAAAAAAQAg&#10;AAAAKAEAAGRycy9lMm9Eb2MueG1sUEsFBgAAAAAGAAYAWQEAANwFA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尾矿渣</w:t>
                  </w:r>
                </w:p>
              </w:txbxContent>
            </v:textbox>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_x0000_s2104" o:spid="_x0000_s2104" o:spt="202" type="#_x0000_t202" style="position:absolute;left:0pt;margin-left:67.05pt;margin-top:26.45pt;height:24pt;width:60.75pt;z-index:251819008;mso-width-relative:page;mso-height-relative:page;" fillcolor="#FFFFFF" filled="t" stroked="t" coordsize="21600,21600" o:gfxdata="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nJBjHWAAAACgEAAA8AAAAAAAAAAQAgAAAAIgAAAGRycy9kb3ducmV2&#10;LnhtbFBLAQIUABQAAAAIAIdO4kBM3QB2cAIAANQEAAAOAAAAAAAAAAEAIAAAACUBAABkcnMvZTJv&#10;RG9jLnhtbFBLBQYAAAAABgAGAFkBAAAHBg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二段磁选</w:t>
                  </w:r>
                </w:p>
              </w:txbxContent>
            </v:textbox>
          </v:shape>
        </w:pict>
      </w:r>
      <w:r>
        <w:rPr>
          <w:rFonts w:hint="default" w:ascii="Times New Roman" w:hAnsi="Times New Roman" w:eastAsia="宋体" w:cs="Times New Roman"/>
          <w:kern w:val="2"/>
          <w:sz w:val="21"/>
          <w:szCs w:val="24"/>
          <w:lang w:val="en-US" w:eastAsia="zh-CN" w:bidi="ar-SA"/>
        </w:rPr>
        <w:pict>
          <v:shape id="_x0000_s2105" o:spid="_x0000_s2105" o:spt="32" type="#_x0000_t32" style="position:absolute;left:0pt;margin-left:97.05pt;margin-top:2.15pt;height:24pt;width:0pt;z-index:251809792;mso-width-relative:page;mso-height-relative:page;" filled="f" stroked="t" coordsize="21600,21600" o:gfxdata="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r7DmvYAAAA&#10;CAEAAA8AAAAAAAAAAQAgAAAAIgAAAGRycy9kb3ducmV2LnhtbFBLAQIUABQAAAAIAIdO4kCST06U&#10;HQIAAPsDAAAOAAAAAAAAAAEAIAAAACcBAABkcnMvZTJvRG9jLnhtbFBLBQYAAAAABgAGAFkBAAC2&#10;BQAA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107" o:spid="_x0000_s2107" o:spt="202" type="#_x0000_t202" style="position:absolute;left:0pt;margin-left:121.05pt;margin-top:25pt;height:24pt;width:41.25pt;z-index:251824128;mso-width-relative:page;mso-height-relative:page;" filled="f" stroked="f" coordsize="21600,21600" o:gfxdata="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GMFVx2gAAAAkBAAAPAAAAAAAAAAEA&#10;IAAAACIAAABkcnMvZG93bnJldi54bWxQSwECFAAUAAAACACHTuJAS693GkYCAAB3BAAADgAAAAAA&#10;AAABACAAAAApAQAAZHJzL2Uyb0RvYy54bWxQSwUGAAAAAAYABgBZAQAA4QU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S、W</w:t>
                  </w:r>
                </w:p>
              </w:txbxContent>
            </v:textbox>
          </v:shape>
        </w:pict>
      </w:r>
      <w:r>
        <w:rPr>
          <w:rFonts w:hint="default" w:ascii="Times New Roman" w:hAnsi="Times New Roman" w:eastAsia="宋体" w:cs="Times New Roman"/>
          <w:kern w:val="2"/>
          <w:sz w:val="21"/>
          <w:szCs w:val="24"/>
          <w:lang w:val="en-US" w:eastAsia="zh-CN" w:bidi="ar-SA"/>
        </w:rPr>
        <w:pict>
          <v:shape id="_x0000_s2108" o:spid="_x0000_s2108" o:spt="202" type="#_x0000_t202" style="position:absolute;left:0pt;margin-left:112.8pt;margin-top:10.75pt;height:24pt;width:41.25pt;z-index:251843584;mso-width-relative:page;mso-height-relative:page;" filled="f" stroked="f" coordsize="21600,21600" o:gfxdata="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UpJuT2gAAAAkBAAAPAAAAAAAAAAEA&#10;IAAAACIAAABkcnMvZG93bnJldi54bWxQSwECFAAUAAAACACHTuJADdCwRUYCAAB3BAAADgAAAAAA&#10;AAABACAAAAApAQAAZHJzL2Uyb0RvYy54bWxQSwUGAAAAAAYABgBZAQAA4QU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N</w:t>
                  </w:r>
                </w:p>
              </w:txbxContent>
            </v:textbox>
          </v:shape>
        </w:pict>
      </w:r>
      <w:r>
        <w:rPr>
          <w:rFonts w:hint="default" w:ascii="Times New Roman" w:hAnsi="Times New Roman" w:eastAsia="宋体" w:cs="Times New Roman"/>
          <w:kern w:val="2"/>
          <w:sz w:val="21"/>
          <w:szCs w:val="24"/>
          <w:lang w:val="en-US" w:eastAsia="zh-CN" w:bidi="ar-SA"/>
        </w:rPr>
        <w:pict>
          <v:shape id="_x0000_s2109" o:spid="_x0000_s2109" o:spt="202" type="#_x0000_t202" style="position:absolute;left:0pt;margin-left:182.55pt;margin-top:28.75pt;height:24pt;width:52.5pt;z-index:251821056;mso-width-relative:page;mso-height-relative:page;" filled="f" stroked="f" coordsize="21600,21600" o:gfxdata="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HvXpgvaAAAACgEAAA8AAAAAAAAAAQAgAAAA&#10;IgAAAGRycy9kb3ducmV2LnhtbFBLAQIUABQAAAAIAIdO4kDC91kFQgIAAHcEAAAOAAAAAAAAAAEA&#10;IAAAACkBAABkcnMvZTJvRG9jLnhtbFBLBQYAAAAABgAGAFkBAADd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尾矿渣</w:t>
                  </w:r>
                </w:p>
              </w:txbxContent>
            </v:textbox>
          </v:shape>
        </w:pict>
      </w:r>
      <w:r>
        <w:rPr>
          <w:rFonts w:hint="default" w:ascii="Times New Roman" w:hAnsi="Times New Roman" w:eastAsia="宋体" w:cs="Times New Roman"/>
          <w:kern w:val="2"/>
          <w:sz w:val="21"/>
          <w:szCs w:val="24"/>
          <w:lang w:val="en-US" w:eastAsia="zh-CN" w:bidi="ar-SA"/>
        </w:rPr>
        <w:pict>
          <v:shape id="_x0000_s2110" o:spid="_x0000_s2110" o:spt="32" type="#_x0000_t32" style="position:absolute;left:0pt;flip:x y;margin-left:302.9pt;margin-top:12.95pt;height:16.25pt;width:0.4pt;z-index:251802624;mso-width-relative:page;mso-height-relative:page;" filled="f" stroked="t" coordsize="21600,21600" o:gfxdata="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mDp0r9gAAAAJ&#10;AQAADwAAAAAAAAABACAAAAAiAAAAZHJzL2Rvd25yZXYueG1sUEsBAhQAFAAAAAgAh07iQKsadDIc&#10;AgAABgQAAA4AAAAAAAAAAQAgAAAAJwEAAGRycy9lMm9Eb2MueG1sUEsFBgAAAAAGAAYAWQEAALUF&#10;AAA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111" o:spid="_x0000_s2111" o:spt="202" type="#_x0000_t202" style="position:absolute;left:0pt;margin-left:250.4pt;margin-top:29.65pt;height:21.75pt;width:110.25pt;z-index:251848704;mso-width-relative:page;mso-height-relative:page;" fillcolor="#FFFFFF" filled="t" stroked="t" coordsize="21600,21600" o:gfxdata="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F2qdbVAAAACgEAAA8AAAAAAAAAAQAgAAAAIgAAAGRycy9kb3ducmV2LnhtbFBLAQIUABQAAAAI&#10;AIdO4kD+ESdjYgIAAMkEAAAOAAAAAAAAAAEAIAAAACQBAABkcnMvZTJvRG9jLnhtbFBLBQYAAAAA&#10;BgAGAFkBAAD4BQAAAAA=&#10;">
            <v:path/>
            <v:fill on="t" focussize="0,0"/>
            <v:stroke weight="0.5pt" color="#000000" joinstyle="round"/>
            <v:imagedata o:title=""/>
            <o:lock v:ext="edit" aspectratio="f"/>
            <v:textbox>
              <w:txbxContent>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尾矿渣甩干脱水机</w:t>
                  </w:r>
                </w:p>
              </w:txbxContent>
            </v:textbox>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_x0000_s2112" o:spid="_x0000_s2112" o:spt="32" type="#_x0000_t32" style="position:absolute;left:0pt;margin-left:157.05pt;margin-top:10.3pt;height:0.35pt;width:26.6pt;z-index:251802624;mso-width-relative:page;mso-height-relative:page;" filled="f" stroked="t" coordsize="21600,21600" o:gfxdata="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TMpuutkAAAAJAQAADwAAAAAAAAAB&#10;ACAAAAAiAAAAZHJzL2Rvd25yZXYueG1sUEsBAhQAFAAAAAgAh07iQGq2kSUPAgAA8AMAAA4AAAAA&#10;AAAAAQAgAAAAKAEAAGRycy9lMm9Eb2MueG1sUEsFBgAAAAAGAAYAWQEAAKkFAAAAAA==&#10;">
            <v:path arrowok="t"/>
            <v:fill on="f" focussize="0,0"/>
            <v:stroke color="#000000" joinstyle="round" endarrow="block"/>
            <v:imagedata o:title=""/>
            <o:lock v:ext="edit" aspectratio="f"/>
          </v:shape>
        </w:pict>
      </w:r>
      <w:r>
        <w:rPr>
          <w:rFonts w:hint="default" w:ascii="Times New Roman" w:hAnsi="Times New Roman" w:eastAsia="宋体" w:cs="Times New Roman"/>
          <w:sz w:val="21"/>
        </w:rPr>
        <w:pict>
          <v:shape id="_x0000_s2113" o:spid="_x0000_s2113" o:spt="32" type="#_x0000_t32" style="position:absolute;left:0pt;margin-left:227.55pt;margin-top:8.8pt;height:0.45pt;width:22.85pt;z-index:251802624;mso-width-relative:page;mso-height-relative:page;" filled="f" stroked="t" coordsize="21600,21600" o:gfxdata="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4Iyny2AAAAAkBAAAPAAAAAAAAAAEA&#10;IAAAACIAAABkcnMvZG93bnJldi54bWxQSwECFAAUAAAACACHTuJA6HczXQ8CAADxAwAADgAAAAAA&#10;AAABACAAAAAnAQAAZHJzL2Uyb0RvYy54bWxQSwUGAAAAAAYABgBZAQAAqAUAAAAA&#10;">
            <v:path arrowok="t"/>
            <v:fill on="f" focussize="0,0"/>
            <v:stroke color="#000000" joinstyle="round" endarrow="block"/>
            <v:imagedata o:title=""/>
            <o:lock v:ext="edit" aspectratio="f"/>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_x0000_s2114" o:spid="_x0000_s2114" o:spt="32" type="#_x0000_t32" style="position:absolute;left:0pt;margin-left:97.8pt;margin-top:8.7pt;height:24pt;width:0pt;z-index:251808768;mso-width-relative:page;mso-height-relative:page;" filled="f" stroked="t" coordsize="21600,21600" o:gfxdata="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WvwePYAAAACQEA&#10;AA8AAAAAAAAAAQAgAAAAIgAAAGRycy9kb3ducmV2LnhtbFBLAQIUABQAAAAIAIdO4kB+DA9RGgIA&#10;APsDAAAOAAAAAAAAAAEAIAAAACcBAABkcnMvZTJvRG9jLnhtbFBLBQYAAAAABgAGAFkBAACzBQAA&#10;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115" o:spid="_x0000_s2115" o:spt="32" type="#_x0000_t32" style="position:absolute;left:0pt;margin-left:283.8pt;margin-top:11pt;height:24.35pt;width:0pt;z-index:251836416;mso-width-relative:page;mso-height-relative:page;" filled="f" stroked="t" coordsize="21600,21600" o:gfxdata="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z3kdQAAAAJAQAADwAAAAAAAAABACAAAAAi&#10;AAAAZHJzL2Rvd25yZXYueG1sUEsBAhQAFAAAAAgAh07iQLxwb8QOAgAA7gMAAA4AAAAAAAAAAQAg&#10;AAAAIwEAAGRycy9lMm9Eb2MueG1sUEsFBgAAAAAGAAYAWQEAAKMFAAAAAA==&#10;">
            <v:path arrowok="t"/>
            <v:fill on="f" focussize="0,0"/>
            <v:stroke color="#000000" joinstyle="round" dashstyle="dash"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116" o:spid="_x0000_s2116" o:spt="202" type="#_x0000_t202" style="position:absolute;left:0pt;margin-left:109.05pt;margin-top:15.05pt;height:24pt;width:41.25pt;z-index:251844608;mso-width-relative:page;mso-height-relative:page;" filled="f" stroked="f" coordsize="21600,21600" o:gfxdata="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p2iVg1wAAAAkBAAAPAAAAAAAAAAEAIAAA&#10;ACIAAABkcnMvZG93bnJldi54bWxQSwECFAAUAAAACACHTuJAVtqKrUYCAAB3BAAADgAAAAAAAAAB&#10;ACAAAAAmAQAAZHJzL2Uyb0RvYy54bWxQSwUGAAAAAAYABgBZAQAA3gU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N</w:t>
                  </w:r>
                </w:p>
              </w:txbxContent>
            </v:textbox>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_x0000_s2117" o:spid="_x0000_s2117" o:spt="202" type="#_x0000_t202" style="position:absolute;left:0pt;margin-left:67.8pt;margin-top:2.85pt;height:24pt;width:60.75pt;z-index:251820032;mso-width-relative:page;mso-height-relative:page;" fillcolor="#FFFFFF" filled="t" stroked="t" coordsize="21600,21600" o:gfxdata="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ciboDUAAAACAEAAA8AAAAAAAAAAQAgAAAAIgAAAGRycy9kb3ducmV2Lnht&#10;bFBLAQIUABQAAAAIAIdO4kAi+13FbwIAANQEAAAOAAAAAAAAAAEAIAAAACMBAABkcnMvZTJvRG9j&#10;LnhtbFBLBQYAAAAABgAGAFkBAAAEBgAAAAA=&#10;">
            <v:path/>
            <v:fill on="t" focussize="0,0"/>
            <v:stroke weight="0.5pt"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三段磁选</w:t>
                  </w:r>
                </w:p>
              </w:txbxContent>
            </v:textbox>
          </v:shape>
        </w:pict>
      </w:r>
      <w:r>
        <w:rPr>
          <w:rFonts w:hint="default" w:ascii="Times New Roman" w:hAnsi="Times New Roman" w:eastAsia="宋体" w:cs="Times New Roman"/>
          <w:sz w:val="21"/>
        </w:rPr>
        <w:pict>
          <v:shape id="_x0000_s2118" o:spid="_x0000_s2118" o:spt="202" type="#_x0000_t202" style="position:absolute;left:0pt;margin-left:271.05pt;margin-top:3.65pt;height:24pt;width:33.75pt;z-index:251849728;mso-width-relative:page;mso-height-relative:page;" filled="f" stroked="f" coordsize="21600,21600" o:gfxdata="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Ex1Y+vZAAAACAEAAA8AAAAAAAAAAQAg&#10;AAAAIgAAAGRycy9kb3ducmV2LnhtbFBLAQIUABQAAAAIAIdO4kBa7fJ/RgIAAHcEAAAOAAAAAAAA&#10;AAEAIAAAACgBAABkcnMvZTJvRG9jLnhtbFBLBQYAAAAABgAGAFkBAADg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W</w:t>
                  </w:r>
                </w:p>
              </w:txbxContent>
            </v:textbox>
          </v:shape>
        </w:pict>
      </w:r>
      <w:r>
        <w:rPr>
          <w:rFonts w:hint="default" w:ascii="Times New Roman" w:hAnsi="Times New Roman" w:eastAsia="宋体" w:cs="Times New Roman"/>
          <w:sz w:val="21"/>
        </w:rPr>
        <w:pict>
          <v:shape id="_x0000_s2119" o:spid="_x0000_s2119" o:spt="202" type="#_x0000_t202" style="position:absolute;left:0pt;margin-left:123.3pt;margin-top:1.4pt;height:24pt;width:41.25pt;z-index:251829248;mso-width-relative:page;mso-height-relative:page;" filled="f" stroked="f" coordsize="21600,21600" o:gfxdata="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nNY0vZAAAACAEAAA8AAAAAAAAAAQAg&#10;AAAAIgAAAGRycy9kb3ducmV2LnhtbFBLAQIUABQAAAAIAIdO4kAmBOX2RgIAAHcEAAAOAAAAAAAA&#10;AAEAIAAAACgBAABkcnMvZTJvRG9jLnhtbFBLBQYAAAAABgAGAFkBAADg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S、W</w:t>
                  </w:r>
                </w:p>
              </w:txbxContent>
            </v:textbox>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_x0000_s2120" o:spid="_x0000_s2120" o:spt="32" type="#_x0000_t32" style="position:absolute;left:0pt;margin-left:283.8pt;margin-top:9.25pt;height:70.1pt;width:0.35pt;z-index:251825152;mso-width-relative:page;mso-height-relative:page;" filled="f" stroked="t" coordsize="21600,21600" o:gfxdata="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uatNk2QAAAAoBAAAPAAAAAAAA&#10;AAEAIAAAACIAAABkcnMvZG93bnJldi54bWxQSwECFAAUAAAACACHTuJAX1hZMBECAADyAwAADgAA&#10;AAAAAAABACAAAAAoAQAAZHJzL2Uyb0RvYy54bWxQSwUGAAAAAAYABgBZAQAAqwUAA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121" o:spid="_x0000_s2121" o:spt="32" type="#_x0000_t32" style="position:absolute;left:0pt;margin-left:100.05pt;margin-top:17.5pt;height:24pt;width:0pt;z-index:251802624;mso-width-relative:page;mso-height-relative:page;" filled="f" stroked="t" coordsize="21600,21600" o:gfxdata="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tEA51wAAAAkBAAAPAAAAAAAAAAEAIAAA&#10;ACIAAABkcnMvZG93bnJldi54bWxQSwECFAAUAAAACACHTuJAZge0TQ0CAADvAwAADgAAAAAAAAAB&#10;ACAAAAAmAQAAZHJzL2Uyb0RvYy54bWxQSwUGAAAAAAYABgBZAQAApQUAAAAA&#10;">
            <v:path arrowok="t"/>
            <v:fill on="f" focussize="0,0"/>
            <v:stroke color="#000000" joinstyle="round" endarrow="block"/>
            <v:imagedata o:title=""/>
            <o:lock v:ext="edit" aspectratio="f"/>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_x0000_s2122" o:spid="_x0000_s2122" o:spt="202" type="#_x0000_t202" style="position:absolute;left:0pt;margin-left:295.8pt;margin-top:10.9pt;height:24pt;width:33.75pt;z-index:251835392;mso-width-relative:page;mso-height-relative:page;" filled="f" stroked="f" coordsize="21600,21600" o:gfxdata="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GHBLm/ZAAAACQEAAA8AAAAAAAAAAQAg&#10;AAAAIgAAAGRycy9kb3ducmV2LnhtbFBLAQIUABQAAAAIAIdO4kANwzqCRgIAAHcEAAAOAAAAAAAA&#10;AAEAIAAAACgBAABkcnMvZTJvRG9jLnhtbFBLBQYAAAAABgAGAFkBAADg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S</w:t>
                  </w:r>
                </w:p>
              </w:txbxContent>
            </v:textbox>
          </v:shape>
        </w:pict>
      </w:r>
      <w:r>
        <w:rPr>
          <w:rFonts w:hint="default" w:ascii="Times New Roman" w:hAnsi="Times New Roman" w:eastAsia="宋体" w:cs="Times New Roman"/>
          <w:sz w:val="21"/>
        </w:rPr>
        <w:pict>
          <v:shape id="_x0000_s2123" o:spid="_x0000_s2123" o:spt="32" type="#_x0000_t32" style="position:absolute;left:0pt;flip:y;margin-left:306.3pt;margin-top:-58.9pt;height:67.6pt;width:0.35pt;z-index:251831296;mso-width-relative:page;mso-height-relative:page;" filled="f" stroked="t" coordsize="21600,21600" o:gfxdata="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fLqDjtoAAAALAQAA&#10;DwAAAAAAAAABACAAAAAiAAAAZHJzL2Rvd25yZXYueG1sUEsBAhQAFAAAAAgAh07iQE7qk2UXAgAA&#10;/AMAAA4AAAAAAAAAAQAgAAAAKQEAAGRycy9lMm9Eb2MueG1sUEsFBgAAAAAGAAYAWQEAALIFAAAA&#10;AA==&#10;">
            <v:path arrowok="t"/>
            <v:fill on="f" focussize="0,0"/>
            <v:stroke color="#000000" joinstyle="round" endarrow="block"/>
            <v:imagedata o:title=""/>
            <o:lock v:ext="edit" aspectratio="f"/>
          </v:shape>
        </w:pict>
      </w:r>
      <w:r>
        <w:rPr>
          <w:rFonts w:hint="default" w:ascii="Times New Roman" w:hAnsi="Times New Roman" w:eastAsia="宋体" w:cs="Times New Roman"/>
          <w:sz w:val="21"/>
        </w:rPr>
        <w:pict>
          <v:shape id="_x0000_s2124" o:spid="_x0000_s2124" o:spt="202" type="#_x0000_t202" style="position:absolute;left:0pt;margin-left:72.3pt;margin-top:10.9pt;height:24pt;width:52.5pt;z-index:251832320;mso-width-relative:page;mso-height-relative:page;" filled="f" stroked="f" coordsize="21600,21600" o:gfxdata="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DVmHAtkAAAAJAQAADwAAAAAAAAABACAAAAAi&#10;AAAAZHJzL2Rvd25yZXYueG1sUEsBAhQAFAAAAAgAh07iQFCOvvtCAgAAdwQAAA4AAAAAAAAAAQAg&#10;AAAAKAEAAGRycy9lMm9Eb2MueG1sUEsFBgAAAAAGAAYAWQEAANwFA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铁精粉</w:t>
                  </w:r>
                </w:p>
              </w:txbxContent>
            </v:textbox>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_x0000_s2125" o:spid="_x0000_s2125" o:spt="32" type="#_x0000_t32" style="position:absolute;left:0pt;flip:y;margin-left:306.3pt;margin-top:16.9pt;height:24pt;width:0.35pt;z-index:251828224;mso-width-relative:page;mso-height-relative:page;" filled="f" stroked="t" coordsize="21600,21600" o:gfxdata="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haSnNQAAAAJAQAADwAAAAAA&#10;AAABACAAAAAiAAAAZHJzL2Rvd25yZXYueG1sUEsBAhQAFAAAAAgAh07iQPKqgcgXAgAA+wMAAA4A&#10;AAAAAAAAAQAgAAAAIwEAAGRycy9lMm9Eb2MueG1sUEsFBgAAAAAGAAYAWQEAAKwFAAAAAA==&#10;">
            <v:path arrowok="t"/>
            <v:fill on="f" focussize="0,0"/>
            <v:stroke color="#000000" joinstyle="round" dashstyle="dash"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126" o:spid="_x0000_s2126" o:spt="32" type="#_x0000_t32" style="position:absolute;left:0pt;margin-left:99.3pt;margin-top:15.8pt;height:24pt;width:0pt;z-index:251802624;mso-width-relative:page;mso-height-relative:page;" filled="f" stroked="t" coordsize="21600,21600" o:gfxdata="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GCN0I1wAAAAkBAAAPAAAAAAAAAAEAIAAAACIA&#10;AABkcnMvZG93bnJldi54bWxQSwECFAAUAAAACACHTuJAETKs2QoCAADtAwAADgAAAAAAAAABACAA&#10;AAAmAQAAZHJzL2Uyb0RvYy54bWxQSwUGAAAAAAYABgBZAQAAogUAAAAA&#10;">
            <v:path arrowok="t"/>
            <v:fill on="f" focussize="0,0"/>
            <v:stroke color="#000000" joinstyle="round" endarrow="block"/>
            <v:imagedata o:title=""/>
            <o:lock v:ext="edit" aspectratio="f"/>
          </v:shape>
        </w:pict>
      </w:r>
    </w:p>
    <w:p>
      <w:pPr>
        <w:rPr>
          <w:rFonts w:hint="default" w:ascii="Times New Roman" w:hAnsi="Times New Roman" w:eastAsia="宋体" w:cs="Times New Roman"/>
        </w:rPr>
      </w:pPr>
      <w:r>
        <w:rPr>
          <w:rFonts w:hint="default" w:ascii="Times New Roman" w:hAnsi="Times New Roman" w:eastAsia="宋体" w:cs="Times New Roman"/>
          <w:sz w:val="21"/>
        </w:rPr>
        <w:pict>
          <v:shape id="_x0000_s2127" o:spid="_x0000_s2127" o:spt="202" type="#_x0000_t202" style="position:absolute;left:0pt;margin-left:163.8pt;margin-top:11.45pt;height:24pt;width:41.25pt;z-index:251836416;mso-width-relative:page;mso-height-relative:page;" filled="f" stroked="f" coordsize="21600,21600" o:gfxdata="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CMkLKNsAAAAJAQAADwAAAAAAAAAB&#10;ACAAAAAiAAAAZHJzL2Rvd25yZXYueG1sUEsBAhQAFAAAAAgAh07iQND/IxhGAgAAdwQAAA4AAAAA&#10;AAAAAQAgAAAAKgEAAGRycy9lMm9Eb2MueG1sUEsFBgAAAAAGAAYAWQEAAOIFA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W</w:t>
                  </w:r>
                </w:p>
              </w:txbxContent>
            </v:textbox>
          </v:shape>
        </w:pict>
      </w:r>
      <w:r>
        <w:rPr>
          <w:rFonts w:hint="default" w:ascii="Times New Roman" w:hAnsi="Times New Roman" w:eastAsia="宋体" w:cs="Times New Roman"/>
          <w:sz w:val="21"/>
        </w:rPr>
        <w:pict>
          <v:shape id="_x0000_s2128" o:spid="_x0000_s2128" o:spt="202" type="#_x0000_t202" style="position:absolute;left:0pt;margin-left:326.55pt;margin-top:3.2pt;height:24pt;width:71.25pt;z-index:251837440;mso-width-relative:page;mso-height-relative:page;" filled="f" stroked="f" coordsize="21600,21600" o:gfxdata="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L6uXevaAAAACAEAAA8AAAAAAAAAAQAg&#10;AAAAIgAAAGRycy9kb3ducmV2LnhtbFBLAQIUABQAAAAIAIdO4kDzDYDlRQIAAHcEAAAOAAAAAAAA&#10;AAEAIAAAACkBAABkcnMvZTJvRG9jLnhtbFBLBQYAAAAABgAGAFkBAADg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上层清液</w:t>
                  </w:r>
                </w:p>
              </w:txbxContent>
            </v:textbox>
          </v:shape>
        </w:pict>
      </w:r>
      <w:r>
        <w:rPr>
          <w:rFonts w:hint="default" w:ascii="Times New Roman" w:hAnsi="Times New Roman" w:eastAsia="宋体" w:cs="Times New Roman"/>
          <w:sz w:val="21"/>
        </w:rPr>
        <w:pict>
          <v:shape id="_x0000_s2129" o:spid="_x0000_s2129" o:spt="202" type="#_x0000_t202" style="position:absolute;left:0pt;margin-left:268.4pt;margin-top:11.6pt;height:21.75pt;width:57.75pt;z-index:251833344;mso-width-relative:page;mso-height-relative:page;" fillcolor="#FFFFFF" filled="t" stroked="t" coordsize="21600,21600" o:gfxdata="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l0dOXWAAAACQEAAA8AAAAAAAAAAQAgAAAAIgAAAGRycy9kb3ducmV2LnhtbFBLAQIUABQAAAAI&#10;AIdO4kDnbnH1YQIAAMgEAAAOAAAAAAAAAAEAIAAAACUBAABkcnMvZTJvRG9jLnhtbFBLBQYAAAAA&#10;BgAGAFkBAAD4BQAAAAA=&#10;">
            <v:path/>
            <v:fill on="t" focussize="0,0"/>
            <v:stroke weight="0.5pt" color="#000000" joinstyle="round"/>
            <v:imagedata o:title=""/>
            <o:lock v:ext="edit" aspectratio="f"/>
            <v:textbox>
              <w:txbxContent>
                <w:p>
                  <w:pPr>
                    <w:jc w:val="center"/>
                    <w:rPr>
                      <w:rFonts w:hint="default" w:ascii="Times New Roman" w:hAnsi="Times New Roman" w:eastAsia="宋体" w:cs="Times New Roman"/>
                      <w:lang w:val="en-US" w:eastAsia="zh-CN"/>
                    </w:rPr>
                  </w:pPr>
                  <w:r>
                    <w:rPr>
                      <w:rFonts w:hint="eastAsia" w:cs="Times New Roman"/>
                      <w:lang w:val="en-US" w:eastAsia="zh-CN"/>
                    </w:rPr>
                    <w:t>浓密罐</w:t>
                  </w:r>
                </w:p>
              </w:txbxContent>
            </v:textbox>
          </v:shape>
        </w:pict>
      </w:r>
      <w:r>
        <w:rPr>
          <w:rFonts w:hint="default" w:ascii="Times New Roman" w:hAnsi="Times New Roman" w:eastAsia="宋体" w:cs="Times New Roman"/>
          <w:sz w:val="21"/>
        </w:rPr>
        <w:pict>
          <v:shape id="_x0000_s2130" o:spid="_x0000_s2130" o:spt="202" type="#_x0000_t202" style="position:absolute;left:0pt;margin-left:53.9pt;margin-top:9.35pt;height:21.75pt;width:89.25pt;z-index:251822080;mso-width-relative:page;mso-height-relative:page;" fillcolor="#FFFFFF" filled="t" stroked="t" coordsize="21600,21600" o:gfxdata="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6lpMPVAAAACQEAAA8AAAAAAAAAAQAgAAAAIgAAAGRycy9kb3ducmV2&#10;LnhtbFBLAQIUABQAAAAIAIdO4kByNy7dcQIAANUEAAAOAAAAAAAAAAEAIAAAACQBAABkcnMvZTJv&#10;RG9jLnhtbFBLBQYAAAAABgAGAFkBAAAHBgAAAAA=&#10;">
            <v:path/>
            <v:fill on="t" focussize="0,0"/>
            <v:stroke weight="0.5pt" color="#000000" joinstyle="round"/>
            <v:imagedata o:title=""/>
            <o:lock v:ext="edit" aspectratio="f"/>
            <v:textbox>
              <w:txbxContent>
                <w:p>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精粉甩干脱水机</w:t>
                  </w:r>
                </w:p>
              </w:txbxContent>
            </v:textbox>
          </v:shape>
        </w:pict>
      </w: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_x0000_s2131" o:spid="_x0000_s2131" o:spt="32" type="#_x0000_t32" style="position:absolute;left:0pt;margin-left:181.8pt;margin-top:10.75pt;height:0pt;width:81.35pt;z-index:251847680;mso-width-relative:page;mso-height-relative:page;" filled="f" stroked="t" coordsize="21600,21600" o:gfxdata="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sDustgAAAAJAQAADwAAAAAAAAABACAA&#10;AAAiAAAAZHJzL2Rvd25yZXYueG1sUEsBAhQAFAAAAAgAh07iQBbXjBwNAgAA8AMAAA4AAAAAAAAA&#10;AQAgAAAAJwEAAGRycy9lMm9Eb2MueG1sUEsFBgAAAAAGAAYAWQEAAKYFAAAAAA==&#10;">
            <v:path arrowok="t"/>
            <v:fill on="f" focussize="0,0"/>
            <v:stroke color="#000000" joinstyle="round"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132" o:spid="_x0000_s2132" o:spt="32" type="#_x0000_t32" style="position:absolute;left:0pt;margin-left:143.55pt;margin-top:10pt;height:0pt;width:21.75pt;z-index:251823104;mso-width-relative:page;mso-height-relative:page;" filled="f" stroked="t" coordsize="21600,21600" o:gfxdata="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na9bXUAAAACQEAAA8AAAAAAAAAAQAgAAAAIgAA&#10;AGRycy9kb3ducmV2LnhtbFBLAQIUABQAAAAIAIdO4kBKeDGVDAIAAO4DAAAOAAAAAAAAAAEAIAAA&#10;ACMBAABkcnMvZTJvRG9jLnhtbFBLBQYAAAAABgAGAFkBAAChBQAAAAA=&#10;">
            <v:path arrowok="t"/>
            <v:fill on="f" focussize="0,0"/>
            <v:stroke color="#000000" joinstyle="round" dashstyle="dash" endarrow="block"/>
            <v:imagedata o:title=""/>
            <o:lock v:ext="edit" aspectratio="f"/>
          </v:shape>
        </w:pict>
      </w:r>
      <w:r>
        <w:rPr>
          <w:rFonts w:hint="default" w:ascii="Times New Roman" w:hAnsi="Times New Roman" w:eastAsia="宋体" w:cs="Times New Roman"/>
          <w:kern w:val="2"/>
          <w:sz w:val="21"/>
          <w:szCs w:val="24"/>
          <w:lang w:val="en-US" w:eastAsia="zh-CN" w:bidi="ar-SA"/>
        </w:rPr>
        <w:pict>
          <v:shape id="_x0000_s2133" o:spid="_x0000_s2133" o:spt="32" type="#_x0000_t32" style="position:absolute;left:0pt;margin-left:98.55pt;margin-top:20.05pt;height:24pt;width:0pt;z-index:251802624;mso-width-relative:page;mso-height-relative:page;" filled="f" stroked="t" coordsize="21600,21600" o:gfxdata="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tjsRs1wAAAAkBAAAPAAAAAAAAAAEAIAAAACIA&#10;AABkcnMvZG93bnJldi54bWxQSwECFAAUAAAACACHTuJAceLU1woCAADtAwAADgAAAAAAAAABACAA&#10;AAAmAQAAZHJzL2Uyb0RvYy54bWxQSwUGAAAAAAYABgBZAQAAogUAAAAA&#10;">
            <v:path arrowok="t"/>
            <v:fill on="f" focussize="0,0"/>
            <v:stroke color="#000000" joinstyle="round" endarrow="block"/>
            <v:imagedata o:title=""/>
            <o:lock v:ext="edit" aspectratio="f"/>
          </v:shape>
        </w:pict>
      </w:r>
    </w:p>
    <w:p>
      <w:pPr>
        <w:rPr>
          <w:rFonts w:hint="default" w:ascii="Times New Roman" w:hAnsi="Times New Roman" w:eastAsia="宋体" w:cs="Times New Roman"/>
        </w:rPr>
      </w:pPr>
    </w:p>
    <w:p>
      <w:pPr>
        <w:widowControl w:val="0"/>
        <w:spacing w:after="120" w:line="480" w:lineRule="auto"/>
        <w:ind w:left="420" w:leftChars="200"/>
        <w:jc w:val="both"/>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pict>
          <v:shape id="_x0000_s2134" o:spid="_x0000_s2134" o:spt="202" type="#_x0000_t202" style="position:absolute;left:0pt;margin-left:73.05pt;margin-top:1.4pt;height:24pt;width:52.5pt;z-index:251826176;mso-width-relative:page;mso-height-relative:page;" filled="f" stroked="f" coordsize="21600,21600" o:gfxdata="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GlmgbXAAAACAEAAA8AAAAAAAAAAQAgAAAAIgAA&#10;AGRycy9kb3ducmV2LnhtbFBLAQIUABQAAAAIAIdO4kBCJ5hrQgIAAHcEAAAOAAAAAAAAAAEAIAAA&#10;ACYBAABkcnMvZTJvRG9jLnhtbFBLBQYAAAAABgAGAFkBAADaBQAAAAA=&#10;">
            <v:path/>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产品</w:t>
                  </w:r>
                </w:p>
              </w:txbxContent>
            </v:textbox>
          </v:shape>
        </w:pict>
      </w:r>
    </w:p>
    <w:p>
      <w:pPr>
        <w:spacing w:before="156" w:beforeLines="50" w:line="480" w:lineRule="exact"/>
        <w:jc w:val="center"/>
        <w:rPr>
          <w:rFonts w:hint="default" w:ascii="Times New Roman" w:hAnsi="Times New Roman" w:eastAsia="宋体" w:cs="Times New Roman"/>
          <w:b/>
          <w:bCs/>
          <w:sz w:val="24"/>
          <w:szCs w:val="24"/>
          <w:highlight w:val="none"/>
        </w:rPr>
      </w:pPr>
    </w:p>
    <w:p>
      <w:pPr>
        <w:spacing w:line="360" w:lineRule="auto"/>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bCs/>
          <w:sz w:val="24"/>
          <w:szCs w:val="24"/>
          <w:highlight w:val="none"/>
        </w:rPr>
        <w:t>图</w:t>
      </w:r>
      <w:r>
        <w:rPr>
          <w:rFonts w:hint="default" w:ascii="Times New Roman" w:hAnsi="Times New Roman" w:eastAsia="宋体" w:cs="Times New Roman"/>
          <w:b/>
          <w:bCs/>
          <w:sz w:val="24"/>
          <w:szCs w:val="24"/>
          <w:highlight w:val="none"/>
          <w:lang w:val="en-US" w:eastAsia="zh-CN"/>
        </w:rPr>
        <w:t>3.1-3</w:t>
      </w:r>
      <w:r>
        <w:rPr>
          <w:rFonts w:hint="default" w:ascii="Times New Roman" w:hAnsi="Times New Roman" w:eastAsia="宋体" w:cs="Times New Roman"/>
          <w:b/>
          <w:bCs/>
          <w:sz w:val="24"/>
          <w:szCs w:val="24"/>
          <w:highlight w:val="none"/>
        </w:rPr>
        <w:t xml:space="preserve">  </w:t>
      </w:r>
      <w:r>
        <w:rPr>
          <w:rFonts w:hint="default" w:ascii="Times New Roman" w:hAnsi="Times New Roman" w:eastAsia="宋体" w:cs="Times New Roman"/>
          <w:b/>
          <w:bCs/>
          <w:color w:val="auto"/>
          <w:kern w:val="0"/>
          <w:sz w:val="24"/>
          <w:szCs w:val="24"/>
          <w:highlight w:val="none"/>
          <w:lang w:val="en-US" w:eastAsia="zh-CN"/>
        </w:rPr>
        <w:t>铁精粉</w:t>
      </w:r>
      <w:r>
        <w:rPr>
          <w:rFonts w:hint="default" w:ascii="Times New Roman" w:hAnsi="Times New Roman" w:eastAsia="宋体" w:cs="Times New Roman"/>
          <w:b/>
          <w:bCs/>
          <w:color w:val="auto"/>
          <w:kern w:val="0"/>
          <w:sz w:val="24"/>
          <w:szCs w:val="24"/>
          <w:highlight w:val="none"/>
        </w:rPr>
        <w:t>生产工艺及产</w:t>
      </w:r>
      <w:r>
        <w:rPr>
          <w:rFonts w:hint="default" w:ascii="Times New Roman" w:hAnsi="Times New Roman" w:eastAsia="宋体" w:cs="Times New Roman"/>
          <w:b/>
          <w:bCs/>
          <w:color w:val="auto"/>
          <w:kern w:val="0"/>
          <w:sz w:val="24"/>
          <w:szCs w:val="24"/>
          <w:highlight w:val="none"/>
          <w:lang w:val="en-US" w:eastAsia="zh-CN"/>
        </w:rPr>
        <w:t>污</w:t>
      </w:r>
      <w:r>
        <w:rPr>
          <w:rFonts w:hint="default" w:ascii="Times New Roman" w:hAnsi="Times New Roman" w:eastAsia="宋体" w:cs="Times New Roman"/>
          <w:b/>
          <w:bCs/>
          <w:color w:val="auto"/>
          <w:kern w:val="0"/>
          <w:sz w:val="24"/>
          <w:szCs w:val="24"/>
          <w:highlight w:val="none"/>
        </w:rPr>
        <w:t>节点流程</w:t>
      </w:r>
      <w:r>
        <w:rPr>
          <w:rFonts w:hint="default" w:ascii="Times New Roman" w:hAnsi="Times New Roman" w:eastAsia="宋体" w:cs="Times New Roman"/>
          <w:b/>
          <w:color w:val="auto"/>
          <w:sz w:val="24"/>
          <w:highlight w:val="none"/>
        </w:rPr>
        <w:t>图</w:t>
      </w:r>
    </w:p>
    <w:p>
      <w:pPr>
        <w:bidi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2、产污环节</w:t>
      </w:r>
    </w:p>
    <w:p>
      <w:pPr>
        <w:bidi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项目污染物产生节点见下表。</w:t>
      </w:r>
    </w:p>
    <w:p>
      <w:pPr>
        <w:spacing w:beforeLines="50" w:line="480" w:lineRule="exact"/>
        <w:rPr>
          <w:rFonts w:hint="default" w:ascii="Times New Roman" w:hAnsi="Times New Roman" w:eastAsia="宋体" w:cs="Times New Roman"/>
          <w:color w:val="auto"/>
          <w:sz w:val="24"/>
          <w:szCs w:val="22"/>
          <w:lang w:eastAsia="zh-CN"/>
        </w:rPr>
      </w:pPr>
      <w:r>
        <w:rPr>
          <w:rFonts w:hint="default" w:ascii="Times New Roman" w:hAnsi="Times New Roman" w:eastAsia="宋体" w:cs="Times New Roman"/>
          <w:color w:val="auto"/>
          <w:sz w:val="24"/>
          <w:szCs w:val="22"/>
          <w:lang w:eastAsia="zh-CN"/>
        </w:rPr>
        <w:t>表</w:t>
      </w:r>
      <w:r>
        <w:rPr>
          <w:rFonts w:hint="default" w:ascii="Times New Roman" w:hAnsi="Times New Roman" w:eastAsia="宋体" w:cs="Times New Roman"/>
          <w:color w:val="auto"/>
          <w:sz w:val="24"/>
          <w:szCs w:val="22"/>
          <w:lang w:val="en-US" w:eastAsia="zh-CN"/>
        </w:rPr>
        <w:t xml:space="preserve">3.1-8                     </w:t>
      </w:r>
      <w:r>
        <w:rPr>
          <w:rFonts w:hint="default" w:ascii="Times New Roman" w:hAnsi="Times New Roman" w:eastAsia="宋体" w:cs="Times New Roman"/>
          <w:color w:val="auto"/>
          <w:sz w:val="24"/>
          <w:szCs w:val="22"/>
          <w:lang w:eastAsia="zh-CN"/>
        </w:rPr>
        <w:t xml:space="preserve"> 污染物产生节点</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8"/>
        <w:gridCol w:w="1886"/>
        <w:gridCol w:w="1900"/>
        <w:gridCol w:w="468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noWrap w:val="0"/>
            <w:vAlign w:val="center"/>
          </w:tcPr>
          <w:p>
            <w:pPr>
              <w:ind w:left="-111" w:leftChars="-53" w:right="-84"/>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1886"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产污工序</w:t>
            </w:r>
          </w:p>
        </w:tc>
        <w:tc>
          <w:tcPr>
            <w:tcW w:w="1900"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污染物描述</w:t>
            </w:r>
          </w:p>
        </w:tc>
        <w:tc>
          <w:tcPr>
            <w:tcW w:w="4683"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治理措施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restar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p>
        </w:tc>
        <w:tc>
          <w:tcPr>
            <w:tcW w:w="1886" w:type="dxa"/>
            <w:noWrap w:val="0"/>
            <w:vAlign w:val="center"/>
          </w:tcPr>
          <w:p>
            <w:pPr>
              <w:ind w:left="-124" w:leftChars="-59" w:right="-107" w:rightChars="-5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lang w:val="en-US" w:eastAsia="zh-CN"/>
              </w:rPr>
              <w:t>颚式破碎</w:t>
            </w:r>
          </w:p>
        </w:tc>
        <w:tc>
          <w:tcPr>
            <w:tcW w:w="1900"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4683" w:type="dxa"/>
            <w:vMerge w:val="restart"/>
            <w:noWrap w:val="0"/>
            <w:vAlign w:val="center"/>
          </w:tcPr>
          <w:p>
            <w:pPr>
              <w:ind w:left="-107" w:leftChars="-51" w:right="-86" w:rightChars="-4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bCs/>
                <w:color w:val="auto"/>
                <w:sz w:val="21"/>
                <w:szCs w:val="21"/>
                <w:lang w:val="en-US" w:eastAsia="zh-CN"/>
              </w:rPr>
              <w:t>集尘罩收集后经布袋除尘器处理通过1</w:t>
            </w:r>
            <w:r>
              <w:rPr>
                <w:rFonts w:hint="default" w:ascii="Times New Roman" w:hAnsi="Times New Roman" w:eastAsia="宋体" w:cs="Times New Roman"/>
                <w:b w:val="0"/>
                <w:bCs/>
                <w:color w:val="auto"/>
                <w:sz w:val="21"/>
                <w:szCs w:val="21"/>
              </w:rPr>
              <w:t>5m</w:t>
            </w:r>
            <w:r>
              <w:rPr>
                <w:rFonts w:hint="default" w:ascii="Times New Roman" w:hAnsi="Times New Roman" w:eastAsia="宋体" w:cs="Times New Roman"/>
                <w:b w:val="0"/>
                <w:bCs/>
                <w:color w:val="auto"/>
                <w:sz w:val="21"/>
                <w:szCs w:val="21"/>
                <w:lang w:val="en-US" w:eastAsia="zh-CN"/>
              </w:rPr>
              <w:t>高</w:t>
            </w:r>
            <w:r>
              <w:rPr>
                <w:rFonts w:hint="default" w:ascii="Times New Roman" w:hAnsi="Times New Roman" w:eastAsia="宋体" w:cs="Times New Roman"/>
                <w:b w:val="0"/>
                <w:bCs/>
                <w:color w:val="auto"/>
                <w:sz w:val="21"/>
                <w:szCs w:val="21"/>
              </w:rPr>
              <w:t>排放</w:t>
            </w:r>
            <w:r>
              <w:rPr>
                <w:rFonts w:hint="default" w:ascii="Times New Roman" w:hAnsi="Times New Roman" w:eastAsia="宋体" w:cs="Times New Roman"/>
                <w:b w:val="0"/>
                <w:bCs/>
                <w:color w:val="auto"/>
                <w:sz w:val="21"/>
                <w:szCs w:val="21"/>
                <w:lang w:val="en-US" w:eastAsia="zh-CN"/>
              </w:rPr>
              <w:t>筒（P1）排放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noWrap w:val="0"/>
            <w:vAlign w:val="center"/>
          </w:tcPr>
          <w:p>
            <w:pPr>
              <w:jc w:val="center"/>
              <w:rPr>
                <w:rFonts w:hint="default" w:ascii="Times New Roman" w:hAnsi="Times New Roman" w:eastAsia="宋体" w:cs="Times New Roman"/>
                <w:color w:val="auto"/>
                <w:sz w:val="21"/>
                <w:szCs w:val="21"/>
              </w:rPr>
            </w:pPr>
          </w:p>
        </w:tc>
        <w:tc>
          <w:tcPr>
            <w:tcW w:w="1886" w:type="dxa"/>
            <w:noWrap w:val="0"/>
            <w:vAlign w:val="center"/>
          </w:tcPr>
          <w:p>
            <w:pPr>
              <w:ind w:left="-124" w:leftChars="-59" w:right="-107" w:rightChars="-5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lang w:val="en-US" w:eastAsia="zh-CN"/>
              </w:rPr>
              <w:t>锤式破碎</w:t>
            </w:r>
          </w:p>
        </w:tc>
        <w:tc>
          <w:tcPr>
            <w:tcW w:w="1900"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4683" w:type="dxa"/>
            <w:vMerge w:val="continue"/>
            <w:noWrap w:val="0"/>
            <w:vAlign w:val="center"/>
          </w:tcPr>
          <w:p>
            <w:pPr>
              <w:ind w:left="-107" w:leftChars="-51" w:right="-86" w:rightChars="-41"/>
              <w:jc w:val="center"/>
              <w:rPr>
                <w:rFonts w:hint="default" w:ascii="Times New Roman" w:hAnsi="Times New Roman" w:eastAsia="宋体" w:cs="Times New Roman"/>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noWrap w:val="0"/>
            <w:vAlign w:val="center"/>
          </w:tcPr>
          <w:p>
            <w:pPr>
              <w:jc w:val="center"/>
              <w:rPr>
                <w:rFonts w:hint="default" w:ascii="Times New Roman" w:hAnsi="Times New Roman" w:eastAsia="宋体" w:cs="Times New Roman"/>
                <w:color w:val="auto"/>
                <w:sz w:val="21"/>
                <w:szCs w:val="21"/>
              </w:rPr>
            </w:pPr>
          </w:p>
        </w:tc>
        <w:tc>
          <w:tcPr>
            <w:tcW w:w="188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lang w:val="en-US" w:eastAsia="zh-CN"/>
              </w:rPr>
              <w:t>振动筛</w:t>
            </w:r>
          </w:p>
        </w:tc>
        <w:tc>
          <w:tcPr>
            <w:tcW w:w="1900"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4683" w:type="dxa"/>
            <w:vMerge w:val="continue"/>
            <w:noWrap w:val="0"/>
            <w:vAlign w:val="center"/>
          </w:tcPr>
          <w:p>
            <w:pPr>
              <w:ind w:left="-107" w:leftChars="-51" w:right="-86" w:rightChars="-41"/>
              <w:jc w:val="center"/>
              <w:rPr>
                <w:rFonts w:hint="default" w:ascii="Times New Roman" w:hAnsi="Times New Roman" w:eastAsia="宋体" w:cs="Times New Roman"/>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noWrap w:val="0"/>
            <w:vAlign w:val="center"/>
          </w:tcPr>
          <w:p>
            <w:pPr>
              <w:jc w:val="center"/>
              <w:rPr>
                <w:rFonts w:hint="default" w:ascii="Times New Roman" w:hAnsi="Times New Roman" w:eastAsia="宋体" w:cs="Times New Roman"/>
                <w:color w:val="auto"/>
                <w:sz w:val="21"/>
                <w:szCs w:val="21"/>
              </w:rPr>
            </w:pPr>
          </w:p>
        </w:tc>
        <w:tc>
          <w:tcPr>
            <w:tcW w:w="1886" w:type="dxa"/>
            <w:noWrap w:val="0"/>
            <w:vAlign w:val="center"/>
          </w:tcPr>
          <w:p>
            <w:pPr>
              <w:ind w:left="-124" w:leftChars="-59" w:right="-107" w:rightChars="-5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皮带输送</w:t>
            </w:r>
          </w:p>
        </w:tc>
        <w:tc>
          <w:tcPr>
            <w:tcW w:w="1900"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4683" w:type="dxa"/>
            <w:noWrap w:val="0"/>
            <w:vAlign w:val="center"/>
          </w:tcPr>
          <w:p>
            <w:pPr>
              <w:ind w:left="-107" w:leftChars="-51" w:right="-86" w:rightChars="-41"/>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皮带封闭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noWrap w:val="0"/>
            <w:vAlign w:val="center"/>
          </w:tcPr>
          <w:p>
            <w:pPr>
              <w:jc w:val="center"/>
              <w:rPr>
                <w:rFonts w:hint="default" w:ascii="Times New Roman" w:hAnsi="Times New Roman" w:eastAsia="宋体" w:cs="Times New Roman"/>
                <w:color w:val="auto"/>
                <w:sz w:val="21"/>
                <w:szCs w:val="21"/>
              </w:rPr>
            </w:pPr>
          </w:p>
        </w:tc>
        <w:tc>
          <w:tcPr>
            <w:tcW w:w="1886" w:type="dxa"/>
            <w:noWrap w:val="0"/>
            <w:vAlign w:val="center"/>
          </w:tcPr>
          <w:p>
            <w:pPr>
              <w:ind w:left="-124" w:leftChars="-59" w:right="-107" w:rightChars="-5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生产车间</w:t>
            </w:r>
          </w:p>
        </w:tc>
        <w:tc>
          <w:tcPr>
            <w:tcW w:w="1900"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颗粒物</w:t>
            </w:r>
          </w:p>
        </w:tc>
        <w:tc>
          <w:tcPr>
            <w:tcW w:w="4683" w:type="dxa"/>
            <w:vMerge w:val="restart"/>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zCs w:val="21"/>
                <w:lang w:eastAsia="zh-CN"/>
              </w:rPr>
              <w:t>封闭式，</w:t>
            </w:r>
            <w:r>
              <w:rPr>
                <w:rFonts w:hint="default" w:ascii="Times New Roman" w:hAnsi="Times New Roman" w:eastAsia="宋体" w:cs="Times New Roman"/>
                <w:szCs w:val="21"/>
              </w:rPr>
              <w:t>洒水抑尘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noWrap w:val="0"/>
            <w:vAlign w:val="center"/>
          </w:tcPr>
          <w:p>
            <w:pPr>
              <w:jc w:val="center"/>
              <w:rPr>
                <w:rFonts w:hint="default" w:ascii="Times New Roman" w:hAnsi="Times New Roman" w:eastAsia="宋体" w:cs="Times New Roman"/>
                <w:color w:val="auto"/>
                <w:sz w:val="21"/>
                <w:szCs w:val="21"/>
              </w:rPr>
            </w:pPr>
          </w:p>
        </w:tc>
        <w:tc>
          <w:tcPr>
            <w:tcW w:w="1886"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料仓</w:t>
            </w:r>
          </w:p>
        </w:tc>
        <w:tc>
          <w:tcPr>
            <w:tcW w:w="1900"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4683" w:type="dxa"/>
            <w:vMerge w:val="continue"/>
            <w:noWrap w:val="0"/>
            <w:vAlign w:val="center"/>
          </w:tcPr>
          <w:p>
            <w:pPr>
              <w:jc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restar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1886"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选矿</w:t>
            </w:r>
          </w:p>
        </w:tc>
        <w:tc>
          <w:tcPr>
            <w:tcW w:w="1900" w:type="dxa"/>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选矿</w:t>
            </w:r>
            <w:r>
              <w:rPr>
                <w:rFonts w:hint="default" w:ascii="Times New Roman" w:hAnsi="Times New Roman" w:eastAsia="宋体" w:cs="Times New Roman"/>
                <w:color w:val="auto"/>
                <w:sz w:val="21"/>
                <w:szCs w:val="21"/>
                <w:lang w:eastAsia="zh-CN"/>
              </w:rPr>
              <w:t>废水</w:t>
            </w:r>
          </w:p>
        </w:tc>
        <w:tc>
          <w:tcPr>
            <w:tcW w:w="4683"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回用于生产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noWrap w:val="0"/>
            <w:vAlign w:val="center"/>
          </w:tcPr>
          <w:p>
            <w:pPr>
              <w:jc w:val="center"/>
              <w:rPr>
                <w:rFonts w:hint="default" w:ascii="Times New Roman" w:hAnsi="Times New Roman" w:eastAsia="宋体" w:cs="Times New Roman"/>
                <w:color w:val="auto"/>
                <w:sz w:val="21"/>
                <w:szCs w:val="21"/>
              </w:rPr>
            </w:pPr>
          </w:p>
        </w:tc>
        <w:tc>
          <w:tcPr>
            <w:tcW w:w="1886"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逸尘</w:t>
            </w:r>
          </w:p>
        </w:tc>
        <w:tc>
          <w:tcPr>
            <w:tcW w:w="1900"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逸尘</w:t>
            </w:r>
          </w:p>
        </w:tc>
        <w:tc>
          <w:tcPr>
            <w:tcW w:w="4683"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直接蒸发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noWrap w:val="0"/>
            <w:vAlign w:val="center"/>
          </w:tcPr>
          <w:p>
            <w:pPr>
              <w:jc w:val="center"/>
              <w:rPr>
                <w:rFonts w:hint="default" w:ascii="Times New Roman" w:hAnsi="Times New Roman" w:eastAsia="宋体" w:cs="Times New Roman"/>
                <w:color w:val="auto"/>
                <w:sz w:val="21"/>
                <w:szCs w:val="21"/>
              </w:rPr>
            </w:pPr>
          </w:p>
        </w:tc>
        <w:tc>
          <w:tcPr>
            <w:tcW w:w="1886"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员工生活</w:t>
            </w:r>
          </w:p>
        </w:tc>
        <w:tc>
          <w:tcPr>
            <w:tcW w:w="1900"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生活污水</w:t>
            </w:r>
          </w:p>
        </w:tc>
        <w:tc>
          <w:tcPr>
            <w:tcW w:w="4683" w:type="dxa"/>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生活污水</w:t>
            </w:r>
            <w:r>
              <w:rPr>
                <w:rFonts w:hint="default" w:ascii="Times New Roman" w:hAnsi="Times New Roman" w:eastAsia="宋体" w:cs="Times New Roman"/>
                <w:color w:val="auto"/>
                <w:sz w:val="21"/>
                <w:szCs w:val="21"/>
                <w:lang w:eastAsia="zh-CN"/>
              </w:rPr>
              <w:t>排入旱厕，定期清掏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restar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固体</w:t>
            </w:r>
          </w:p>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废物</w:t>
            </w:r>
          </w:p>
        </w:tc>
        <w:tc>
          <w:tcPr>
            <w:tcW w:w="1886" w:type="dxa"/>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干排车间</w:t>
            </w:r>
          </w:p>
        </w:tc>
        <w:tc>
          <w:tcPr>
            <w:tcW w:w="1900"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尾矿渣</w:t>
            </w:r>
          </w:p>
        </w:tc>
        <w:tc>
          <w:tcPr>
            <w:tcW w:w="4683"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pacing w:val="6"/>
                <w:sz w:val="21"/>
                <w:szCs w:val="21"/>
                <w:lang w:eastAsia="zh-CN"/>
              </w:rPr>
              <w:t>回填历史采坑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noWrap w:val="0"/>
            <w:vAlign w:val="center"/>
          </w:tcPr>
          <w:p>
            <w:pPr>
              <w:jc w:val="center"/>
              <w:rPr>
                <w:rFonts w:hint="default" w:ascii="Times New Roman" w:hAnsi="Times New Roman" w:eastAsia="宋体" w:cs="Times New Roman"/>
                <w:color w:val="auto"/>
                <w:sz w:val="21"/>
                <w:szCs w:val="21"/>
              </w:rPr>
            </w:pPr>
          </w:p>
        </w:tc>
        <w:tc>
          <w:tcPr>
            <w:tcW w:w="1886" w:type="dxa"/>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设备</w:t>
            </w:r>
          </w:p>
        </w:tc>
        <w:tc>
          <w:tcPr>
            <w:tcW w:w="1900"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废机油</w:t>
            </w:r>
          </w:p>
        </w:tc>
        <w:tc>
          <w:tcPr>
            <w:tcW w:w="4683"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危废间内暂存，定期交由资质单位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noWrap w:val="0"/>
            <w:vAlign w:val="center"/>
          </w:tcPr>
          <w:p>
            <w:pPr>
              <w:jc w:val="center"/>
              <w:rPr>
                <w:rFonts w:hint="default" w:ascii="Times New Roman" w:hAnsi="Times New Roman" w:eastAsia="宋体" w:cs="Times New Roman"/>
                <w:color w:val="auto"/>
                <w:sz w:val="21"/>
                <w:szCs w:val="21"/>
              </w:rPr>
            </w:pPr>
          </w:p>
        </w:tc>
        <w:tc>
          <w:tcPr>
            <w:tcW w:w="1886"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除尘器</w:t>
            </w:r>
          </w:p>
        </w:tc>
        <w:tc>
          <w:tcPr>
            <w:tcW w:w="1900"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收尘灰</w:t>
            </w:r>
          </w:p>
        </w:tc>
        <w:tc>
          <w:tcPr>
            <w:tcW w:w="4683"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pacing w:val="6"/>
                <w:sz w:val="21"/>
                <w:szCs w:val="21"/>
              </w:rPr>
              <w:t>进入选矿工艺，不外排</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vMerge w:val="continue"/>
            <w:noWrap w:val="0"/>
            <w:vAlign w:val="center"/>
          </w:tcPr>
          <w:p>
            <w:pPr>
              <w:jc w:val="center"/>
              <w:rPr>
                <w:rFonts w:hint="default" w:ascii="Times New Roman" w:hAnsi="Times New Roman" w:eastAsia="宋体" w:cs="Times New Roman"/>
                <w:color w:val="auto"/>
                <w:sz w:val="21"/>
                <w:szCs w:val="21"/>
              </w:rPr>
            </w:pPr>
          </w:p>
        </w:tc>
        <w:tc>
          <w:tcPr>
            <w:tcW w:w="1886"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员工生活</w:t>
            </w:r>
          </w:p>
        </w:tc>
        <w:tc>
          <w:tcPr>
            <w:tcW w:w="1900"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生活垃圾</w:t>
            </w:r>
          </w:p>
        </w:tc>
        <w:tc>
          <w:tcPr>
            <w:tcW w:w="4683" w:type="dxa"/>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由环卫部门统一处置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1886"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生产设备</w:t>
            </w:r>
          </w:p>
        </w:tc>
        <w:tc>
          <w:tcPr>
            <w:tcW w:w="1900"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Leq（dB）</w:t>
            </w:r>
          </w:p>
        </w:tc>
        <w:tc>
          <w:tcPr>
            <w:tcW w:w="4683"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隔声减振措施</w:t>
            </w:r>
          </w:p>
        </w:tc>
      </w:tr>
    </w:tbl>
    <w:p>
      <w:pPr>
        <w:pStyle w:val="73"/>
        <w:spacing w:beforeLines="50" w:line="360" w:lineRule="auto"/>
        <w:rPr>
          <w:rFonts w:hint="default" w:ascii="Times New Roman" w:hAnsi="Times New Roman" w:eastAsia="宋体" w:cs="Times New Roman"/>
          <w:color w:val="auto"/>
          <w:sz w:val="28"/>
          <w:szCs w:val="28"/>
        </w:rPr>
      </w:pPr>
      <w:bookmarkStart w:id="154" w:name="_Toc476553939"/>
      <w:bookmarkStart w:id="155" w:name="_Toc476639423"/>
      <w:bookmarkStart w:id="156" w:name="_Toc478038812"/>
      <w:bookmarkStart w:id="157" w:name="_Toc478394770"/>
      <w:r>
        <w:rPr>
          <w:rFonts w:hint="default" w:ascii="Times New Roman" w:hAnsi="Times New Roman" w:eastAsia="宋体" w:cs="Times New Roman"/>
          <w:color w:val="auto"/>
          <w:sz w:val="28"/>
          <w:szCs w:val="28"/>
        </w:rPr>
        <w:t>3.1.</w:t>
      </w:r>
      <w:r>
        <w:rPr>
          <w:rFonts w:hint="default" w:ascii="Times New Roman" w:hAnsi="Times New Roman" w:eastAsia="宋体" w:cs="Times New Roman"/>
          <w:color w:val="auto"/>
          <w:sz w:val="28"/>
          <w:szCs w:val="28"/>
          <w:lang w:val="en-US" w:eastAsia="zh-CN"/>
        </w:rPr>
        <w:t>9</w:t>
      </w:r>
      <w:r>
        <w:rPr>
          <w:rFonts w:hint="default" w:ascii="Times New Roman" w:hAnsi="Times New Roman" w:eastAsia="宋体" w:cs="Times New Roman"/>
          <w:color w:val="auto"/>
          <w:sz w:val="28"/>
          <w:szCs w:val="28"/>
        </w:rPr>
        <w:t>项目污染源强核算</w:t>
      </w:r>
    </w:p>
    <w:p>
      <w:pPr>
        <w:spacing w:line="360" w:lineRule="auto"/>
        <w:ind w:right="97" w:rightChars="46"/>
        <w:rPr>
          <w:rFonts w:hint="default" w:ascii="Times New Roman" w:hAnsi="Times New Roman" w:eastAsia="宋体" w:cs="Times New Roman"/>
          <w:b/>
          <w:bCs/>
          <w:color w:val="auto"/>
          <w:sz w:val="24"/>
        </w:rPr>
      </w:pPr>
      <w:bookmarkStart w:id="158" w:name="_Toc440874787"/>
      <w:bookmarkStart w:id="159" w:name="_Toc441053079"/>
      <w:bookmarkStart w:id="160" w:name="_Toc6829"/>
      <w:r>
        <w:rPr>
          <w:rFonts w:hint="default" w:ascii="Times New Roman" w:hAnsi="Times New Roman" w:eastAsia="宋体" w:cs="Times New Roman"/>
          <w:b/>
          <w:bCs/>
          <w:color w:val="auto"/>
          <w:sz w:val="24"/>
          <w:lang w:val="en-US" w:eastAsia="zh-CN"/>
        </w:rPr>
        <w:t>3.1.9.1</w:t>
      </w:r>
      <w:r>
        <w:rPr>
          <w:rFonts w:hint="default" w:ascii="Times New Roman" w:hAnsi="Times New Roman" w:eastAsia="宋体" w:cs="Times New Roman"/>
          <w:b/>
          <w:bCs/>
          <w:color w:val="auto"/>
          <w:sz w:val="24"/>
        </w:rPr>
        <w:t>施工期污染源分析</w:t>
      </w:r>
      <w:bookmarkEnd w:id="158"/>
      <w:bookmarkEnd w:id="159"/>
      <w:bookmarkEnd w:id="160"/>
    </w:p>
    <w:p>
      <w:pPr>
        <w:adjustRightInd w:val="0"/>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w:t>
      </w:r>
      <w:r>
        <w:rPr>
          <w:rFonts w:hint="default" w:ascii="Times New Roman" w:hAnsi="Times New Roman" w:eastAsia="宋体" w:cs="Times New Roman"/>
          <w:color w:val="auto"/>
          <w:sz w:val="24"/>
          <w:lang w:eastAsia="zh-CN"/>
        </w:rPr>
        <w:t>为扩建项目，现场踏勘时，企业已完成部分建设，</w:t>
      </w:r>
      <w:r>
        <w:rPr>
          <w:rFonts w:hint="default" w:ascii="Times New Roman" w:hAnsi="Times New Roman" w:eastAsia="宋体" w:cs="Times New Roman"/>
          <w:color w:val="auto"/>
          <w:sz w:val="24"/>
          <w:lang w:val="en-US" w:eastAsia="zh-CN"/>
        </w:rPr>
        <w:t>剩余工程量较小，计划施工人数为10人，工期为2个月，</w:t>
      </w:r>
      <w:r>
        <w:rPr>
          <w:rFonts w:hint="default" w:ascii="Times New Roman" w:hAnsi="Times New Roman" w:eastAsia="宋体" w:cs="Times New Roman"/>
          <w:color w:val="auto"/>
          <w:sz w:val="24"/>
        </w:rPr>
        <w:t>施工期环境影响主要表现在以下几个方面：</w:t>
      </w:r>
    </w:p>
    <w:p>
      <w:pPr>
        <w:adjustRightInd w:val="0"/>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●施工过程中产生的扬尘、运输车辆尾气；</w:t>
      </w:r>
    </w:p>
    <w:p>
      <w:pPr>
        <w:adjustRightInd w:val="0"/>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●施工建筑垃圾对环境造成的影响；</w:t>
      </w:r>
    </w:p>
    <w:p>
      <w:pPr>
        <w:adjustRightInd w:val="0"/>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●施工废水对环境造成的影响；</w:t>
      </w:r>
    </w:p>
    <w:p>
      <w:pPr>
        <w:adjustRightInd w:val="0"/>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●设备安装噪声对周围声环境造成一定影响。</w:t>
      </w:r>
    </w:p>
    <w:p>
      <w:pPr>
        <w:spacing w:line="360" w:lineRule="auto"/>
        <w:ind w:right="97" w:rightChars="46" w:firstLine="480" w:firstLineChars="200"/>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lang w:val="en-US" w:eastAsia="zh-CN"/>
        </w:rPr>
        <w:t>1、</w:t>
      </w:r>
      <w:r>
        <w:rPr>
          <w:rFonts w:hint="default" w:ascii="Times New Roman" w:hAnsi="Times New Roman" w:eastAsia="宋体" w:cs="Times New Roman"/>
          <w:b w:val="0"/>
          <w:bCs w:val="0"/>
          <w:color w:val="auto"/>
          <w:sz w:val="24"/>
        </w:rPr>
        <w:t>废气</w:t>
      </w:r>
    </w:p>
    <w:p>
      <w:pPr>
        <w:spacing w:line="360" w:lineRule="auto"/>
        <w:ind w:right="97" w:rightChars="46" w:firstLine="480" w:firstLineChars="200"/>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t>本项目施工期大气污染物主要是运输设备过程中产生的汽车尾气和施工过程中产生的扬尘。</w:t>
      </w:r>
      <w:r>
        <w:rPr>
          <w:rFonts w:hint="default" w:ascii="Times New Roman" w:hAnsi="Times New Roman" w:eastAsia="宋体" w:cs="Times New Roman"/>
          <w:b w:val="0"/>
          <w:bCs w:val="0"/>
          <w:color w:val="auto"/>
          <w:sz w:val="24"/>
          <w:lang w:eastAsia="zh-CN"/>
        </w:rPr>
        <w:t>本项目汽车尾气污染很小</w:t>
      </w:r>
      <w:r>
        <w:rPr>
          <w:rFonts w:hint="default" w:ascii="Times New Roman" w:hAnsi="Times New Roman" w:eastAsia="宋体" w:cs="Times New Roman"/>
          <w:b w:val="0"/>
          <w:bCs w:val="0"/>
          <w:color w:val="auto"/>
          <w:sz w:val="24"/>
        </w:rPr>
        <w:t>。在施工过程中，扬尘污染主要来源于建筑材料如水泥、白灰、砂子等在其装卸、运输、堆放过程中，因风力作用产生扬尘；运输车辆往来将造成地面扬尘</w:t>
      </w:r>
      <w:r>
        <w:rPr>
          <w:rFonts w:hint="default" w:ascii="Times New Roman" w:hAnsi="Times New Roman" w:eastAsia="宋体" w:cs="Times New Roman"/>
          <w:b w:val="0"/>
          <w:bCs w:val="0"/>
          <w:color w:val="auto"/>
          <w:sz w:val="24"/>
          <w:lang w:eastAsia="zh-CN"/>
        </w:rPr>
        <w:t>。本工程建筑材料的</w:t>
      </w:r>
      <w:r>
        <w:rPr>
          <w:rFonts w:hint="default" w:ascii="Times New Roman" w:hAnsi="Times New Roman" w:eastAsia="宋体" w:cs="Times New Roman"/>
          <w:b w:val="0"/>
          <w:bCs w:val="0"/>
          <w:color w:val="auto"/>
          <w:sz w:val="24"/>
        </w:rPr>
        <w:t>装卸、运输</w:t>
      </w:r>
      <w:r>
        <w:rPr>
          <w:rFonts w:hint="default" w:ascii="Times New Roman" w:hAnsi="Times New Roman" w:eastAsia="宋体" w:cs="Times New Roman"/>
          <w:b w:val="0"/>
          <w:bCs w:val="0"/>
          <w:color w:val="auto"/>
          <w:sz w:val="24"/>
          <w:lang w:eastAsia="zh-CN"/>
        </w:rPr>
        <w:t>和</w:t>
      </w:r>
      <w:r>
        <w:rPr>
          <w:rFonts w:hint="default" w:ascii="Times New Roman" w:hAnsi="Times New Roman" w:eastAsia="宋体" w:cs="Times New Roman"/>
          <w:b w:val="0"/>
          <w:bCs w:val="0"/>
          <w:color w:val="auto"/>
          <w:sz w:val="24"/>
        </w:rPr>
        <w:t>堆放</w:t>
      </w:r>
      <w:r>
        <w:rPr>
          <w:rFonts w:hint="default" w:ascii="Times New Roman" w:hAnsi="Times New Roman" w:eastAsia="宋体" w:cs="Times New Roman"/>
          <w:b w:val="0"/>
          <w:bCs w:val="0"/>
          <w:color w:val="auto"/>
          <w:sz w:val="24"/>
          <w:lang w:eastAsia="zh-CN"/>
        </w:rPr>
        <w:t>，对环境影响很小</w:t>
      </w:r>
      <w:r>
        <w:rPr>
          <w:rFonts w:hint="default" w:ascii="Times New Roman" w:hAnsi="Times New Roman" w:eastAsia="宋体" w:cs="Times New Roman"/>
          <w:b w:val="0"/>
          <w:bCs w:val="0"/>
          <w:color w:val="auto"/>
          <w:sz w:val="24"/>
        </w:rPr>
        <w:t>。</w:t>
      </w:r>
    </w:p>
    <w:p>
      <w:pPr>
        <w:spacing w:line="360" w:lineRule="auto"/>
        <w:ind w:right="97" w:rightChars="46" w:firstLine="480" w:firstLineChars="200"/>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lang w:val="en-US" w:eastAsia="zh-CN"/>
        </w:rPr>
        <w:t>2、</w:t>
      </w:r>
      <w:r>
        <w:rPr>
          <w:rFonts w:hint="default" w:ascii="Times New Roman" w:hAnsi="Times New Roman" w:eastAsia="宋体" w:cs="Times New Roman"/>
          <w:b w:val="0"/>
          <w:bCs w:val="0"/>
          <w:color w:val="auto"/>
          <w:sz w:val="24"/>
        </w:rPr>
        <w:t>废水</w:t>
      </w:r>
    </w:p>
    <w:p>
      <w:pPr>
        <w:spacing w:line="360" w:lineRule="auto"/>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施工期废水主要</w:t>
      </w:r>
      <w:r>
        <w:rPr>
          <w:rFonts w:hint="default" w:ascii="Times New Roman" w:hAnsi="Times New Roman" w:eastAsia="宋体" w:cs="Times New Roman"/>
          <w:b w:val="0"/>
          <w:bCs w:val="0"/>
          <w:color w:val="auto"/>
          <w:sz w:val="24"/>
          <w:szCs w:val="24"/>
          <w:lang w:eastAsia="zh-CN"/>
        </w:rPr>
        <w:t>为</w:t>
      </w:r>
      <w:r>
        <w:rPr>
          <w:rFonts w:hint="default" w:ascii="Times New Roman" w:hAnsi="Times New Roman" w:eastAsia="宋体" w:cs="Times New Roman"/>
          <w:b w:val="0"/>
          <w:bCs w:val="0"/>
          <w:color w:val="auto"/>
          <w:sz w:val="24"/>
          <w:szCs w:val="24"/>
        </w:rPr>
        <w:t>施工过程中产生的施工废水。</w:t>
      </w:r>
    </w:p>
    <w:p>
      <w:pPr>
        <w:spacing w:line="360" w:lineRule="auto"/>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施工废水主要包括砂石料冲洗水、混凝土养护用水、设备车辆冲洗水、建筑养护排水等，其主要污染因子为SS。施工废水量经简易沉淀池沉淀后回用于砂石料冲洗、混凝土养护，场地洒水等，不外排。</w:t>
      </w:r>
    </w:p>
    <w:p>
      <w:pPr>
        <w:spacing w:line="360" w:lineRule="auto"/>
        <w:ind w:firstLine="480" w:firstLineChars="200"/>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本项目工程量较小，计划施工人数为10人，工期为2个月</w:t>
      </w:r>
      <w:r>
        <w:rPr>
          <w:rFonts w:hint="default" w:ascii="Times New Roman" w:hAnsi="Times New Roman" w:eastAsia="宋体" w:cs="Times New Roman"/>
          <w:b w:val="0"/>
          <w:bCs w:val="0"/>
          <w:color w:val="auto"/>
          <w:sz w:val="24"/>
          <w:szCs w:val="24"/>
        </w:rPr>
        <w:t>。根据建筑施工场地生活用水定额，按50L/人•d计算，施工人员的生活用水量为</w:t>
      </w:r>
      <w:r>
        <w:rPr>
          <w:rFonts w:hint="default" w:ascii="Times New Roman" w:hAnsi="Times New Roman" w:eastAsia="宋体" w:cs="Times New Roman"/>
          <w:b w:val="0"/>
          <w:bCs w:val="0"/>
          <w:color w:val="auto"/>
          <w:sz w:val="24"/>
          <w:szCs w:val="24"/>
          <w:lang w:val="en-US" w:eastAsia="zh-CN"/>
        </w:rPr>
        <w:t>0.5</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/d，排污系数按用水量的80%计，则施工期共计生活污水排放量为</w:t>
      </w:r>
      <w:r>
        <w:rPr>
          <w:rFonts w:hint="default" w:ascii="Times New Roman" w:hAnsi="Times New Roman" w:eastAsia="宋体" w:cs="Times New Roman"/>
          <w:b w:val="0"/>
          <w:bCs w:val="0"/>
          <w:color w:val="auto"/>
          <w:sz w:val="24"/>
          <w:szCs w:val="24"/>
          <w:lang w:val="en-US" w:eastAsia="zh-CN"/>
        </w:rPr>
        <w:t>0.4</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/d</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24</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b w:val="0"/>
          <w:bCs w:val="0"/>
          <w:color w:val="auto"/>
          <w:sz w:val="24"/>
          <w:szCs w:val="24"/>
          <w:lang w:val="en-US" w:eastAsia="zh-CN"/>
        </w:rPr>
        <w:t>a，</w:t>
      </w:r>
      <w:r>
        <w:rPr>
          <w:rFonts w:hint="default" w:ascii="Times New Roman" w:hAnsi="Times New Roman" w:eastAsia="宋体" w:cs="Times New Roman"/>
          <w:b w:val="0"/>
          <w:bCs w:val="0"/>
          <w:color w:val="auto"/>
          <w:sz w:val="24"/>
          <w:szCs w:val="24"/>
        </w:rPr>
        <w:t>施工期生活污水排入防渗旱厕</w:t>
      </w:r>
      <w:r>
        <w:rPr>
          <w:rFonts w:hint="default" w:ascii="Times New Roman" w:hAnsi="Times New Roman" w:eastAsia="宋体" w:cs="Times New Roman"/>
          <w:b w:val="0"/>
          <w:bCs w:val="0"/>
          <w:color w:val="auto"/>
          <w:sz w:val="24"/>
          <w:szCs w:val="24"/>
          <w:lang w:eastAsia="zh-CN"/>
        </w:rPr>
        <w:t>。</w:t>
      </w:r>
    </w:p>
    <w:p>
      <w:pPr>
        <w:spacing w:line="360" w:lineRule="auto"/>
        <w:ind w:right="97" w:rightChars="46" w:firstLine="480" w:firstLineChars="200"/>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lang w:val="en-US" w:eastAsia="zh-CN"/>
        </w:rPr>
        <w:t>3、</w:t>
      </w:r>
      <w:r>
        <w:rPr>
          <w:rFonts w:hint="default" w:ascii="Times New Roman" w:hAnsi="Times New Roman" w:eastAsia="宋体" w:cs="Times New Roman"/>
          <w:b w:val="0"/>
          <w:bCs w:val="0"/>
          <w:color w:val="auto"/>
          <w:sz w:val="24"/>
        </w:rPr>
        <w:t>噪声</w:t>
      </w:r>
    </w:p>
    <w:p>
      <w:pPr>
        <w:spacing w:line="360" w:lineRule="auto"/>
        <w:ind w:firstLine="480" w:firstLineChars="200"/>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t>（1）施工期噪声的产生</w:t>
      </w:r>
    </w:p>
    <w:p>
      <w:pPr>
        <w:spacing w:line="360" w:lineRule="auto"/>
        <w:ind w:firstLine="480" w:firstLineChars="200"/>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t>施工期产生的噪声污染主要为施工机械和交通车辆产生，将对附近环境产生一定的不利影响。</w:t>
      </w:r>
    </w:p>
    <w:p>
      <w:pPr>
        <w:spacing w:line="360" w:lineRule="auto"/>
        <w:ind w:firstLine="480"/>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t>施工期噪声源情况：施工期噪声具有阶段性、临时性和不固定性，不同的施工设备产生的噪声不同。本项目噪声设备主要为：运输车辆噪声70～90 dB(A)、施工机械噪声70～90dB(A)等。在多台机械设备同时作业时，各台设备产生的噪声会互相叠加。</w:t>
      </w:r>
    </w:p>
    <w:p>
      <w:pPr>
        <w:spacing w:line="360" w:lineRule="auto"/>
        <w:ind w:firstLine="480" w:firstLineChars="200"/>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t>（2）施工期噪声控制措施</w:t>
      </w:r>
    </w:p>
    <w:p>
      <w:pPr>
        <w:spacing w:line="360" w:lineRule="auto"/>
        <w:ind w:firstLine="480" w:firstLineChars="200"/>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t>为降低施工噪声对声环境的影响，采取如下噪声控制措施：</w:t>
      </w:r>
    </w:p>
    <w:p>
      <w:pPr>
        <w:spacing w:line="360" w:lineRule="auto"/>
        <w:ind w:firstLine="480" w:firstLineChars="200"/>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t>①选用低噪声设备，并采取有效的隔声减振措施。</w:t>
      </w:r>
    </w:p>
    <w:p>
      <w:pPr>
        <w:spacing w:line="360" w:lineRule="auto"/>
        <w:ind w:firstLine="480" w:firstLineChars="200"/>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t>②合理安排施工工序，尽量缩短施工周期，减轻施工噪声对施工场地周围敏感目标的影响。</w:t>
      </w:r>
    </w:p>
    <w:p>
      <w:pPr>
        <w:spacing w:line="360" w:lineRule="auto"/>
        <w:ind w:firstLine="480" w:firstLineChars="200"/>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t>③合理安排施工时间，将强噪声作业安排在白天进行，禁止夜间施工。</w:t>
      </w:r>
    </w:p>
    <w:p>
      <w:pPr>
        <w:spacing w:line="360" w:lineRule="auto"/>
        <w:ind w:firstLine="480" w:firstLineChars="200"/>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t>④运输车辆在经过敏感点时应限速、禁鸣，并定期对车辆进行保养。</w:t>
      </w:r>
    </w:p>
    <w:p>
      <w:pPr>
        <w:spacing w:line="360" w:lineRule="auto"/>
        <w:ind w:right="97" w:rightChars="46" w:firstLine="480" w:firstLineChars="200"/>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rPr>
        <w:t>通过采取以上噪声控制措施后，施工期的场界噪声可以满足《建筑施工场界环境噪声排放标准》（GB12523-2011）的要求。</w:t>
      </w:r>
    </w:p>
    <w:p>
      <w:pPr>
        <w:spacing w:line="360" w:lineRule="auto"/>
        <w:ind w:right="97" w:rightChars="46" w:firstLine="480" w:firstLineChars="200"/>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lang w:val="en-US" w:eastAsia="zh-CN"/>
        </w:rPr>
        <w:t>4、</w:t>
      </w:r>
      <w:r>
        <w:rPr>
          <w:rFonts w:hint="default" w:ascii="Times New Roman" w:hAnsi="Times New Roman" w:eastAsia="宋体" w:cs="Times New Roman"/>
          <w:b w:val="0"/>
          <w:bCs w:val="0"/>
          <w:color w:val="auto"/>
          <w:sz w:val="24"/>
        </w:rPr>
        <w:t>固体废物</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sz w:val="24"/>
        </w:rPr>
        <w:t>施工期间需要运输各种建筑材料（如砂石、水泥等），工程完工后，会残留部分建筑垃圾，包括砂石、石块、废木料、废金属、废钢筋等杂物，经分类后能回用的回用，不能回用的外卖</w:t>
      </w:r>
      <w:r>
        <w:rPr>
          <w:rFonts w:hint="default" w:ascii="Times New Roman" w:hAnsi="Times New Roman" w:eastAsia="宋体" w:cs="Times New Roman"/>
          <w:color w:val="auto"/>
          <w:sz w:val="24"/>
        </w:rPr>
        <w:t>。</w:t>
      </w:r>
    </w:p>
    <w:p>
      <w:pPr>
        <w:spacing w:line="360" w:lineRule="auto"/>
        <w:ind w:right="97" w:rightChars="46" w:firstLine="480" w:firstLineChars="200"/>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本项目工程量较小，计划施工人数为10人，工期为2个月。施工期产生的生活垃圾按0.5kg/人•d计，生活垃圾产生量5kg/d，0.3t/a。经袋装收集后，由市政环卫部门清运至垃圾填埋场集中处理。</w:t>
      </w:r>
    </w:p>
    <w:p>
      <w:pPr>
        <w:spacing w:line="360" w:lineRule="auto"/>
        <w:ind w:right="97" w:rightChars="46"/>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3.1.9.2</w:t>
      </w:r>
      <w:r>
        <w:rPr>
          <w:rFonts w:hint="default" w:ascii="Times New Roman" w:hAnsi="Times New Roman" w:eastAsia="宋体" w:cs="Times New Roman"/>
          <w:b/>
          <w:bCs/>
          <w:color w:val="auto"/>
          <w:sz w:val="24"/>
          <w:lang w:eastAsia="zh-CN"/>
        </w:rPr>
        <w:t>营运</w:t>
      </w:r>
      <w:r>
        <w:rPr>
          <w:rFonts w:hint="default" w:ascii="Times New Roman" w:hAnsi="Times New Roman" w:eastAsia="宋体" w:cs="Times New Roman"/>
          <w:b/>
          <w:bCs/>
          <w:color w:val="auto"/>
          <w:sz w:val="24"/>
        </w:rPr>
        <w:t>期污染源分析</w:t>
      </w:r>
    </w:p>
    <w:p>
      <w:pPr>
        <w:spacing w:line="360" w:lineRule="auto"/>
        <w:ind w:right="97" w:rightChars="46" w:firstLine="482"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1、废气污染源强核算</w:t>
      </w:r>
    </w:p>
    <w:p>
      <w:pPr>
        <w:spacing w:beforeLines="50"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1）有组织废气</w:t>
      </w:r>
    </w:p>
    <w:p>
      <w:pPr>
        <w:spacing w:beforeLines="50" w:line="360" w:lineRule="auto"/>
        <w:ind w:firstLine="480" w:firstLineChars="200"/>
        <w:rPr>
          <w:rFonts w:hint="default" w:ascii="Times New Roman" w:hAnsi="Times New Roman" w:eastAsia="宋体" w:cs="Times New Roman"/>
          <w:sz w:val="24"/>
          <w:szCs w:val="22"/>
          <w:lang w:val="en-US" w:eastAsia="zh-CN"/>
        </w:rPr>
      </w:pPr>
      <w:r>
        <w:rPr>
          <w:rFonts w:hint="default" w:ascii="Times New Roman" w:hAnsi="Times New Roman" w:eastAsia="宋体" w:cs="Times New Roman"/>
          <w:sz w:val="24"/>
          <w:szCs w:val="22"/>
          <w:lang w:val="en-US" w:eastAsia="zh-CN"/>
        </w:rPr>
        <w:t>本项目有组织废气为破碎车间上料、破碎及筛分工序产生的粉尘。</w:t>
      </w:r>
    </w:p>
    <w:p>
      <w:pPr>
        <w:spacing w:beforeLines="50" w:line="360" w:lineRule="auto"/>
        <w:ind w:firstLine="480" w:firstLineChars="200"/>
        <w:rPr>
          <w:rFonts w:hint="default" w:ascii="Times New Roman" w:hAnsi="Times New Roman" w:eastAsia="宋体" w:cs="Times New Roman"/>
          <w:sz w:val="24"/>
          <w:szCs w:val="22"/>
          <w:lang w:val="en-US" w:eastAsia="zh-CN"/>
        </w:rPr>
      </w:pPr>
      <w:r>
        <w:rPr>
          <w:rFonts w:hint="default" w:ascii="Times New Roman" w:hAnsi="Times New Roman" w:eastAsia="宋体" w:cs="Times New Roman"/>
          <w:sz w:val="24"/>
          <w:szCs w:val="22"/>
          <w:lang w:val="en-US" w:eastAsia="zh-CN"/>
        </w:rPr>
        <w:t>项目在筛分工序上方</w:t>
      </w:r>
      <w:r>
        <w:rPr>
          <w:rFonts w:hint="default" w:ascii="Times New Roman" w:hAnsi="Times New Roman" w:eastAsia="宋体" w:cs="Times New Roman"/>
          <w:sz w:val="24"/>
          <w:szCs w:val="22"/>
          <w:lang w:eastAsia="zh-CN"/>
        </w:rPr>
        <w:t>安装</w:t>
      </w:r>
      <w:r>
        <w:rPr>
          <w:rFonts w:hint="default" w:ascii="Times New Roman" w:hAnsi="Times New Roman" w:eastAsia="宋体" w:cs="Times New Roman"/>
          <w:sz w:val="24"/>
          <w:szCs w:val="22"/>
          <w:lang w:val="en-US" w:eastAsia="zh-CN"/>
        </w:rPr>
        <w:t>1个集尘罩，集尘效率99%，</w:t>
      </w:r>
      <w:r>
        <w:rPr>
          <w:rFonts w:hint="default" w:ascii="Times New Roman" w:hAnsi="Times New Roman" w:eastAsia="宋体" w:cs="Times New Roman"/>
          <w:sz w:val="24"/>
          <w:szCs w:val="22"/>
          <w:lang w:eastAsia="zh-CN"/>
        </w:rPr>
        <w:t>粉尘经集尘罩收集后，由</w:t>
      </w:r>
      <w:r>
        <w:rPr>
          <w:rFonts w:hint="default" w:ascii="Times New Roman" w:hAnsi="Times New Roman" w:eastAsia="宋体" w:cs="Times New Roman"/>
          <w:sz w:val="24"/>
          <w:szCs w:val="22"/>
          <w:lang w:val="en-US" w:eastAsia="zh-CN"/>
        </w:rPr>
        <w:t>1台风量200000m</w:t>
      </w:r>
      <w:r>
        <w:rPr>
          <w:rFonts w:hint="default" w:ascii="Times New Roman" w:hAnsi="Times New Roman" w:eastAsia="宋体" w:cs="Times New Roman"/>
          <w:sz w:val="24"/>
          <w:szCs w:val="22"/>
          <w:vertAlign w:val="superscript"/>
          <w:lang w:val="en-US" w:eastAsia="zh-CN"/>
        </w:rPr>
        <w:t>3</w:t>
      </w:r>
      <w:r>
        <w:rPr>
          <w:rFonts w:hint="default" w:ascii="Times New Roman" w:hAnsi="Times New Roman" w:eastAsia="宋体" w:cs="Times New Roman"/>
          <w:sz w:val="24"/>
          <w:szCs w:val="22"/>
          <w:lang w:val="en-US" w:eastAsia="zh-CN"/>
        </w:rPr>
        <w:t>/h的风机送入1台处理效率99%的布袋除尘器处理，处理后废气经1根15m高排气筒（P1）排放。</w:t>
      </w:r>
    </w:p>
    <w:p>
      <w:pPr>
        <w:spacing w:beforeLines="50" w:line="360" w:lineRule="auto"/>
        <w:ind w:firstLine="480" w:firstLineChars="200"/>
        <w:rPr>
          <w:rFonts w:hint="default" w:ascii="Times New Roman" w:hAnsi="Times New Roman" w:eastAsia="宋体" w:cs="Times New Roman"/>
          <w:sz w:val="24"/>
          <w:szCs w:val="22"/>
          <w:lang w:val="en-US" w:eastAsia="zh-CN"/>
        </w:rPr>
      </w:pPr>
      <w:r>
        <w:rPr>
          <w:rFonts w:hint="default" w:ascii="Times New Roman" w:hAnsi="Times New Roman" w:eastAsia="宋体" w:cs="Times New Roman"/>
          <w:sz w:val="24"/>
          <w:szCs w:val="22"/>
          <w:lang w:val="en-US" w:eastAsia="zh-CN"/>
        </w:rPr>
        <w:t>项目二道破碎工序各设置1个集尘罩，其中上料工序与一破共用1个集尘罩，集尘效率99%，</w:t>
      </w:r>
      <w:r>
        <w:rPr>
          <w:rFonts w:hint="default" w:ascii="Times New Roman" w:hAnsi="Times New Roman" w:eastAsia="宋体" w:cs="Times New Roman"/>
          <w:sz w:val="24"/>
          <w:szCs w:val="22"/>
          <w:lang w:eastAsia="zh-CN"/>
        </w:rPr>
        <w:t>粉尘经集尘罩收集后，由</w:t>
      </w:r>
      <w:r>
        <w:rPr>
          <w:rFonts w:hint="default" w:ascii="Times New Roman" w:hAnsi="Times New Roman" w:eastAsia="宋体" w:cs="Times New Roman"/>
          <w:sz w:val="24"/>
          <w:szCs w:val="22"/>
          <w:lang w:val="en-US" w:eastAsia="zh-CN"/>
        </w:rPr>
        <w:t>2台风量200000m</w:t>
      </w:r>
      <w:r>
        <w:rPr>
          <w:rFonts w:hint="default" w:ascii="Times New Roman" w:hAnsi="Times New Roman" w:eastAsia="宋体" w:cs="Times New Roman"/>
          <w:sz w:val="24"/>
          <w:szCs w:val="22"/>
          <w:vertAlign w:val="superscript"/>
          <w:lang w:val="en-US" w:eastAsia="zh-CN"/>
        </w:rPr>
        <w:t>3</w:t>
      </w:r>
      <w:r>
        <w:rPr>
          <w:rFonts w:hint="default" w:ascii="Times New Roman" w:hAnsi="Times New Roman" w:eastAsia="宋体" w:cs="Times New Roman"/>
          <w:sz w:val="24"/>
          <w:szCs w:val="22"/>
          <w:lang w:val="en-US" w:eastAsia="zh-CN"/>
        </w:rPr>
        <w:t>/h的风机送入1台处理效率99%的布袋除尘器处理，处理后废气经1根15m高排气筒（P1）排放。</w:t>
      </w:r>
    </w:p>
    <w:p>
      <w:pPr>
        <w:spacing w:beforeLines="50" w:line="360" w:lineRule="auto"/>
        <w:ind w:firstLine="480" w:firstLineChars="200"/>
        <w:rPr>
          <w:rFonts w:hint="default" w:ascii="Times New Roman" w:hAnsi="Times New Roman" w:eastAsia="宋体" w:cs="Times New Roman"/>
          <w:sz w:val="24"/>
          <w:szCs w:val="22"/>
          <w:lang w:val="en-US" w:eastAsia="zh-CN"/>
        </w:rPr>
      </w:pPr>
      <w:r>
        <w:rPr>
          <w:rFonts w:hint="default" w:ascii="Times New Roman" w:hAnsi="Times New Roman" w:eastAsia="宋体" w:cs="Times New Roman"/>
          <w:sz w:val="24"/>
          <w:szCs w:val="22"/>
          <w:lang w:val="en-US" w:eastAsia="zh-CN"/>
        </w:rPr>
        <w:t>类比抚顺罕王兴洲矿业有限公司选矿厂建设项目，该项目位于</w:t>
      </w:r>
      <w:r>
        <w:rPr>
          <w:rFonts w:hint="default" w:ascii="Times New Roman" w:hAnsi="Times New Roman" w:eastAsia="宋体" w:cs="Times New Roman"/>
          <w:sz w:val="24"/>
        </w:rPr>
        <w:t>辽宁省抚顺市东洲区碾盘乡</w:t>
      </w:r>
      <w:r>
        <w:rPr>
          <w:rFonts w:hint="default" w:ascii="Times New Roman" w:hAnsi="Times New Roman" w:eastAsia="宋体" w:cs="Times New Roman"/>
          <w:sz w:val="24"/>
          <w:lang w:eastAsia="zh-CN"/>
        </w:rPr>
        <w:t>，</w:t>
      </w:r>
      <w:r>
        <w:rPr>
          <w:rFonts w:hint="default" w:ascii="Times New Roman" w:hAnsi="Times New Roman" w:eastAsia="宋体" w:cs="Times New Roman"/>
          <w:sz w:val="24"/>
          <w:szCs w:val="22"/>
          <w:lang w:val="en-US" w:eastAsia="zh-CN"/>
        </w:rPr>
        <w:t>与本项目原材料相同、产品相同、工艺相同，具有类比可行性，抚顺罕王兴洲矿业有限公司选矿厂1号系统生产能力为26万t/a，破碎车间粉尘经集气罩收集后进入布袋除尘器，通过1个15m排气筒排放，集气罩收集效率为99%，布袋除尘器处理效率为99%。</w:t>
      </w:r>
    </w:p>
    <w:p>
      <w:pPr>
        <w:spacing w:beforeLines="50" w:line="360" w:lineRule="auto"/>
        <w:ind w:firstLine="480" w:firstLineChars="200"/>
        <w:rPr>
          <w:rFonts w:hint="default" w:ascii="Times New Roman" w:hAnsi="Times New Roman" w:eastAsia="宋体" w:cs="Times New Roman"/>
          <w:sz w:val="24"/>
          <w:szCs w:val="22"/>
          <w:lang w:val="en-US" w:eastAsia="zh-CN"/>
        </w:rPr>
      </w:pPr>
      <w:r>
        <w:rPr>
          <w:rFonts w:hint="default" w:ascii="Times New Roman" w:hAnsi="Times New Roman" w:eastAsia="宋体" w:cs="Times New Roman"/>
          <w:sz w:val="24"/>
          <w:szCs w:val="22"/>
          <w:lang w:val="en-US" w:eastAsia="zh-CN"/>
        </w:rPr>
        <w:t>根据辽宁中环祥瑞工程技术有限公司于2021年11月3日对1号系统排气筒监测结果，颗粒物排放速率为0.172kg/h，得出本项目破碎车间颗粒物排放速率为0.331kg/h，2.38t/a，排放浓度为1.655mg/m</w:t>
      </w:r>
      <w:r>
        <w:rPr>
          <w:rFonts w:hint="default" w:ascii="Times New Roman" w:hAnsi="Times New Roman" w:eastAsia="宋体" w:cs="Times New Roman"/>
          <w:sz w:val="24"/>
          <w:szCs w:val="22"/>
          <w:vertAlign w:val="superscript"/>
          <w:lang w:val="en-US" w:eastAsia="zh-CN"/>
        </w:rPr>
        <w:t>3</w:t>
      </w:r>
      <w:r>
        <w:rPr>
          <w:rFonts w:hint="default" w:ascii="Times New Roman" w:hAnsi="Times New Roman" w:eastAsia="宋体" w:cs="Times New Roman"/>
          <w:sz w:val="24"/>
          <w:szCs w:val="22"/>
          <w:lang w:val="en-US" w:eastAsia="zh-CN"/>
        </w:rPr>
        <w:t>，则本项目破碎车间颗粒物产生量为33.43kg/h，240.73t/a，产生浓度为167.15mg/m</w:t>
      </w:r>
      <w:r>
        <w:rPr>
          <w:rFonts w:hint="default" w:ascii="Times New Roman" w:hAnsi="Times New Roman" w:eastAsia="宋体" w:cs="Times New Roman"/>
          <w:sz w:val="24"/>
          <w:szCs w:val="22"/>
          <w:vertAlign w:val="superscript"/>
          <w:lang w:val="en-US" w:eastAsia="zh-CN"/>
        </w:rPr>
        <w:t>3</w:t>
      </w:r>
      <w:r>
        <w:rPr>
          <w:rFonts w:hint="default" w:ascii="Times New Roman" w:hAnsi="Times New Roman" w:eastAsia="宋体" w:cs="Times New Roman"/>
          <w:sz w:val="24"/>
          <w:szCs w:val="22"/>
          <w:lang w:val="en-US" w:eastAsia="zh-CN"/>
        </w:rPr>
        <w:t>。</w:t>
      </w:r>
    </w:p>
    <w:p>
      <w:pPr>
        <w:spacing w:beforeLines="50" w:line="360" w:lineRule="auto"/>
        <w:ind w:firstLine="480" w:firstLineChars="200"/>
        <w:rPr>
          <w:rFonts w:hint="default" w:ascii="Times New Roman" w:hAnsi="Times New Roman" w:eastAsia="宋体" w:cs="Times New Roman"/>
          <w:sz w:val="24"/>
          <w:szCs w:val="22"/>
          <w:lang w:val="en-US" w:eastAsia="zh-CN"/>
        </w:rPr>
      </w:pPr>
      <w:r>
        <w:rPr>
          <w:rFonts w:hint="default" w:ascii="Times New Roman" w:hAnsi="Times New Roman" w:eastAsia="宋体" w:cs="Times New Roman"/>
          <w:sz w:val="24"/>
          <w:szCs w:val="22"/>
          <w:lang w:val="en-US" w:eastAsia="zh-CN"/>
        </w:rPr>
        <w:t>本项目颗粒物排放浓度满足</w:t>
      </w:r>
      <w:r>
        <w:rPr>
          <w:rFonts w:hint="default" w:ascii="Times New Roman" w:hAnsi="Times New Roman" w:eastAsia="宋体" w:cs="Times New Roman"/>
          <w:sz w:val="24"/>
          <w:szCs w:val="20"/>
        </w:rPr>
        <w:t>《铁矿采选工业污染物排放标准》（GB28661-2012）中表6大气污染物特别排放限值</w:t>
      </w:r>
      <w:r>
        <w:rPr>
          <w:rFonts w:hint="default" w:ascii="Times New Roman" w:hAnsi="Times New Roman" w:eastAsia="宋体" w:cs="Times New Roman"/>
          <w:sz w:val="24"/>
          <w:szCs w:val="22"/>
          <w:lang w:val="en-US" w:eastAsia="zh-CN"/>
        </w:rPr>
        <w:t>。</w:t>
      </w:r>
    </w:p>
    <w:p>
      <w:pPr>
        <w:spacing w:beforeLines="50" w:line="360" w:lineRule="auto"/>
        <w:ind w:firstLine="480" w:firstLineChars="200"/>
        <w:rPr>
          <w:rFonts w:hint="default" w:ascii="Times New Roman" w:hAnsi="Times New Roman" w:eastAsia="宋体" w:cs="Times New Roman"/>
          <w:sz w:val="24"/>
          <w:szCs w:val="22"/>
          <w:lang w:val="en-US" w:eastAsia="zh-CN"/>
        </w:rPr>
      </w:pP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2）无组织废气</w:t>
      </w:r>
    </w:p>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①原料卸料扬尘</w:t>
      </w:r>
    </w:p>
    <w:p>
      <w:pPr>
        <w:pStyle w:val="33"/>
        <w:spacing w:beforeLines="50" w:after="0" w:line="360" w:lineRule="auto"/>
        <w:ind w:left="0" w:leftChars="0"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推荐采用交通部水运研究所和武汉水运工程学院提出的装卸起尘量的经验公式估算：</w:t>
      </w:r>
    </w:p>
    <w:p>
      <w:pPr>
        <w:pStyle w:val="33"/>
        <w:spacing w:line="360" w:lineRule="auto"/>
        <w:ind w:left="0" w:leftChars="0"/>
        <w:jc w:val="center"/>
        <w:rPr>
          <w:rFonts w:hint="default" w:ascii="Times New Roman" w:hAnsi="Times New Roman" w:eastAsia="宋体" w:cs="Times New Roman"/>
          <w:sz w:val="24"/>
        </w:rPr>
      </w:pPr>
      <w:r>
        <w:rPr>
          <w:rFonts w:hint="default" w:ascii="Times New Roman" w:hAnsi="Times New Roman" w:eastAsia="宋体" w:cs="Times New Roman"/>
          <w:position w:val="-10"/>
          <w:sz w:val="24"/>
        </w:rPr>
        <w:object>
          <v:shape id="_x0000_i1028" o:spt="75" type="#_x0000_t75" style="height:18pt;width:111pt;" o:ole="t" filled="f" o:preferrelative="t" stroked="f" coordsize="21600,21600">
            <v:path/>
            <v:fill on="f" focussize="0,0"/>
            <v:stroke on="f" joinstyle="miter"/>
            <v:imagedata r:id="rId34" o:title=""/>
            <o:lock v:ext="edit" aspectratio="t"/>
            <w10:wrap type="none"/>
            <w10:anchorlock/>
          </v:shape>
          <o:OLEObject Type="Embed" ProgID="Equations" ShapeID="_x0000_i1028" DrawAspect="Content" ObjectID="_1468075728" r:id="rId33">
            <o:LockedField>false</o:LockedField>
          </o:OLEObject>
        </w:object>
      </w:r>
    </w:p>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式中：Q—物料装车时机械落差起尘量，kg/s；</w:t>
      </w:r>
    </w:p>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u—平均风速，m/s，取值2.2m/s；</w:t>
      </w:r>
    </w:p>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H—物料落差，m，取值1m；</w:t>
      </w:r>
    </w:p>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w—物料含水率，%，通过洒水抑尘增加物料含水率，本项目取值7；</w:t>
      </w:r>
    </w:p>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经计算，卸料起尘量为0.0149kg/s，本工程原料用量约</w:t>
      </w:r>
      <w:r>
        <w:rPr>
          <w:rFonts w:hint="default" w:ascii="Times New Roman" w:hAnsi="Times New Roman" w:eastAsia="宋体" w:cs="Times New Roman"/>
          <w:sz w:val="24"/>
          <w:lang w:val="en-US" w:eastAsia="zh-CN"/>
        </w:rPr>
        <w:t>200</w:t>
      </w:r>
      <w:r>
        <w:rPr>
          <w:rFonts w:hint="default" w:ascii="Times New Roman" w:hAnsi="Times New Roman" w:eastAsia="宋体" w:cs="Times New Roman"/>
          <w:sz w:val="24"/>
        </w:rPr>
        <w:t>万t/a，总卸料次数为</w:t>
      </w:r>
      <w:r>
        <w:rPr>
          <w:rFonts w:hint="default" w:ascii="Times New Roman" w:hAnsi="Times New Roman" w:eastAsia="宋体" w:cs="Times New Roman"/>
          <w:sz w:val="24"/>
          <w:lang w:val="en-US" w:eastAsia="zh-CN"/>
        </w:rPr>
        <w:t>40</w:t>
      </w:r>
      <w:r>
        <w:rPr>
          <w:rFonts w:hint="default" w:ascii="Times New Roman" w:hAnsi="Times New Roman" w:eastAsia="宋体" w:cs="Times New Roman"/>
          <w:sz w:val="24"/>
        </w:rPr>
        <w:t>万次，则原料卸料过程粉尘产生量为</w:t>
      </w:r>
      <w:r>
        <w:rPr>
          <w:rFonts w:hint="default" w:ascii="Times New Roman" w:hAnsi="Times New Roman" w:eastAsia="宋体" w:cs="Times New Roman"/>
          <w:sz w:val="24"/>
          <w:lang w:val="en-US" w:eastAsia="zh-CN"/>
        </w:rPr>
        <w:t>10.4</w:t>
      </w:r>
      <w:r>
        <w:rPr>
          <w:rFonts w:hint="default" w:ascii="Times New Roman" w:hAnsi="Times New Roman" w:eastAsia="宋体" w:cs="Times New Roman"/>
          <w:sz w:val="24"/>
        </w:rPr>
        <w:t>t/a，本项目</w:t>
      </w:r>
      <w:r>
        <w:rPr>
          <w:rFonts w:hint="default" w:ascii="Times New Roman" w:hAnsi="Times New Roman" w:eastAsia="宋体" w:cs="Times New Roman"/>
          <w:sz w:val="24"/>
          <w:lang w:eastAsia="zh-CN"/>
        </w:rPr>
        <w:t>原料存放于封闭厂房内，并</w:t>
      </w:r>
      <w:r>
        <w:rPr>
          <w:rFonts w:hint="default" w:ascii="Times New Roman" w:hAnsi="Times New Roman" w:eastAsia="宋体" w:cs="Times New Roman"/>
          <w:sz w:val="24"/>
        </w:rPr>
        <w:t>采取洒水抑尘，抑尘效率为90%，则原料卸料过程粉尘排放量为</w:t>
      </w:r>
      <w:r>
        <w:rPr>
          <w:rFonts w:hint="default" w:ascii="Times New Roman" w:hAnsi="Times New Roman" w:eastAsia="宋体" w:cs="Times New Roman"/>
          <w:sz w:val="24"/>
          <w:lang w:val="en-US" w:eastAsia="zh-CN"/>
        </w:rPr>
        <w:t>1.04</w:t>
      </w:r>
      <w:r>
        <w:rPr>
          <w:rFonts w:hint="default" w:ascii="Times New Roman" w:hAnsi="Times New Roman" w:eastAsia="宋体" w:cs="Times New Roman"/>
          <w:sz w:val="24"/>
        </w:rPr>
        <w:t>t/a。</w:t>
      </w:r>
    </w:p>
    <w:p>
      <w:pPr>
        <w:spacing w:beforeLines="50" w:line="360" w:lineRule="auto"/>
        <w:ind w:firstLine="480" w:firstLineChars="200"/>
        <w:rPr>
          <w:rFonts w:hint="default" w:ascii="Times New Roman" w:hAnsi="Times New Roman" w:eastAsia="宋体" w:cs="Times New Roman"/>
          <w:sz w:val="24"/>
          <w:szCs w:val="22"/>
        </w:rPr>
      </w:pPr>
      <w:r>
        <w:rPr>
          <w:rFonts w:hint="default" w:ascii="Times New Roman" w:hAnsi="Times New Roman" w:eastAsia="宋体" w:cs="Times New Roman"/>
          <w:sz w:val="24"/>
          <w:szCs w:val="22"/>
        </w:rPr>
        <w:t>②堆存粉尘</w:t>
      </w:r>
    </w:p>
    <w:p>
      <w:pPr>
        <w:spacing w:before="50" w:line="360" w:lineRule="auto"/>
        <w:ind w:firstLine="480" w:firstLineChars="200"/>
        <w:rPr>
          <w:rFonts w:hint="eastAsia" w:ascii="Times New Roman" w:hAnsi="Times New Roman" w:eastAsia="宋体" w:cs="Times New Roman"/>
          <w:sz w:val="24"/>
          <w:lang w:eastAsia="zh-CN"/>
        </w:rPr>
      </w:pPr>
      <w:r>
        <w:rPr>
          <w:rFonts w:hint="default" w:ascii="Times New Roman" w:hAnsi="Times New Roman" w:eastAsia="宋体" w:cs="Times New Roman"/>
          <w:sz w:val="24"/>
        </w:rPr>
        <w:t>本项目原矿石粒径较大，堆存</w:t>
      </w:r>
      <w:r>
        <w:rPr>
          <w:rFonts w:hint="eastAsia" w:ascii="Times New Roman" w:hAnsi="Times New Roman" w:eastAsia="宋体" w:cs="Times New Roman"/>
          <w:sz w:val="24"/>
          <w:lang w:eastAsia="zh-CN"/>
        </w:rPr>
        <w:t>粉尘</w:t>
      </w:r>
      <w:r>
        <w:rPr>
          <w:rFonts w:hint="default" w:ascii="Times New Roman" w:hAnsi="Times New Roman" w:eastAsia="宋体" w:cs="Times New Roman"/>
          <w:sz w:val="24"/>
        </w:rPr>
        <w:t>产生量较小，可忽略不计</w:t>
      </w:r>
      <w:r>
        <w:rPr>
          <w:rFonts w:hint="eastAsia" w:ascii="Times New Roman" w:hAnsi="Times New Roman" w:eastAsia="宋体" w:cs="Times New Roman"/>
          <w:sz w:val="24"/>
          <w:lang w:eastAsia="zh-CN"/>
        </w:rPr>
        <w:t>；产品铁精粉采用袋装储存，堆存粉尘基本可忽略不计。</w:t>
      </w:r>
    </w:p>
    <w:p>
      <w:pPr>
        <w:spacing w:before="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lang w:eastAsia="zh-CN"/>
        </w:rPr>
        <w:t>本项目尾矿仓</w:t>
      </w:r>
      <w:r>
        <w:rPr>
          <w:rFonts w:hint="default" w:ascii="Times New Roman" w:hAnsi="Times New Roman" w:eastAsia="宋体" w:cs="Times New Roman"/>
          <w:sz w:val="24"/>
        </w:rPr>
        <w:t>占地面积为</w:t>
      </w:r>
      <w:r>
        <w:rPr>
          <w:rFonts w:hint="default" w:ascii="Times New Roman" w:hAnsi="Times New Roman" w:eastAsia="宋体" w:cs="Times New Roman"/>
          <w:sz w:val="24"/>
          <w:lang w:val="en-US" w:eastAsia="zh-CN"/>
        </w:rPr>
        <w:t>3</w:t>
      </w:r>
      <w:r>
        <w:rPr>
          <w:rFonts w:hint="default" w:ascii="Times New Roman" w:hAnsi="Times New Roman" w:eastAsia="宋体" w:cs="Times New Roman"/>
          <w:sz w:val="24"/>
        </w:rPr>
        <w:t>00m</w:t>
      </w:r>
      <w:r>
        <w:rPr>
          <w:rFonts w:hint="default" w:ascii="Times New Roman" w:hAnsi="Times New Roman" w:eastAsia="宋体" w:cs="Times New Roman"/>
          <w:sz w:val="24"/>
          <w:vertAlign w:val="superscript"/>
        </w:rPr>
        <w:t>2</w:t>
      </w:r>
      <w:r>
        <w:rPr>
          <w:rFonts w:hint="default" w:ascii="Times New Roman" w:hAnsi="Times New Roman" w:eastAsia="宋体" w:cs="Times New Roman"/>
          <w:sz w:val="24"/>
        </w:rPr>
        <w:t>，堆高约3米，设计存储量为</w:t>
      </w:r>
      <w:r>
        <w:rPr>
          <w:rFonts w:hint="default" w:ascii="Times New Roman" w:hAnsi="Times New Roman" w:eastAsia="宋体" w:cs="Times New Roman"/>
          <w:sz w:val="24"/>
          <w:lang w:val="en-US" w:eastAsia="zh-CN"/>
        </w:rPr>
        <w:t>20</w:t>
      </w:r>
      <w:r>
        <w:rPr>
          <w:rFonts w:hint="default" w:ascii="Times New Roman" w:hAnsi="Times New Roman" w:eastAsia="宋体" w:cs="Times New Roman"/>
          <w:sz w:val="24"/>
        </w:rPr>
        <w:t>00t。根据《港口建设项目环境影响报告书规范》（JTJ226-1997），有关堆场起尘量的计算公式：</w:t>
      </w:r>
    </w:p>
    <w:p>
      <w:pPr>
        <w:spacing w:before="50" w:line="360" w:lineRule="auto"/>
        <w:ind w:firstLine="480" w:firstLineChars="200"/>
        <w:jc w:val="center"/>
        <w:rPr>
          <w:rFonts w:hint="default" w:ascii="Times New Roman" w:hAnsi="Times New Roman" w:eastAsia="宋体" w:cs="Times New Roman"/>
          <w:i/>
          <w:iCs/>
          <w:sz w:val="24"/>
        </w:rPr>
      </w:pPr>
      <w:r>
        <w:rPr>
          <w:rFonts w:hint="default" w:ascii="Times New Roman" w:hAnsi="Times New Roman" w:eastAsia="宋体" w:cs="Times New Roman"/>
          <w:i/>
          <w:iCs/>
          <w:sz w:val="24"/>
        </w:rPr>
        <w:t>Q</w:t>
      </w:r>
      <w:r>
        <w:rPr>
          <w:rFonts w:hint="default" w:ascii="Times New Roman" w:hAnsi="Times New Roman" w:eastAsia="宋体" w:cs="Times New Roman"/>
          <w:sz w:val="24"/>
        </w:rPr>
        <w:t>=</w:t>
      </w:r>
      <w:r>
        <w:rPr>
          <w:rFonts w:hint="default" w:ascii="Times New Roman" w:hAnsi="Times New Roman" w:eastAsia="宋体" w:cs="Times New Roman"/>
          <w:i/>
          <w:iCs/>
          <w:sz w:val="24"/>
        </w:rPr>
        <w:t>2.1(u-u0)3e</w:t>
      </w:r>
      <w:r>
        <w:rPr>
          <w:rFonts w:hint="default" w:ascii="Times New Roman" w:hAnsi="Times New Roman" w:eastAsia="宋体" w:cs="Times New Roman"/>
          <w:sz w:val="24"/>
        </w:rPr>
        <w:t>－</w:t>
      </w:r>
      <w:r>
        <w:rPr>
          <w:rFonts w:hint="default" w:ascii="Times New Roman" w:hAnsi="Times New Roman" w:eastAsia="宋体" w:cs="Times New Roman"/>
          <w:i/>
          <w:iCs/>
          <w:sz w:val="24"/>
        </w:rPr>
        <w:t>1.023W</w:t>
      </w:r>
    </w:p>
    <w:p>
      <w:pPr>
        <w:spacing w:before="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式中</w:t>
      </w:r>
      <w:r>
        <w:rPr>
          <w:rFonts w:hint="default" w:ascii="Times New Roman" w:hAnsi="Times New Roman" w:eastAsia="宋体" w:cs="Times New Roman"/>
          <w:i/>
          <w:iCs/>
          <w:sz w:val="24"/>
        </w:rPr>
        <w:t>Q——</w:t>
      </w:r>
      <w:r>
        <w:rPr>
          <w:rFonts w:hint="default" w:ascii="Times New Roman" w:hAnsi="Times New Roman" w:eastAsia="宋体" w:cs="Times New Roman"/>
          <w:sz w:val="24"/>
        </w:rPr>
        <w:t>矿石堆起尘量，kg/t・a；</w:t>
      </w:r>
    </w:p>
    <w:p>
      <w:pPr>
        <w:spacing w:before="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i/>
          <w:iCs/>
          <w:sz w:val="24"/>
        </w:rPr>
        <w:t>u——</w:t>
      </w:r>
      <w:r>
        <w:rPr>
          <w:rFonts w:hint="default" w:ascii="Times New Roman" w:hAnsi="Times New Roman" w:eastAsia="宋体" w:cs="Times New Roman"/>
          <w:sz w:val="24"/>
        </w:rPr>
        <w:t>堆场起尘条件下的风速，m/s，取值为2.2m/s；</w:t>
      </w:r>
    </w:p>
    <w:p>
      <w:pPr>
        <w:spacing w:before="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i/>
          <w:iCs/>
          <w:sz w:val="24"/>
        </w:rPr>
        <w:t>u0——</w:t>
      </w:r>
      <w:r>
        <w:rPr>
          <w:rFonts w:hint="default" w:ascii="Times New Roman" w:hAnsi="Times New Roman" w:eastAsia="宋体" w:cs="Times New Roman"/>
          <w:sz w:val="24"/>
        </w:rPr>
        <w:t>为煤起尘风速，m/s，根据北京环科院的实验数据为1.44m/s；</w:t>
      </w:r>
    </w:p>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i/>
          <w:iCs/>
          <w:sz w:val="24"/>
        </w:rPr>
        <w:t>W——</w:t>
      </w:r>
      <w:r>
        <w:rPr>
          <w:rFonts w:hint="default" w:ascii="Times New Roman" w:hAnsi="Times New Roman" w:eastAsia="宋体" w:cs="Times New Roman"/>
          <w:sz w:val="24"/>
        </w:rPr>
        <w:t>湿含量，取值为7%。计算结果</w:t>
      </w:r>
      <w:r>
        <w:rPr>
          <w:rFonts w:hint="default" w:ascii="Times New Roman" w:hAnsi="Times New Roman" w:eastAsia="宋体" w:cs="Times New Roman"/>
          <w:i/>
          <w:iCs/>
          <w:sz w:val="24"/>
        </w:rPr>
        <w:t>Q</w:t>
      </w:r>
      <w:r>
        <w:rPr>
          <w:rFonts w:hint="default" w:ascii="Times New Roman" w:hAnsi="Times New Roman" w:eastAsia="宋体" w:cs="Times New Roman"/>
          <w:sz w:val="24"/>
        </w:rPr>
        <w:t>＝0.056(kg/t.a)，则TSP排放量为</w:t>
      </w:r>
      <w:r>
        <w:rPr>
          <w:rFonts w:hint="default" w:ascii="Times New Roman" w:hAnsi="Times New Roman" w:eastAsia="宋体" w:cs="Times New Roman"/>
          <w:sz w:val="24"/>
          <w:lang w:val="en-US" w:eastAsia="zh-CN"/>
        </w:rPr>
        <w:t>11.22</w:t>
      </w:r>
      <w:r>
        <w:rPr>
          <w:rFonts w:hint="default" w:ascii="Times New Roman" w:hAnsi="Times New Roman" w:eastAsia="宋体" w:cs="Times New Roman"/>
          <w:sz w:val="24"/>
        </w:rPr>
        <w:t>t/a，本项目</w:t>
      </w:r>
      <w:r>
        <w:rPr>
          <w:rFonts w:hint="default" w:ascii="Times New Roman" w:hAnsi="Times New Roman" w:eastAsia="宋体" w:cs="Times New Roman"/>
          <w:sz w:val="24"/>
          <w:lang w:eastAsia="zh-CN"/>
        </w:rPr>
        <w:t>尾矿存放于封闭库房内，</w:t>
      </w:r>
      <w:r>
        <w:rPr>
          <w:rFonts w:hint="default" w:ascii="Times New Roman" w:hAnsi="Times New Roman" w:eastAsia="宋体" w:cs="Times New Roman"/>
          <w:sz w:val="24"/>
        </w:rPr>
        <w:t>采取喷头洒水方式对其进行抑尘，抑尘效率为90%，则</w:t>
      </w:r>
      <w:r>
        <w:rPr>
          <w:rFonts w:hint="default" w:ascii="Times New Roman" w:hAnsi="Times New Roman" w:eastAsia="宋体" w:cs="Times New Roman"/>
          <w:sz w:val="24"/>
          <w:szCs w:val="22"/>
          <w:lang w:eastAsia="zh-CN"/>
        </w:rPr>
        <w:t>尾矿</w:t>
      </w:r>
      <w:r>
        <w:rPr>
          <w:rFonts w:hint="default" w:ascii="Times New Roman" w:hAnsi="Times New Roman" w:eastAsia="宋体" w:cs="Times New Roman"/>
          <w:sz w:val="24"/>
          <w:szCs w:val="22"/>
        </w:rPr>
        <w:t>堆存粉尘</w:t>
      </w:r>
      <w:r>
        <w:rPr>
          <w:rFonts w:hint="default" w:ascii="Times New Roman" w:hAnsi="Times New Roman" w:eastAsia="宋体" w:cs="Times New Roman"/>
          <w:sz w:val="24"/>
        </w:rPr>
        <w:t>排放量为</w:t>
      </w:r>
      <w:r>
        <w:rPr>
          <w:rFonts w:hint="default" w:ascii="Times New Roman" w:hAnsi="Times New Roman" w:eastAsia="宋体" w:cs="Times New Roman"/>
          <w:sz w:val="24"/>
          <w:lang w:val="en-US" w:eastAsia="zh-CN"/>
        </w:rPr>
        <w:t>1.12</w:t>
      </w:r>
      <w:r>
        <w:rPr>
          <w:rFonts w:hint="default" w:ascii="Times New Roman" w:hAnsi="Times New Roman" w:eastAsia="宋体" w:cs="Times New Roman"/>
          <w:sz w:val="24"/>
        </w:rPr>
        <w:t>t/a。</w:t>
      </w:r>
    </w:p>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szCs w:val="22"/>
        </w:rPr>
        <w:t>③</w:t>
      </w:r>
      <w:r>
        <w:rPr>
          <w:rFonts w:hint="default" w:ascii="Times New Roman" w:hAnsi="Times New Roman" w:eastAsia="宋体" w:cs="Times New Roman"/>
          <w:sz w:val="24"/>
        </w:rPr>
        <w:t>皮带输送粉尘</w:t>
      </w:r>
    </w:p>
    <w:p>
      <w:pPr>
        <w:spacing w:beforeLines="50" w:line="360" w:lineRule="auto"/>
        <w:ind w:firstLine="480" w:firstLineChars="200"/>
        <w:rPr>
          <w:rFonts w:hint="default" w:ascii="Times New Roman" w:hAnsi="Times New Roman" w:eastAsia="宋体" w:cs="Times New Roman"/>
          <w:bCs/>
          <w:sz w:val="24"/>
        </w:rPr>
      </w:pPr>
      <w:r>
        <w:rPr>
          <w:rFonts w:hint="default" w:ascii="Times New Roman" w:hAnsi="Times New Roman" w:eastAsia="宋体" w:cs="Times New Roman"/>
          <w:bCs/>
          <w:sz w:val="24"/>
          <w:lang w:eastAsia="zh-CN"/>
        </w:rPr>
        <w:t>本项目</w:t>
      </w:r>
      <w:r>
        <w:rPr>
          <w:rFonts w:hint="default" w:ascii="Times New Roman" w:hAnsi="Times New Roman" w:eastAsia="宋体" w:cs="Times New Roman"/>
          <w:bCs/>
          <w:sz w:val="24"/>
        </w:rPr>
        <w:t>皮带输送</w:t>
      </w:r>
      <w:r>
        <w:rPr>
          <w:rFonts w:hint="default" w:ascii="Times New Roman" w:hAnsi="Times New Roman" w:eastAsia="宋体" w:cs="Times New Roman"/>
          <w:bCs/>
          <w:sz w:val="24"/>
          <w:lang w:eastAsia="zh-CN"/>
        </w:rPr>
        <w:t>为全封闭式，且</w:t>
      </w:r>
      <w:r>
        <w:rPr>
          <w:rFonts w:hint="default" w:ascii="Times New Roman" w:hAnsi="Times New Roman" w:eastAsia="宋体" w:cs="Times New Roman"/>
          <w:bCs/>
          <w:sz w:val="24"/>
        </w:rPr>
        <w:t>布置在封闭车间内，</w:t>
      </w:r>
      <w:r>
        <w:rPr>
          <w:rFonts w:hint="default" w:ascii="Times New Roman" w:hAnsi="Times New Roman" w:eastAsia="宋体" w:cs="Times New Roman"/>
          <w:bCs/>
          <w:sz w:val="24"/>
          <w:lang w:eastAsia="zh-CN"/>
        </w:rPr>
        <w:t>粉尘产生量</w:t>
      </w:r>
      <w:r>
        <w:rPr>
          <w:rFonts w:hint="default" w:ascii="Times New Roman" w:hAnsi="Times New Roman" w:eastAsia="宋体" w:cs="Times New Roman"/>
          <w:sz w:val="24"/>
        </w:rPr>
        <w:t>可忽略不计</w:t>
      </w:r>
      <w:r>
        <w:rPr>
          <w:rFonts w:hint="default" w:ascii="Times New Roman" w:hAnsi="Times New Roman" w:eastAsia="宋体" w:cs="Times New Roman"/>
          <w:bCs/>
          <w:sz w:val="24"/>
        </w:rPr>
        <w:t>。</w:t>
      </w:r>
    </w:p>
    <w:p>
      <w:pPr>
        <w:spacing w:beforeLines="50" w:line="360" w:lineRule="auto"/>
        <w:ind w:firstLine="480" w:firstLineChars="200"/>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sz w:val="24"/>
        </w:rPr>
        <w:t>④</w:t>
      </w:r>
      <w:r>
        <w:rPr>
          <w:rFonts w:hint="default" w:ascii="Times New Roman" w:hAnsi="Times New Roman" w:eastAsia="宋体" w:cs="Times New Roman"/>
          <w:color w:val="auto"/>
          <w:kern w:val="0"/>
          <w:sz w:val="24"/>
          <w:lang w:eastAsia="zh-CN"/>
        </w:rPr>
        <w:t>车间无组织粉尘</w:t>
      </w:r>
    </w:p>
    <w:p>
      <w:pPr>
        <w:spacing w:beforeLines="50" w:line="360" w:lineRule="auto"/>
        <w:ind w:firstLine="480" w:firstLineChars="200"/>
        <w:rPr>
          <w:rFonts w:hint="default" w:ascii="Times New Roman" w:hAnsi="Times New Roman" w:eastAsia="宋体" w:cs="Times New Roman"/>
          <w:color w:val="auto"/>
          <w:kern w:val="0"/>
          <w:sz w:val="24"/>
          <w:lang w:val="en-US" w:eastAsia="zh-CN"/>
        </w:rPr>
      </w:pPr>
      <w:r>
        <w:rPr>
          <w:rFonts w:hint="default" w:ascii="Times New Roman" w:hAnsi="Times New Roman" w:eastAsia="宋体" w:cs="Times New Roman"/>
          <w:color w:val="auto"/>
          <w:kern w:val="0"/>
          <w:sz w:val="24"/>
          <w:lang w:val="en-US" w:eastAsia="zh-CN"/>
        </w:rPr>
        <w:t>根据前文分析，破碎车间产生的粉尘无组织散逸量为0.34kg/h，2.42t/a。破碎车间</w:t>
      </w:r>
      <w:r>
        <w:rPr>
          <w:rFonts w:hint="default" w:ascii="Times New Roman" w:hAnsi="Times New Roman" w:eastAsia="宋体" w:cs="Times New Roman"/>
          <w:color w:val="auto"/>
          <w:kern w:val="0"/>
          <w:sz w:val="24"/>
          <w:lang w:eastAsia="zh-CN"/>
        </w:rPr>
        <w:t>为全封闭，</w:t>
      </w:r>
      <w:r>
        <w:rPr>
          <w:rFonts w:hint="default" w:ascii="Times New Roman" w:hAnsi="Times New Roman" w:eastAsia="宋体" w:cs="Times New Roman"/>
          <w:color w:val="auto"/>
          <w:kern w:val="0"/>
          <w:sz w:val="24"/>
          <w:lang w:val="en-US" w:eastAsia="zh-CN"/>
        </w:rPr>
        <w:t>采用</w:t>
      </w:r>
      <w:r>
        <w:rPr>
          <w:rFonts w:hint="default" w:ascii="Times New Roman" w:hAnsi="Times New Roman" w:eastAsia="宋体" w:cs="Times New Roman"/>
          <w:color w:val="auto"/>
          <w:kern w:val="0"/>
          <w:sz w:val="24"/>
          <w:lang w:eastAsia="zh-CN"/>
        </w:rPr>
        <w:t>洒水抑尘。</w:t>
      </w:r>
      <w:r>
        <w:rPr>
          <w:rFonts w:hint="default" w:ascii="Times New Roman" w:hAnsi="Times New Roman" w:eastAsia="宋体" w:cs="Times New Roman"/>
          <w:sz w:val="24"/>
        </w:rPr>
        <w:t>抑尘效率为90%，则</w:t>
      </w:r>
      <w:r>
        <w:rPr>
          <w:rFonts w:hint="default" w:ascii="Times New Roman" w:hAnsi="Times New Roman" w:eastAsia="宋体" w:cs="Times New Roman"/>
          <w:color w:val="auto"/>
          <w:kern w:val="0"/>
          <w:sz w:val="24"/>
          <w:lang w:eastAsia="zh-CN"/>
        </w:rPr>
        <w:t>车间无组织粉尘</w:t>
      </w:r>
      <w:r>
        <w:rPr>
          <w:rFonts w:hint="default" w:ascii="Times New Roman" w:hAnsi="Times New Roman" w:eastAsia="宋体" w:cs="Times New Roman"/>
          <w:sz w:val="24"/>
        </w:rPr>
        <w:t>排放量为</w:t>
      </w:r>
      <w:r>
        <w:rPr>
          <w:rFonts w:hint="default" w:ascii="Times New Roman" w:hAnsi="Times New Roman" w:eastAsia="宋体" w:cs="Times New Roman"/>
          <w:color w:val="auto"/>
          <w:kern w:val="0"/>
          <w:sz w:val="24"/>
          <w:lang w:val="en-US" w:eastAsia="zh-CN"/>
        </w:rPr>
        <w:t>0.034kg/h，0.242t/a</w:t>
      </w:r>
      <w:r>
        <w:rPr>
          <w:rFonts w:hint="default" w:ascii="Times New Roman" w:hAnsi="Times New Roman" w:eastAsia="宋体" w:cs="Times New Roman"/>
          <w:sz w:val="24"/>
        </w:rPr>
        <w:t>。</w:t>
      </w:r>
    </w:p>
    <w:p>
      <w:pPr>
        <w:spacing w:beforeLines="50" w:line="360" w:lineRule="auto"/>
        <w:ind w:firstLine="480" w:firstLineChars="200"/>
        <w:rPr>
          <w:rFonts w:hint="default" w:ascii="Times New Roman" w:hAnsi="Times New Roman" w:eastAsia="宋体" w:cs="Times New Roman"/>
          <w:color w:val="auto"/>
          <w:kern w:val="0"/>
          <w:sz w:val="24"/>
          <w:lang w:eastAsia="zh-CN"/>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p>
      <w:pPr>
        <w:pStyle w:val="61"/>
        <w:rPr>
          <w:rFonts w:hint="default" w:ascii="Times New Roman" w:hAnsi="Times New Roman" w:eastAsia="宋体" w:cs="Times New Roman"/>
          <w:color w:val="auto"/>
        </w:rPr>
      </w:pPr>
    </w:p>
    <w:p>
      <w:pP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表3.1-</w:t>
      </w:r>
      <w:r>
        <w:rPr>
          <w:rFonts w:hint="default" w:ascii="Times New Roman" w:hAnsi="Times New Roman" w:eastAsia="宋体" w:cs="Times New Roman"/>
          <w:color w:val="auto"/>
          <w:sz w:val="24"/>
          <w:lang w:val="en-US" w:eastAsia="zh-CN"/>
        </w:rPr>
        <w:t>9</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kern w:val="0"/>
          <w:sz w:val="24"/>
          <w:lang w:eastAsia="zh-CN"/>
        </w:rPr>
        <w:t>有组织废气</w:t>
      </w:r>
      <w:r>
        <w:rPr>
          <w:rFonts w:hint="default" w:ascii="Times New Roman" w:hAnsi="Times New Roman" w:eastAsia="宋体" w:cs="Times New Roman"/>
          <w:color w:val="auto"/>
          <w:sz w:val="24"/>
        </w:rPr>
        <w:t>排放</w:t>
      </w:r>
      <w:r>
        <w:rPr>
          <w:rFonts w:hint="default" w:ascii="Times New Roman" w:hAnsi="Times New Roman" w:eastAsia="宋体" w:cs="Times New Roman"/>
          <w:color w:val="auto"/>
          <w:sz w:val="24"/>
          <w:lang w:eastAsia="zh-CN"/>
        </w:rPr>
        <w:t>汇总</w:t>
      </w:r>
      <w:r>
        <w:rPr>
          <w:rFonts w:hint="default" w:ascii="Times New Roman" w:hAnsi="Times New Roman" w:eastAsia="宋体" w:cs="Times New Roman"/>
          <w:color w:val="auto"/>
          <w:sz w:val="24"/>
        </w:rPr>
        <w:t xml:space="preserve">表    </w:t>
      </w:r>
    </w:p>
    <w:tbl>
      <w:tblPr>
        <w:tblStyle w:val="52"/>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3"/>
        <w:gridCol w:w="447"/>
        <w:gridCol w:w="680"/>
        <w:gridCol w:w="731"/>
        <w:gridCol w:w="882"/>
        <w:gridCol w:w="663"/>
        <w:gridCol w:w="791"/>
        <w:gridCol w:w="757"/>
        <w:gridCol w:w="877"/>
        <w:gridCol w:w="990"/>
        <w:gridCol w:w="683"/>
        <w:gridCol w:w="712"/>
        <w:gridCol w:w="831"/>
        <w:gridCol w:w="758"/>
        <w:gridCol w:w="899"/>
        <w:gridCol w:w="712"/>
        <w:gridCol w:w="712"/>
        <w:gridCol w:w="720"/>
        <w:gridCol w:w="71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3" w:type="pct"/>
            <w:vMerge w:val="restar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工艺</w:t>
            </w:r>
          </w:p>
        </w:tc>
        <w:tc>
          <w:tcPr>
            <w:tcW w:w="157" w:type="pct"/>
            <w:vMerge w:val="restar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污染源</w:t>
            </w:r>
          </w:p>
        </w:tc>
        <w:tc>
          <w:tcPr>
            <w:tcW w:w="496" w:type="pct"/>
            <w:gridSpan w:val="2"/>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排气筒参数</w:t>
            </w:r>
          </w:p>
        </w:tc>
        <w:tc>
          <w:tcPr>
            <w:tcW w:w="310" w:type="pct"/>
            <w:vMerge w:val="restar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污染物</w:t>
            </w:r>
          </w:p>
        </w:tc>
        <w:tc>
          <w:tcPr>
            <w:tcW w:w="1085" w:type="pct"/>
            <w:gridSpan w:val="4"/>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污染物产生情况</w:t>
            </w:r>
          </w:p>
        </w:tc>
        <w:tc>
          <w:tcPr>
            <w:tcW w:w="588" w:type="pct"/>
            <w:gridSpan w:val="2"/>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治理措施</w:t>
            </w:r>
          </w:p>
        </w:tc>
        <w:tc>
          <w:tcPr>
            <w:tcW w:w="1125" w:type="pct"/>
            <w:gridSpan w:val="4"/>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污染物排放情况</w:t>
            </w:r>
          </w:p>
        </w:tc>
        <w:tc>
          <w:tcPr>
            <w:tcW w:w="250"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排放时间</w:t>
            </w:r>
          </w:p>
        </w:tc>
        <w:tc>
          <w:tcPr>
            <w:tcW w:w="503" w:type="pct"/>
            <w:gridSpan w:val="2"/>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执行标准</w:t>
            </w:r>
          </w:p>
        </w:tc>
        <w:tc>
          <w:tcPr>
            <w:tcW w:w="250" w:type="pct"/>
            <w:vMerge w:val="restar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达标评价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3" w:type="pct"/>
            <w:vMerge w:val="continue"/>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p>
        </w:tc>
        <w:tc>
          <w:tcPr>
            <w:tcW w:w="157" w:type="pct"/>
            <w:vMerge w:val="continue"/>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p>
        </w:tc>
        <w:tc>
          <w:tcPr>
            <w:tcW w:w="239"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高度</w:t>
            </w:r>
          </w:p>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m</w:t>
            </w:r>
          </w:p>
        </w:tc>
        <w:tc>
          <w:tcPr>
            <w:tcW w:w="257"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内径</w:t>
            </w:r>
          </w:p>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m</w:t>
            </w:r>
          </w:p>
        </w:tc>
        <w:tc>
          <w:tcPr>
            <w:tcW w:w="310" w:type="pct"/>
            <w:vMerge w:val="continue"/>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p>
        </w:tc>
        <w:tc>
          <w:tcPr>
            <w:tcW w:w="233"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核算方法</w:t>
            </w:r>
          </w:p>
        </w:tc>
        <w:tc>
          <w:tcPr>
            <w:tcW w:w="278"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废气</w:t>
            </w:r>
          </w:p>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量m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vertAlign w:val="baseline"/>
              </w:rPr>
              <w:t>/h</w:t>
            </w:r>
          </w:p>
        </w:tc>
        <w:tc>
          <w:tcPr>
            <w:tcW w:w="266"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浓度mg/m</w:t>
            </w:r>
            <w:r>
              <w:rPr>
                <w:rFonts w:hint="default" w:ascii="Times New Roman" w:hAnsi="Times New Roman" w:eastAsia="宋体" w:cs="Times New Roman"/>
                <w:color w:val="auto"/>
                <w:sz w:val="21"/>
                <w:szCs w:val="21"/>
                <w:vertAlign w:val="superscript"/>
              </w:rPr>
              <w:t>3</w:t>
            </w:r>
          </w:p>
        </w:tc>
        <w:tc>
          <w:tcPr>
            <w:tcW w:w="308"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产生量</w:t>
            </w:r>
          </w:p>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kg/h</w:t>
            </w:r>
          </w:p>
        </w:tc>
        <w:tc>
          <w:tcPr>
            <w:tcW w:w="348"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工艺名称</w:t>
            </w:r>
          </w:p>
        </w:tc>
        <w:tc>
          <w:tcPr>
            <w:tcW w:w="240"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去除效率</w:t>
            </w:r>
          </w:p>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w:t>
            </w:r>
          </w:p>
        </w:tc>
        <w:tc>
          <w:tcPr>
            <w:tcW w:w="250"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rPr>
              <w:t>核算方法</w:t>
            </w:r>
          </w:p>
        </w:tc>
        <w:tc>
          <w:tcPr>
            <w:tcW w:w="292"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废气</w:t>
            </w:r>
          </w:p>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rPr>
              <w:t>量m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vertAlign w:val="baseline"/>
              </w:rPr>
              <w:t>/h</w:t>
            </w:r>
          </w:p>
        </w:tc>
        <w:tc>
          <w:tcPr>
            <w:tcW w:w="266"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rPr>
              <w:t>浓度mg/m</w:t>
            </w:r>
            <w:r>
              <w:rPr>
                <w:rFonts w:hint="default" w:ascii="Times New Roman" w:hAnsi="Times New Roman" w:eastAsia="宋体" w:cs="Times New Roman"/>
                <w:color w:val="auto"/>
                <w:sz w:val="21"/>
                <w:szCs w:val="21"/>
                <w:vertAlign w:val="superscript"/>
              </w:rPr>
              <w:t>3</w:t>
            </w:r>
          </w:p>
        </w:tc>
        <w:tc>
          <w:tcPr>
            <w:tcW w:w="316"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val="en-US" w:eastAsia="zh-CN"/>
              </w:rPr>
              <w:t>排放</w:t>
            </w:r>
          </w:p>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rPr>
              <w:t>量kg/h</w:t>
            </w:r>
          </w:p>
        </w:tc>
        <w:tc>
          <w:tcPr>
            <w:tcW w:w="250"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Hr/a</w:t>
            </w:r>
          </w:p>
        </w:tc>
        <w:tc>
          <w:tcPr>
            <w:tcW w:w="250"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浓度mg/m</w:t>
            </w:r>
          </w:p>
        </w:tc>
        <w:tc>
          <w:tcPr>
            <w:tcW w:w="253"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速率kg/h</w:t>
            </w:r>
          </w:p>
        </w:tc>
        <w:tc>
          <w:tcPr>
            <w:tcW w:w="250" w:type="pct"/>
            <w:vMerge w:val="continue"/>
            <w:tcBorders>
              <w:tl2br w:val="nil"/>
              <w:tr2bl w:val="nil"/>
            </w:tcBorders>
            <w:noWrap w:val="0"/>
            <w:vAlign w:val="top"/>
          </w:tcPr>
          <w:p>
            <w:pPr>
              <w:pStyle w:val="61"/>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auto"/>
                <w:sz w:val="21"/>
                <w:szCs w:val="21"/>
                <w:vertAlign w:val="baseli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3"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破碎车间</w:t>
            </w:r>
          </w:p>
        </w:tc>
        <w:tc>
          <w:tcPr>
            <w:tcW w:w="157"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P1</w:t>
            </w:r>
          </w:p>
        </w:tc>
        <w:tc>
          <w:tcPr>
            <w:tcW w:w="239"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c>
          <w:tcPr>
            <w:tcW w:w="257"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0.5</w:t>
            </w:r>
          </w:p>
        </w:tc>
        <w:tc>
          <w:tcPr>
            <w:tcW w:w="310"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颗粒物</w:t>
            </w:r>
          </w:p>
        </w:tc>
        <w:tc>
          <w:tcPr>
            <w:tcW w:w="233"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类比</w:t>
            </w:r>
          </w:p>
        </w:tc>
        <w:tc>
          <w:tcPr>
            <w:tcW w:w="278"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200000</w:t>
            </w:r>
          </w:p>
        </w:tc>
        <w:tc>
          <w:tcPr>
            <w:tcW w:w="266"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rPr>
            </w:pPr>
            <w:r>
              <w:rPr>
                <w:rFonts w:hint="default" w:ascii="Times New Roman" w:hAnsi="Times New Roman" w:eastAsia="宋体" w:cs="Times New Roman"/>
                <w:color w:val="auto"/>
                <w:sz w:val="21"/>
                <w:szCs w:val="21"/>
                <w:lang w:val="en-US" w:eastAsia="zh-CN"/>
              </w:rPr>
              <w:t>167.15</w:t>
            </w:r>
          </w:p>
        </w:tc>
        <w:tc>
          <w:tcPr>
            <w:tcW w:w="308"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rPr>
            </w:pPr>
            <w:r>
              <w:rPr>
                <w:rFonts w:hint="default" w:ascii="Times New Roman" w:hAnsi="Times New Roman" w:eastAsia="宋体" w:cs="Times New Roman"/>
                <w:color w:val="auto"/>
                <w:sz w:val="21"/>
                <w:szCs w:val="21"/>
                <w:lang w:val="en-US" w:eastAsia="zh-CN"/>
              </w:rPr>
              <w:t>33.43</w:t>
            </w:r>
          </w:p>
        </w:tc>
        <w:tc>
          <w:tcPr>
            <w:tcW w:w="348"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布袋除尘器</w:t>
            </w:r>
          </w:p>
        </w:tc>
        <w:tc>
          <w:tcPr>
            <w:tcW w:w="240"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99</w:t>
            </w:r>
          </w:p>
        </w:tc>
        <w:tc>
          <w:tcPr>
            <w:tcW w:w="250"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类比</w:t>
            </w:r>
          </w:p>
        </w:tc>
        <w:tc>
          <w:tcPr>
            <w:tcW w:w="292"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200000</w:t>
            </w:r>
          </w:p>
        </w:tc>
        <w:tc>
          <w:tcPr>
            <w:tcW w:w="266"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1.655</w:t>
            </w:r>
          </w:p>
        </w:tc>
        <w:tc>
          <w:tcPr>
            <w:tcW w:w="316"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0.331</w:t>
            </w:r>
          </w:p>
        </w:tc>
        <w:tc>
          <w:tcPr>
            <w:tcW w:w="250"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7200</w:t>
            </w:r>
          </w:p>
        </w:tc>
        <w:tc>
          <w:tcPr>
            <w:tcW w:w="250"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w:t>
            </w:r>
          </w:p>
        </w:tc>
        <w:tc>
          <w:tcPr>
            <w:tcW w:w="253"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250" w:type="pc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bl>
    <w:p>
      <w:pP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 xml:space="preserve">    </w:t>
      </w:r>
    </w:p>
    <w:p>
      <w:pPr>
        <w:pStyle w:val="74"/>
        <w:spacing w:beforeLines="50" w:line="360" w:lineRule="auto"/>
        <w:ind w:firstLine="0" w:firstLineChars="0"/>
        <w:rPr>
          <w:rFonts w:hint="default" w:ascii="Times New Roman" w:hAnsi="Times New Roman" w:eastAsia="宋体" w:cs="Times New Roman"/>
          <w:b/>
          <w:color w:val="auto"/>
          <w:sz w:val="28"/>
          <w:szCs w:val="28"/>
        </w:rPr>
        <w:sectPr>
          <w:pgSz w:w="16840" w:h="11907" w:orient="landscape"/>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p>
      <w:pPr>
        <w:bidi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kern w:val="0"/>
          <w:sz w:val="24"/>
        </w:rPr>
        <w:t>项目</w:t>
      </w:r>
      <w:r>
        <w:rPr>
          <w:rFonts w:hint="default" w:ascii="Times New Roman" w:hAnsi="Times New Roman" w:eastAsia="宋体" w:cs="Times New Roman"/>
          <w:color w:val="auto"/>
          <w:kern w:val="0"/>
          <w:sz w:val="24"/>
          <w:lang w:eastAsia="zh-CN"/>
        </w:rPr>
        <w:t>无组织废气</w:t>
      </w:r>
      <w:r>
        <w:rPr>
          <w:rFonts w:hint="default" w:ascii="Times New Roman" w:hAnsi="Times New Roman" w:eastAsia="宋体" w:cs="Times New Roman"/>
          <w:color w:val="auto"/>
          <w:kern w:val="0"/>
          <w:sz w:val="24"/>
        </w:rPr>
        <w:t>排放</w:t>
      </w:r>
      <w:r>
        <w:rPr>
          <w:rFonts w:hint="default" w:ascii="Times New Roman" w:hAnsi="Times New Roman" w:eastAsia="宋体" w:cs="Times New Roman"/>
          <w:color w:val="auto"/>
          <w:kern w:val="0"/>
          <w:sz w:val="24"/>
          <w:lang w:eastAsia="zh-CN"/>
        </w:rPr>
        <w:t>汇总</w:t>
      </w:r>
      <w:r>
        <w:rPr>
          <w:rFonts w:hint="default" w:ascii="Times New Roman" w:hAnsi="Times New Roman" w:eastAsia="宋体" w:cs="Times New Roman"/>
          <w:color w:val="auto"/>
          <w:kern w:val="0"/>
          <w:sz w:val="24"/>
        </w:rPr>
        <w:t>见表3.1</w:t>
      </w:r>
      <w:r>
        <w:rPr>
          <w:rFonts w:hint="default" w:ascii="Times New Roman" w:hAnsi="Times New Roman" w:eastAsia="宋体" w:cs="Times New Roman"/>
          <w:color w:val="auto"/>
          <w:kern w:val="0"/>
          <w:sz w:val="24"/>
          <w:lang w:val="en-US" w:eastAsia="zh-CN"/>
        </w:rPr>
        <w:t>-10。</w:t>
      </w:r>
    </w:p>
    <w:p>
      <w:pPr>
        <w:pStyle w:val="74"/>
        <w:spacing w:beforeLines="50" w:line="480" w:lineRule="exact"/>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表3.1-10                     无</w:t>
      </w:r>
      <w:r>
        <w:rPr>
          <w:rFonts w:hint="default" w:ascii="Times New Roman" w:hAnsi="Times New Roman" w:eastAsia="宋体" w:cs="Times New Roman"/>
          <w:color w:val="auto"/>
          <w:kern w:val="0"/>
          <w:sz w:val="24"/>
          <w:lang w:eastAsia="zh-CN"/>
        </w:rPr>
        <w:t>组织废气</w:t>
      </w:r>
      <w:r>
        <w:rPr>
          <w:rFonts w:hint="default" w:ascii="Times New Roman" w:hAnsi="Times New Roman" w:eastAsia="宋体" w:cs="Times New Roman"/>
          <w:color w:val="auto"/>
          <w:sz w:val="24"/>
        </w:rPr>
        <w:t>排放</w:t>
      </w:r>
      <w:r>
        <w:rPr>
          <w:rFonts w:hint="default" w:ascii="Times New Roman" w:hAnsi="Times New Roman" w:eastAsia="宋体" w:cs="Times New Roman"/>
          <w:color w:val="auto"/>
          <w:sz w:val="24"/>
          <w:lang w:eastAsia="zh-CN"/>
        </w:rPr>
        <w:t>汇总</w:t>
      </w:r>
      <w:r>
        <w:rPr>
          <w:rFonts w:hint="default" w:ascii="Times New Roman" w:hAnsi="Times New Roman" w:eastAsia="宋体" w:cs="Times New Roman"/>
          <w:color w:val="auto"/>
          <w:sz w:val="24"/>
        </w:rPr>
        <w:t>表</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52"/>
        <w:gridCol w:w="1040"/>
        <w:gridCol w:w="1020"/>
        <w:gridCol w:w="936"/>
        <w:gridCol w:w="1115"/>
        <w:gridCol w:w="921"/>
        <w:gridCol w:w="1076"/>
        <w:gridCol w:w="718"/>
        <w:gridCol w:w="643"/>
        <w:gridCol w:w="6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2" w:type="dxa"/>
            <w:vMerge w:val="restart"/>
            <w:noWrap w:val="0"/>
            <w:vAlign w:val="center"/>
          </w:tcPr>
          <w:p>
            <w:pPr>
              <w:pStyle w:val="61"/>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污染源</w:t>
            </w:r>
            <w:r>
              <w:rPr>
                <w:rFonts w:hint="default" w:ascii="Times New Roman" w:hAnsi="Times New Roman" w:eastAsia="宋体" w:cs="Times New Roman"/>
                <w:color w:val="auto"/>
                <w:sz w:val="21"/>
                <w:szCs w:val="21"/>
                <w:lang w:eastAsia="zh-CN"/>
              </w:rPr>
              <w:t>名称</w:t>
            </w:r>
          </w:p>
        </w:tc>
        <w:tc>
          <w:tcPr>
            <w:tcW w:w="1040" w:type="dxa"/>
            <w:vMerge w:val="restar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1020" w:type="dxa"/>
            <w:vMerge w:val="restar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产生速率kg/h</w:t>
            </w:r>
          </w:p>
        </w:tc>
        <w:tc>
          <w:tcPr>
            <w:tcW w:w="936" w:type="dxa"/>
            <w:vMerge w:val="restar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产生量t/a</w:t>
            </w:r>
          </w:p>
        </w:tc>
        <w:tc>
          <w:tcPr>
            <w:tcW w:w="1115" w:type="dxa"/>
            <w:vMerge w:val="restart"/>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排放</w:t>
            </w:r>
            <w:r>
              <w:rPr>
                <w:rFonts w:hint="default" w:ascii="Times New Roman" w:hAnsi="Times New Roman" w:eastAsia="宋体" w:cs="Times New Roman"/>
                <w:color w:val="auto"/>
                <w:sz w:val="21"/>
                <w:szCs w:val="21"/>
              </w:rPr>
              <w:t>速率kg/h</w:t>
            </w:r>
          </w:p>
        </w:tc>
        <w:tc>
          <w:tcPr>
            <w:tcW w:w="921" w:type="dxa"/>
            <w:vMerge w:val="restart"/>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排放</w:t>
            </w:r>
            <w:r>
              <w:rPr>
                <w:rFonts w:hint="default" w:ascii="Times New Roman" w:hAnsi="Times New Roman" w:eastAsia="宋体" w:cs="Times New Roman"/>
                <w:color w:val="auto"/>
                <w:sz w:val="21"/>
                <w:szCs w:val="21"/>
              </w:rPr>
              <w:t>量t/a</w:t>
            </w:r>
          </w:p>
        </w:tc>
        <w:tc>
          <w:tcPr>
            <w:tcW w:w="1076" w:type="dxa"/>
            <w:vMerge w:val="restar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污染源位置</w:t>
            </w:r>
          </w:p>
        </w:tc>
        <w:tc>
          <w:tcPr>
            <w:tcW w:w="2027" w:type="dxa"/>
            <w:gridSpan w:val="3"/>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污染源参数m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2" w:type="dxa"/>
            <w:vMerge w:val="continue"/>
            <w:noWrap w:val="0"/>
            <w:vAlign w:val="center"/>
          </w:tcPr>
          <w:p>
            <w:pPr>
              <w:pStyle w:val="61"/>
              <w:jc w:val="center"/>
              <w:rPr>
                <w:rFonts w:hint="default" w:ascii="Times New Roman" w:hAnsi="Times New Roman" w:eastAsia="宋体" w:cs="Times New Roman"/>
                <w:color w:val="auto"/>
                <w:sz w:val="21"/>
                <w:szCs w:val="21"/>
              </w:rPr>
            </w:pPr>
          </w:p>
        </w:tc>
        <w:tc>
          <w:tcPr>
            <w:tcW w:w="1040" w:type="dxa"/>
            <w:vMerge w:val="continue"/>
            <w:noWrap w:val="0"/>
            <w:vAlign w:val="center"/>
          </w:tcPr>
          <w:p>
            <w:pPr>
              <w:pStyle w:val="61"/>
              <w:jc w:val="center"/>
              <w:rPr>
                <w:rFonts w:hint="default" w:ascii="Times New Roman" w:hAnsi="Times New Roman" w:eastAsia="宋体" w:cs="Times New Roman"/>
                <w:color w:val="auto"/>
                <w:sz w:val="21"/>
                <w:szCs w:val="21"/>
              </w:rPr>
            </w:pPr>
          </w:p>
        </w:tc>
        <w:tc>
          <w:tcPr>
            <w:tcW w:w="1020" w:type="dxa"/>
            <w:vMerge w:val="continue"/>
            <w:noWrap w:val="0"/>
            <w:vAlign w:val="center"/>
          </w:tcPr>
          <w:p>
            <w:pPr>
              <w:pStyle w:val="61"/>
              <w:jc w:val="center"/>
              <w:rPr>
                <w:rFonts w:hint="default" w:ascii="Times New Roman" w:hAnsi="Times New Roman" w:eastAsia="宋体" w:cs="Times New Roman"/>
                <w:color w:val="auto"/>
                <w:sz w:val="21"/>
                <w:szCs w:val="21"/>
              </w:rPr>
            </w:pPr>
          </w:p>
        </w:tc>
        <w:tc>
          <w:tcPr>
            <w:tcW w:w="936" w:type="dxa"/>
            <w:vMerge w:val="continue"/>
            <w:noWrap w:val="0"/>
            <w:vAlign w:val="center"/>
          </w:tcPr>
          <w:p>
            <w:pPr>
              <w:pStyle w:val="61"/>
              <w:jc w:val="center"/>
              <w:rPr>
                <w:rFonts w:hint="default" w:ascii="Times New Roman" w:hAnsi="Times New Roman" w:eastAsia="宋体" w:cs="Times New Roman"/>
                <w:color w:val="auto"/>
                <w:sz w:val="21"/>
                <w:szCs w:val="21"/>
              </w:rPr>
            </w:pPr>
          </w:p>
        </w:tc>
        <w:tc>
          <w:tcPr>
            <w:tcW w:w="1115" w:type="dxa"/>
            <w:vMerge w:val="continue"/>
            <w:noWrap w:val="0"/>
            <w:vAlign w:val="center"/>
          </w:tcPr>
          <w:p>
            <w:pPr>
              <w:pStyle w:val="61"/>
              <w:jc w:val="center"/>
              <w:rPr>
                <w:rFonts w:hint="default" w:ascii="Times New Roman" w:hAnsi="Times New Roman" w:eastAsia="宋体" w:cs="Times New Roman"/>
                <w:color w:val="auto"/>
                <w:sz w:val="21"/>
                <w:szCs w:val="21"/>
              </w:rPr>
            </w:pPr>
          </w:p>
        </w:tc>
        <w:tc>
          <w:tcPr>
            <w:tcW w:w="921" w:type="dxa"/>
            <w:vMerge w:val="continue"/>
            <w:noWrap w:val="0"/>
            <w:vAlign w:val="center"/>
          </w:tcPr>
          <w:p>
            <w:pPr>
              <w:pStyle w:val="61"/>
              <w:jc w:val="center"/>
              <w:rPr>
                <w:rFonts w:hint="default" w:ascii="Times New Roman" w:hAnsi="Times New Roman" w:eastAsia="宋体" w:cs="Times New Roman"/>
                <w:color w:val="auto"/>
                <w:sz w:val="21"/>
                <w:szCs w:val="21"/>
              </w:rPr>
            </w:pPr>
          </w:p>
        </w:tc>
        <w:tc>
          <w:tcPr>
            <w:tcW w:w="1076" w:type="dxa"/>
            <w:vMerge w:val="continue"/>
            <w:noWrap w:val="0"/>
            <w:vAlign w:val="center"/>
          </w:tcPr>
          <w:p>
            <w:pPr>
              <w:pStyle w:val="61"/>
              <w:jc w:val="center"/>
              <w:rPr>
                <w:rFonts w:hint="default" w:ascii="Times New Roman" w:hAnsi="Times New Roman" w:eastAsia="宋体" w:cs="Times New Roman"/>
                <w:color w:val="auto"/>
                <w:sz w:val="21"/>
                <w:szCs w:val="21"/>
              </w:rPr>
            </w:pPr>
          </w:p>
        </w:tc>
        <w:tc>
          <w:tcPr>
            <w:tcW w:w="71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高度</w:t>
            </w:r>
          </w:p>
        </w:tc>
        <w:tc>
          <w:tcPr>
            <w:tcW w:w="643"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长度</w:t>
            </w:r>
          </w:p>
        </w:tc>
        <w:tc>
          <w:tcPr>
            <w:tcW w:w="66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宽度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2" w:type="dxa"/>
            <w:noWrap w:val="0"/>
            <w:vAlign w:val="center"/>
          </w:tcPr>
          <w:p>
            <w:pPr>
              <w:pStyle w:val="61"/>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破碎车间</w:t>
            </w:r>
          </w:p>
        </w:tc>
        <w:tc>
          <w:tcPr>
            <w:tcW w:w="1040"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1020"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0.34</w:t>
            </w:r>
          </w:p>
        </w:tc>
        <w:tc>
          <w:tcPr>
            <w:tcW w:w="936"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2.42</w:t>
            </w:r>
          </w:p>
        </w:tc>
        <w:tc>
          <w:tcPr>
            <w:tcW w:w="1115"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0.034</w:t>
            </w:r>
          </w:p>
        </w:tc>
        <w:tc>
          <w:tcPr>
            <w:tcW w:w="921"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0.242</w:t>
            </w:r>
          </w:p>
        </w:tc>
        <w:tc>
          <w:tcPr>
            <w:tcW w:w="1076"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破碎车间</w:t>
            </w:r>
          </w:p>
        </w:tc>
        <w:tc>
          <w:tcPr>
            <w:tcW w:w="718" w:type="dxa"/>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15</w:t>
            </w:r>
          </w:p>
        </w:tc>
        <w:tc>
          <w:tcPr>
            <w:tcW w:w="643" w:type="dxa"/>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83</w:t>
            </w:r>
          </w:p>
        </w:tc>
        <w:tc>
          <w:tcPr>
            <w:tcW w:w="666" w:type="dxa"/>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2" w:type="dxa"/>
            <w:noWrap w:val="0"/>
            <w:vAlign w:val="center"/>
          </w:tcPr>
          <w:p>
            <w:pPr>
              <w:pStyle w:val="61"/>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卸料粉尘</w:t>
            </w:r>
          </w:p>
        </w:tc>
        <w:tc>
          <w:tcPr>
            <w:tcW w:w="1040"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1020"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w:t>
            </w:r>
          </w:p>
        </w:tc>
        <w:tc>
          <w:tcPr>
            <w:tcW w:w="936"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10.4</w:t>
            </w:r>
          </w:p>
        </w:tc>
        <w:tc>
          <w:tcPr>
            <w:tcW w:w="1115"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0.14</w:t>
            </w:r>
          </w:p>
        </w:tc>
        <w:tc>
          <w:tcPr>
            <w:tcW w:w="921"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1.04</w:t>
            </w:r>
          </w:p>
        </w:tc>
        <w:tc>
          <w:tcPr>
            <w:tcW w:w="1076"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破碎车间</w:t>
            </w:r>
          </w:p>
        </w:tc>
        <w:tc>
          <w:tcPr>
            <w:tcW w:w="718" w:type="dxa"/>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15</w:t>
            </w:r>
          </w:p>
        </w:tc>
        <w:tc>
          <w:tcPr>
            <w:tcW w:w="643" w:type="dxa"/>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83</w:t>
            </w:r>
          </w:p>
        </w:tc>
        <w:tc>
          <w:tcPr>
            <w:tcW w:w="666" w:type="dxa"/>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2" w:type="dxa"/>
            <w:noWrap w:val="0"/>
            <w:vAlign w:val="center"/>
          </w:tcPr>
          <w:p>
            <w:pPr>
              <w:pStyle w:val="61"/>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堆存粉尘</w:t>
            </w:r>
          </w:p>
        </w:tc>
        <w:tc>
          <w:tcPr>
            <w:tcW w:w="1040"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1020"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w:t>
            </w:r>
          </w:p>
        </w:tc>
        <w:tc>
          <w:tcPr>
            <w:tcW w:w="936"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11.2</w:t>
            </w:r>
          </w:p>
        </w:tc>
        <w:tc>
          <w:tcPr>
            <w:tcW w:w="1115"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0.16</w:t>
            </w:r>
          </w:p>
        </w:tc>
        <w:tc>
          <w:tcPr>
            <w:tcW w:w="921"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1.12</w:t>
            </w:r>
          </w:p>
        </w:tc>
        <w:tc>
          <w:tcPr>
            <w:tcW w:w="1076"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尾矿仓</w:t>
            </w:r>
          </w:p>
        </w:tc>
        <w:tc>
          <w:tcPr>
            <w:tcW w:w="718"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643"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666"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r>
    </w:tbl>
    <w:p>
      <w:pPr>
        <w:spacing w:line="360" w:lineRule="auto"/>
        <w:ind w:firstLine="480" w:firstLineChars="200"/>
        <w:jc w:val="left"/>
        <w:rPr>
          <w:rFonts w:hint="default" w:ascii="Times New Roman" w:hAnsi="Times New Roman" w:eastAsia="宋体" w:cs="Times New Roman"/>
          <w:b w:val="0"/>
          <w:bCs w:val="0"/>
          <w:color w:val="auto"/>
          <w:sz w:val="24"/>
        </w:rPr>
      </w:pPr>
      <w:r>
        <w:rPr>
          <w:rFonts w:hint="default" w:ascii="Times New Roman" w:hAnsi="Times New Roman" w:eastAsia="宋体" w:cs="Times New Roman"/>
          <w:b w:val="0"/>
          <w:bCs w:val="0"/>
          <w:color w:val="auto"/>
          <w:sz w:val="24"/>
          <w:lang w:val="en-US" w:eastAsia="zh-CN"/>
        </w:rPr>
        <w:t>C：</w:t>
      </w:r>
      <w:r>
        <w:rPr>
          <w:rFonts w:hint="default" w:ascii="Times New Roman" w:hAnsi="Times New Roman" w:eastAsia="宋体" w:cs="Times New Roman"/>
          <w:b w:val="0"/>
          <w:bCs w:val="0"/>
          <w:color w:val="auto"/>
          <w:sz w:val="24"/>
        </w:rPr>
        <w:t>非正常排放</w:t>
      </w:r>
    </w:p>
    <w:p>
      <w:pPr>
        <w:pStyle w:val="61"/>
        <w:spacing w:line="360" w:lineRule="auto"/>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非正常工况是指污染物控制措施出现问题等因素引起的污染源排放量高于设计值，如：设备检修，原料、燃料中毒性较大污染物的含量不稳定，污染物控制措施达不到应有效率等情况。</w:t>
      </w:r>
    </w:p>
    <w:p>
      <w:pPr>
        <w:adjustRightInd w:val="0"/>
        <w:spacing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本</w:t>
      </w:r>
      <w:r>
        <w:rPr>
          <w:rFonts w:hint="default" w:ascii="Times New Roman" w:hAnsi="Times New Roman" w:eastAsia="宋体" w:cs="Times New Roman"/>
          <w:color w:val="auto"/>
          <w:sz w:val="24"/>
          <w:szCs w:val="24"/>
        </w:rPr>
        <w:t>项目非正常工况排放情况主要是除尘器出现故障导致粉尘在一段时间内排放量增加，项目大气污染物</w:t>
      </w:r>
      <w:r>
        <w:rPr>
          <w:rFonts w:hint="default" w:ascii="Times New Roman" w:hAnsi="Times New Roman" w:eastAsia="宋体" w:cs="Times New Roman"/>
          <w:color w:val="auto"/>
          <w:sz w:val="24"/>
          <w:szCs w:val="24"/>
          <w:lang w:eastAsia="zh-CN"/>
        </w:rPr>
        <w:t>非正常</w:t>
      </w:r>
      <w:r>
        <w:rPr>
          <w:rFonts w:hint="default" w:ascii="Times New Roman" w:hAnsi="Times New Roman" w:eastAsia="宋体" w:cs="Times New Roman"/>
          <w:color w:val="auto"/>
          <w:sz w:val="24"/>
          <w:szCs w:val="24"/>
        </w:rPr>
        <w:t>排放量核算详见表</w:t>
      </w:r>
      <w:r>
        <w:rPr>
          <w:rFonts w:hint="default" w:ascii="Times New Roman" w:hAnsi="Times New Roman" w:eastAsia="宋体" w:cs="Times New Roman"/>
          <w:color w:val="auto"/>
          <w:sz w:val="24"/>
          <w:szCs w:val="24"/>
          <w:lang w:val="en-US" w:eastAsia="zh-CN"/>
        </w:rPr>
        <w:t>3.1-11</w:t>
      </w:r>
      <w:r>
        <w:rPr>
          <w:rFonts w:hint="default" w:ascii="Times New Roman" w:hAnsi="Times New Roman" w:eastAsia="宋体" w:cs="Times New Roman"/>
          <w:color w:val="auto"/>
          <w:sz w:val="24"/>
          <w:szCs w:val="24"/>
        </w:rPr>
        <w:t>。</w:t>
      </w:r>
    </w:p>
    <w:p>
      <w:pPr>
        <w:pStyle w:val="74"/>
        <w:spacing w:beforeLines="50" w:line="480" w:lineRule="exact"/>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表3.1-11                 污染源非正常排放量核算表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2"/>
        <w:gridCol w:w="923"/>
        <w:gridCol w:w="1085"/>
        <w:gridCol w:w="1054"/>
        <w:gridCol w:w="1361"/>
        <w:gridCol w:w="1410"/>
        <w:gridCol w:w="1079"/>
        <w:gridCol w:w="995"/>
        <w:gridCol w:w="7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5" w:type="pct"/>
            <w:tcBorders>
              <w:top w:val="single" w:color="auto" w:sz="12" w:space="0"/>
              <w:left w:val="nil"/>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序号</w:t>
            </w:r>
          </w:p>
        </w:tc>
        <w:tc>
          <w:tcPr>
            <w:tcW w:w="496" w:type="pct"/>
            <w:tcBorders>
              <w:top w:val="single" w:color="auto" w:sz="12"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污染源</w:t>
            </w:r>
          </w:p>
        </w:tc>
        <w:tc>
          <w:tcPr>
            <w:tcW w:w="584" w:type="pct"/>
            <w:tcBorders>
              <w:top w:val="single" w:color="auto" w:sz="12"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非正常排放原因</w:t>
            </w:r>
          </w:p>
        </w:tc>
        <w:tc>
          <w:tcPr>
            <w:tcW w:w="567" w:type="pct"/>
            <w:tcBorders>
              <w:top w:val="single" w:color="auto" w:sz="12"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污染物</w:t>
            </w:r>
          </w:p>
        </w:tc>
        <w:tc>
          <w:tcPr>
            <w:tcW w:w="732" w:type="pct"/>
            <w:tcBorders>
              <w:top w:val="single" w:color="auto" w:sz="12"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非正常排放浓度/（ug/m</w:t>
            </w:r>
            <w:r>
              <w:rPr>
                <w:rFonts w:hint="default" w:ascii="Times New Roman" w:hAnsi="Times New Roman" w:eastAsia="宋体" w:cs="Times New Roman"/>
                <w:b w:val="0"/>
                <w:bCs/>
                <w:color w:val="auto"/>
                <w:sz w:val="21"/>
                <w:szCs w:val="21"/>
                <w:vertAlign w:val="superscript"/>
              </w:rPr>
              <w:t>3</w:t>
            </w:r>
            <w:r>
              <w:rPr>
                <w:rFonts w:hint="default" w:ascii="Times New Roman" w:hAnsi="Times New Roman" w:eastAsia="宋体" w:cs="Times New Roman"/>
                <w:b w:val="0"/>
                <w:bCs/>
                <w:color w:val="auto"/>
                <w:sz w:val="21"/>
                <w:szCs w:val="21"/>
              </w:rPr>
              <w:t>）</w:t>
            </w:r>
          </w:p>
        </w:tc>
        <w:tc>
          <w:tcPr>
            <w:tcW w:w="759" w:type="pct"/>
            <w:tcBorders>
              <w:top w:val="single" w:color="auto" w:sz="12"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非正常排放速率/（kg/h）</w:t>
            </w:r>
          </w:p>
        </w:tc>
        <w:tc>
          <w:tcPr>
            <w:tcW w:w="580" w:type="pct"/>
            <w:tcBorders>
              <w:top w:val="single" w:color="auto" w:sz="12"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单次持续时间 /h</w:t>
            </w:r>
          </w:p>
        </w:tc>
        <w:tc>
          <w:tcPr>
            <w:tcW w:w="535" w:type="pct"/>
            <w:tcBorders>
              <w:top w:val="single" w:color="auto" w:sz="12"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年发生频次/次</w:t>
            </w:r>
          </w:p>
        </w:tc>
        <w:tc>
          <w:tcPr>
            <w:tcW w:w="397" w:type="pct"/>
            <w:tcBorders>
              <w:top w:val="single" w:color="auto" w:sz="12" w:space="0"/>
              <w:left w:val="single" w:color="auto" w:sz="4" w:space="0"/>
              <w:bottom w:val="single" w:color="auto" w:sz="4" w:space="0"/>
              <w:right w:val="nil"/>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应对措施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5" w:type="pct"/>
            <w:tcBorders>
              <w:top w:val="single" w:color="auto" w:sz="4" w:space="0"/>
              <w:left w:val="nil"/>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1</w:t>
            </w:r>
          </w:p>
        </w:tc>
        <w:tc>
          <w:tcPr>
            <w:tcW w:w="496"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rPr>
            </w:pPr>
            <w:r>
              <w:rPr>
                <w:rFonts w:hint="default" w:ascii="Times New Roman" w:hAnsi="Times New Roman" w:eastAsia="宋体" w:cs="Times New Roman"/>
                <w:color w:val="auto"/>
                <w:sz w:val="21"/>
                <w:szCs w:val="21"/>
                <w:vertAlign w:val="baseline"/>
                <w:lang w:val="en-US" w:eastAsia="zh-CN"/>
              </w:rPr>
              <w:t>P1</w:t>
            </w:r>
          </w:p>
        </w:tc>
        <w:tc>
          <w:tcPr>
            <w:tcW w:w="584" w:type="pct"/>
            <w:tcBorders>
              <w:top w:val="single" w:color="auto" w:sz="4"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废气处理设施发生故障</w:t>
            </w:r>
          </w:p>
        </w:tc>
        <w:tc>
          <w:tcPr>
            <w:tcW w:w="567" w:type="pct"/>
            <w:tcBorders>
              <w:top w:val="single" w:color="auto" w:sz="4"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颗粒物</w:t>
            </w:r>
          </w:p>
        </w:tc>
        <w:tc>
          <w:tcPr>
            <w:tcW w:w="732" w:type="pct"/>
            <w:tcBorders>
              <w:top w:val="single" w:color="auto" w:sz="4"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308600</w:t>
            </w:r>
          </w:p>
        </w:tc>
        <w:tc>
          <w:tcPr>
            <w:tcW w:w="759" w:type="pct"/>
            <w:tcBorders>
              <w:top w:val="single" w:color="auto" w:sz="4"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61.72</w:t>
            </w:r>
          </w:p>
        </w:tc>
        <w:tc>
          <w:tcPr>
            <w:tcW w:w="580" w:type="pct"/>
            <w:tcBorders>
              <w:top w:val="single" w:color="auto" w:sz="4"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0.1</w:t>
            </w: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1次/年</w:t>
            </w:r>
          </w:p>
        </w:tc>
        <w:tc>
          <w:tcPr>
            <w:tcW w:w="397" w:type="pct"/>
            <w:tcBorders>
              <w:top w:val="single" w:color="auto" w:sz="4" w:space="0"/>
              <w:left w:val="single" w:color="auto" w:sz="4" w:space="0"/>
              <w:bottom w:val="single" w:color="auto" w:sz="4" w:space="0"/>
              <w:right w:val="nil"/>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加强管理</w:t>
            </w:r>
          </w:p>
        </w:tc>
      </w:tr>
    </w:tbl>
    <w:p>
      <w:pPr>
        <w:pStyle w:val="61"/>
        <w:spacing w:line="360" w:lineRule="auto"/>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本环评建议建设单位采取如下措施：</w:t>
      </w:r>
    </w:p>
    <w:p>
      <w:pPr>
        <w:pStyle w:val="61"/>
        <w:spacing w:line="360" w:lineRule="auto"/>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①发生停电时及时转换电力线路；</w:t>
      </w:r>
    </w:p>
    <w:p>
      <w:pPr>
        <w:pStyle w:val="61"/>
        <w:spacing w:line="360" w:lineRule="auto"/>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②对除尘装置认真保养维护，定期进行检修，最大程度减少设备发生故障的可能性；</w:t>
      </w:r>
    </w:p>
    <w:p>
      <w:pPr>
        <w:pStyle w:val="61"/>
        <w:spacing w:line="360" w:lineRule="auto"/>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③开车前，先待除尘器运转正常再开车，同时逐渐扩大产能；停车时逐步降低产能，并直到全部停后再停除尘器</w:t>
      </w:r>
      <w:r>
        <w:rPr>
          <w:rFonts w:hint="default" w:ascii="Times New Roman" w:hAnsi="Times New Roman" w:eastAsia="宋体" w:cs="Times New Roman"/>
          <w:color w:val="auto"/>
          <w:lang w:val="en-US" w:eastAsia="zh-CN"/>
        </w:rPr>
        <w:t>设施</w:t>
      </w:r>
      <w:r>
        <w:rPr>
          <w:rFonts w:hint="default" w:ascii="Times New Roman" w:hAnsi="Times New Roman" w:eastAsia="宋体" w:cs="Times New Roman"/>
          <w:color w:val="auto"/>
        </w:rPr>
        <w:t>。确保由于开停车产生的大气污染物得到有效治理，并满足相关标准要求。</w:t>
      </w:r>
    </w:p>
    <w:p>
      <w:pPr>
        <w:pStyle w:val="61"/>
        <w:spacing w:line="360" w:lineRule="auto"/>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非正常排放对环境影响较大。由于发生非正常工况排放次数较少，污染因子及产生量难以定量，且排放时间较短，建设单位能够及时采取措施处理，不会对周围大气环境造成长期影响，故本次环评对其不做主要分析。</w:t>
      </w:r>
    </w:p>
    <w:p>
      <w:pPr>
        <w:pStyle w:val="61"/>
        <w:spacing w:line="360" w:lineRule="auto"/>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本项目物料平衡见表</w:t>
      </w:r>
      <w:r>
        <w:rPr>
          <w:rFonts w:hint="default" w:ascii="Times New Roman" w:hAnsi="Times New Roman" w:eastAsia="宋体" w:cs="Times New Roman"/>
          <w:color w:val="auto"/>
          <w:highlight w:val="none"/>
          <w:lang w:val="en-US" w:eastAsia="zh-CN"/>
        </w:rPr>
        <w:t>3.1-12，铁平衡一览表见表3.1-13。</w:t>
      </w:r>
    </w:p>
    <w:p>
      <w:pPr>
        <w:pStyle w:val="74"/>
        <w:spacing w:beforeLines="50" w:line="480" w:lineRule="exact"/>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表3.1-12                        物料平衡一览表</w:t>
      </w:r>
    </w:p>
    <w:tbl>
      <w:tblPr>
        <w:tblStyle w:val="51"/>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317"/>
        <w:gridCol w:w="2197"/>
        <w:gridCol w:w="2630"/>
        <w:gridCol w:w="214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4514" w:type="dxa"/>
            <w:gridSpan w:val="2"/>
            <w:tcBorders>
              <w:top w:val="single" w:color="auto" w:sz="4" w:space="0"/>
              <w:left w:val="nil"/>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输入</w:t>
            </w:r>
          </w:p>
        </w:tc>
        <w:tc>
          <w:tcPr>
            <w:tcW w:w="4773" w:type="dxa"/>
            <w:gridSpan w:val="2"/>
            <w:tcBorders>
              <w:top w:val="single" w:color="auto" w:sz="4" w:space="0"/>
              <w:left w:val="single" w:color="auto" w:sz="4" w:space="0"/>
              <w:bottom w:val="single" w:color="auto" w:sz="4" w:space="0"/>
              <w:right w:val="nil"/>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输出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2317" w:type="dxa"/>
            <w:tcBorders>
              <w:top w:val="single" w:color="auto" w:sz="4" w:space="0"/>
              <w:left w:val="nil"/>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矿石</w:t>
            </w:r>
          </w:p>
        </w:tc>
        <w:tc>
          <w:tcPr>
            <w:tcW w:w="2197"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200</w:t>
            </w:r>
            <w:r>
              <w:rPr>
                <w:rFonts w:hint="default" w:ascii="Times New Roman" w:hAnsi="Times New Roman" w:eastAsia="宋体" w:cs="Times New Roman"/>
                <w:sz w:val="21"/>
                <w:szCs w:val="21"/>
              </w:rPr>
              <w:t>0000t/a</w:t>
            </w:r>
          </w:p>
        </w:tc>
        <w:tc>
          <w:tcPr>
            <w:tcW w:w="263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铁精粉</w:t>
            </w:r>
          </w:p>
        </w:tc>
        <w:tc>
          <w:tcPr>
            <w:tcW w:w="2143" w:type="dxa"/>
            <w:tcBorders>
              <w:top w:val="single" w:color="auto" w:sz="4" w:space="0"/>
              <w:left w:val="single" w:color="auto" w:sz="4" w:space="0"/>
              <w:bottom w:val="single" w:color="auto" w:sz="4" w:space="0"/>
              <w:right w:val="nil"/>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500</w:t>
            </w:r>
            <w:r>
              <w:rPr>
                <w:rFonts w:hint="default" w:ascii="Times New Roman" w:hAnsi="Times New Roman" w:eastAsia="宋体" w:cs="Times New Roman"/>
                <w:sz w:val="21"/>
                <w:szCs w:val="21"/>
              </w:rPr>
              <w:t>000t/a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2317" w:type="dxa"/>
            <w:tcBorders>
              <w:top w:val="single" w:color="auto" w:sz="4" w:space="0"/>
              <w:left w:val="nil"/>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p>
        </w:tc>
        <w:tc>
          <w:tcPr>
            <w:tcW w:w="2197"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p>
        </w:tc>
        <w:tc>
          <w:tcPr>
            <w:tcW w:w="263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尾矿渣</w:t>
            </w:r>
          </w:p>
        </w:tc>
        <w:tc>
          <w:tcPr>
            <w:tcW w:w="2143" w:type="dxa"/>
            <w:tcBorders>
              <w:top w:val="single" w:color="auto" w:sz="4" w:space="0"/>
              <w:left w:val="single" w:color="auto" w:sz="4" w:space="0"/>
              <w:bottom w:val="single" w:color="auto" w:sz="4" w:space="0"/>
              <w:right w:val="nil"/>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1499759.27</w:t>
            </w:r>
            <w:r>
              <w:rPr>
                <w:rFonts w:hint="default" w:ascii="Times New Roman" w:hAnsi="Times New Roman" w:eastAsia="宋体" w:cs="Times New Roman"/>
                <w:sz w:val="21"/>
                <w:szCs w:val="21"/>
              </w:rPr>
              <w:t>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2317" w:type="dxa"/>
            <w:tcBorders>
              <w:top w:val="single" w:color="auto" w:sz="4" w:space="0"/>
              <w:left w:val="nil"/>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p>
        </w:tc>
        <w:tc>
          <w:tcPr>
            <w:tcW w:w="2197"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p>
        </w:tc>
        <w:tc>
          <w:tcPr>
            <w:tcW w:w="263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排放粉尘</w:t>
            </w:r>
          </w:p>
        </w:tc>
        <w:tc>
          <w:tcPr>
            <w:tcW w:w="2143" w:type="dxa"/>
            <w:tcBorders>
              <w:top w:val="single" w:color="auto" w:sz="4" w:space="0"/>
              <w:left w:val="single" w:color="auto" w:sz="4" w:space="0"/>
              <w:bottom w:val="single" w:color="auto" w:sz="4" w:space="0"/>
              <w:right w:val="nil"/>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2.38</w:t>
            </w:r>
            <w:r>
              <w:rPr>
                <w:rFonts w:hint="default" w:ascii="Times New Roman" w:hAnsi="Times New Roman" w:eastAsia="宋体" w:cs="Times New Roman"/>
                <w:sz w:val="21"/>
                <w:szCs w:val="21"/>
              </w:rPr>
              <w:t>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2317" w:type="dxa"/>
            <w:tcBorders>
              <w:top w:val="single" w:color="auto" w:sz="4" w:space="0"/>
              <w:left w:val="nil"/>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p>
        </w:tc>
        <w:tc>
          <w:tcPr>
            <w:tcW w:w="2197"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p>
        </w:tc>
        <w:tc>
          <w:tcPr>
            <w:tcW w:w="263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落地粉尘</w:t>
            </w:r>
          </w:p>
        </w:tc>
        <w:tc>
          <w:tcPr>
            <w:tcW w:w="2143" w:type="dxa"/>
            <w:tcBorders>
              <w:top w:val="single" w:color="auto" w:sz="4" w:space="0"/>
              <w:left w:val="single" w:color="auto" w:sz="4" w:space="0"/>
              <w:bottom w:val="single" w:color="auto" w:sz="4" w:space="0"/>
              <w:right w:val="nil"/>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2.42</w:t>
            </w:r>
            <w:r>
              <w:rPr>
                <w:rFonts w:hint="default" w:ascii="Times New Roman" w:hAnsi="Times New Roman" w:eastAsia="宋体" w:cs="Times New Roman"/>
                <w:sz w:val="21"/>
                <w:szCs w:val="21"/>
              </w:rPr>
              <w:t>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2317" w:type="dxa"/>
            <w:tcBorders>
              <w:top w:val="single" w:color="auto" w:sz="4" w:space="0"/>
              <w:left w:val="nil"/>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p>
        </w:tc>
        <w:tc>
          <w:tcPr>
            <w:tcW w:w="2197"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p>
        </w:tc>
        <w:tc>
          <w:tcPr>
            <w:tcW w:w="263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除尘器回收粉尘</w:t>
            </w:r>
          </w:p>
        </w:tc>
        <w:tc>
          <w:tcPr>
            <w:tcW w:w="2143" w:type="dxa"/>
            <w:tcBorders>
              <w:top w:val="single" w:color="auto" w:sz="4" w:space="0"/>
              <w:left w:val="single" w:color="auto" w:sz="4" w:space="0"/>
              <w:bottom w:val="single" w:color="auto" w:sz="4" w:space="0"/>
              <w:right w:val="nil"/>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235.93</w:t>
            </w:r>
            <w:r>
              <w:rPr>
                <w:rFonts w:hint="default" w:ascii="Times New Roman" w:hAnsi="Times New Roman" w:eastAsia="宋体" w:cs="Times New Roman"/>
                <w:sz w:val="21"/>
                <w:szCs w:val="21"/>
              </w:rPr>
              <w:t>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2317" w:type="dxa"/>
            <w:tcBorders>
              <w:top w:val="single" w:color="auto" w:sz="4" w:space="0"/>
              <w:left w:val="nil"/>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合计</w:t>
            </w:r>
          </w:p>
        </w:tc>
        <w:tc>
          <w:tcPr>
            <w:tcW w:w="2197"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200</w:t>
            </w:r>
            <w:r>
              <w:rPr>
                <w:rFonts w:hint="default" w:ascii="Times New Roman" w:hAnsi="Times New Roman" w:eastAsia="宋体" w:cs="Times New Roman"/>
                <w:sz w:val="21"/>
                <w:szCs w:val="21"/>
              </w:rPr>
              <w:t>0000t/a</w:t>
            </w:r>
          </w:p>
        </w:tc>
        <w:tc>
          <w:tcPr>
            <w:tcW w:w="263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合计</w:t>
            </w:r>
          </w:p>
        </w:tc>
        <w:tc>
          <w:tcPr>
            <w:tcW w:w="2143" w:type="dxa"/>
            <w:tcBorders>
              <w:top w:val="single" w:color="auto" w:sz="4" w:space="0"/>
              <w:left w:val="single" w:color="auto" w:sz="4" w:space="0"/>
              <w:bottom w:val="single" w:color="auto" w:sz="4" w:space="0"/>
              <w:right w:val="nil"/>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20</w:t>
            </w:r>
            <w:r>
              <w:rPr>
                <w:rFonts w:hint="default" w:ascii="Times New Roman" w:hAnsi="Times New Roman" w:eastAsia="宋体" w:cs="Times New Roman"/>
                <w:sz w:val="21"/>
                <w:szCs w:val="21"/>
              </w:rPr>
              <w:t>00</w:t>
            </w:r>
            <w:r>
              <w:rPr>
                <w:rFonts w:hint="default" w:ascii="Times New Roman" w:hAnsi="Times New Roman" w:eastAsia="宋体" w:cs="Times New Roman"/>
                <w:sz w:val="21"/>
                <w:szCs w:val="21"/>
                <w:lang w:val="en-US" w:eastAsia="zh-CN"/>
              </w:rPr>
              <w:t>0</w:t>
            </w:r>
            <w:r>
              <w:rPr>
                <w:rFonts w:hint="default" w:ascii="Times New Roman" w:hAnsi="Times New Roman" w:eastAsia="宋体" w:cs="Times New Roman"/>
                <w:sz w:val="21"/>
                <w:szCs w:val="21"/>
              </w:rPr>
              <w:t>00t/a</w:t>
            </w:r>
          </w:p>
        </w:tc>
      </w:tr>
    </w:tbl>
    <w:p>
      <w:pPr>
        <w:pStyle w:val="74"/>
        <w:spacing w:beforeLines="50" w:line="480" w:lineRule="exact"/>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表3.1-13                       铁平衡一览表</w:t>
      </w:r>
    </w:p>
    <w:tbl>
      <w:tblPr>
        <w:tblStyle w:val="51"/>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94"/>
        <w:gridCol w:w="1280"/>
        <w:gridCol w:w="1740"/>
        <w:gridCol w:w="2040"/>
        <w:gridCol w:w="1380"/>
        <w:gridCol w:w="155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4314" w:type="dxa"/>
            <w:gridSpan w:val="3"/>
            <w:tcBorders>
              <w:top w:val="single" w:color="auto" w:sz="4" w:space="0"/>
              <w:left w:val="nil"/>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输入</w:t>
            </w:r>
          </w:p>
        </w:tc>
        <w:tc>
          <w:tcPr>
            <w:tcW w:w="4973" w:type="dxa"/>
            <w:gridSpan w:val="3"/>
            <w:tcBorders>
              <w:top w:val="single" w:color="auto" w:sz="4" w:space="0"/>
              <w:left w:val="single" w:color="auto" w:sz="4" w:space="0"/>
              <w:bottom w:val="single" w:color="auto" w:sz="4" w:space="0"/>
              <w:right w:val="nil"/>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输出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1294" w:type="dxa"/>
            <w:tcBorders>
              <w:top w:val="single" w:color="auto" w:sz="4" w:space="0"/>
              <w:left w:val="nil"/>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物料名称</w:t>
            </w:r>
          </w:p>
        </w:tc>
        <w:tc>
          <w:tcPr>
            <w:tcW w:w="128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品位%</w:t>
            </w:r>
          </w:p>
        </w:tc>
        <w:tc>
          <w:tcPr>
            <w:tcW w:w="174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投入量（t/a）</w:t>
            </w:r>
          </w:p>
        </w:tc>
        <w:tc>
          <w:tcPr>
            <w:tcW w:w="204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物料名称</w:t>
            </w:r>
          </w:p>
        </w:tc>
        <w:tc>
          <w:tcPr>
            <w:tcW w:w="138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品位%</w:t>
            </w:r>
          </w:p>
        </w:tc>
        <w:tc>
          <w:tcPr>
            <w:tcW w:w="1553" w:type="dxa"/>
            <w:tcBorders>
              <w:top w:val="single" w:color="auto" w:sz="4" w:space="0"/>
              <w:left w:val="single" w:color="auto" w:sz="4" w:space="0"/>
              <w:bottom w:val="single" w:color="auto" w:sz="4" w:space="0"/>
              <w:right w:val="nil"/>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产出量（t/a）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1294" w:type="dxa"/>
            <w:tcBorders>
              <w:top w:val="single" w:color="auto" w:sz="4" w:space="0"/>
              <w:left w:val="nil"/>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原矿</w:t>
            </w:r>
          </w:p>
        </w:tc>
        <w:tc>
          <w:tcPr>
            <w:tcW w:w="128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2</w:t>
            </w:r>
            <w:r>
              <w:rPr>
                <w:rFonts w:hint="default" w:ascii="Times New Roman" w:hAnsi="Times New Roman" w:eastAsia="宋体" w:cs="Times New Roman"/>
                <w:sz w:val="21"/>
                <w:szCs w:val="21"/>
                <w:highlight w:val="none"/>
                <w:lang w:val="en-US" w:eastAsia="zh-CN"/>
              </w:rPr>
              <w:t>3</w:t>
            </w:r>
          </w:p>
        </w:tc>
        <w:tc>
          <w:tcPr>
            <w:tcW w:w="174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460000</w:t>
            </w:r>
          </w:p>
        </w:tc>
        <w:tc>
          <w:tcPr>
            <w:tcW w:w="204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精矿</w:t>
            </w:r>
          </w:p>
        </w:tc>
        <w:tc>
          <w:tcPr>
            <w:tcW w:w="138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66</w:t>
            </w:r>
          </w:p>
        </w:tc>
        <w:tc>
          <w:tcPr>
            <w:tcW w:w="1553" w:type="dxa"/>
            <w:tcBorders>
              <w:top w:val="single" w:color="auto" w:sz="4" w:space="0"/>
              <w:left w:val="single" w:color="auto" w:sz="4" w:space="0"/>
              <w:bottom w:val="single" w:color="auto" w:sz="4" w:space="0"/>
              <w:right w:val="nil"/>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330000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1294" w:type="dxa"/>
            <w:tcBorders>
              <w:top w:val="single" w:color="auto" w:sz="4" w:space="0"/>
              <w:left w:val="nil"/>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p>
        </w:tc>
        <w:tc>
          <w:tcPr>
            <w:tcW w:w="128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p>
        </w:tc>
        <w:tc>
          <w:tcPr>
            <w:tcW w:w="174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p>
        </w:tc>
        <w:tc>
          <w:tcPr>
            <w:tcW w:w="204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尾矿渣</w:t>
            </w:r>
          </w:p>
        </w:tc>
        <w:tc>
          <w:tcPr>
            <w:tcW w:w="138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8.6</w:t>
            </w:r>
          </w:p>
        </w:tc>
        <w:tc>
          <w:tcPr>
            <w:tcW w:w="1553" w:type="dxa"/>
            <w:tcBorders>
              <w:top w:val="single" w:color="auto" w:sz="4" w:space="0"/>
              <w:left w:val="single" w:color="auto" w:sz="4" w:space="0"/>
              <w:bottom w:val="single" w:color="auto" w:sz="4" w:space="0"/>
              <w:right w:val="nil"/>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129944.29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1294" w:type="dxa"/>
            <w:tcBorders>
              <w:top w:val="single" w:color="auto" w:sz="4" w:space="0"/>
              <w:left w:val="nil"/>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p>
        </w:tc>
        <w:tc>
          <w:tcPr>
            <w:tcW w:w="128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p>
        </w:tc>
        <w:tc>
          <w:tcPr>
            <w:tcW w:w="174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p>
        </w:tc>
        <w:tc>
          <w:tcPr>
            <w:tcW w:w="204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排放粉尘</w:t>
            </w:r>
          </w:p>
        </w:tc>
        <w:tc>
          <w:tcPr>
            <w:tcW w:w="138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2</w:t>
            </w:r>
            <w:r>
              <w:rPr>
                <w:rFonts w:hint="default" w:ascii="Times New Roman" w:hAnsi="Times New Roman" w:eastAsia="宋体" w:cs="Times New Roman"/>
                <w:sz w:val="21"/>
                <w:szCs w:val="21"/>
                <w:highlight w:val="none"/>
                <w:lang w:val="en-US" w:eastAsia="zh-CN"/>
              </w:rPr>
              <w:t>3</w:t>
            </w:r>
          </w:p>
        </w:tc>
        <w:tc>
          <w:tcPr>
            <w:tcW w:w="1553" w:type="dxa"/>
            <w:tcBorders>
              <w:top w:val="single" w:color="auto" w:sz="4" w:space="0"/>
              <w:left w:val="single" w:color="auto" w:sz="4" w:space="0"/>
              <w:bottom w:val="single" w:color="auto" w:sz="4" w:space="0"/>
              <w:right w:val="nil"/>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0.55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1294" w:type="dxa"/>
            <w:tcBorders>
              <w:top w:val="single" w:color="auto" w:sz="4" w:space="0"/>
              <w:left w:val="nil"/>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p>
        </w:tc>
        <w:tc>
          <w:tcPr>
            <w:tcW w:w="128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p>
        </w:tc>
        <w:tc>
          <w:tcPr>
            <w:tcW w:w="174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p>
        </w:tc>
        <w:tc>
          <w:tcPr>
            <w:tcW w:w="204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落地粉尘</w:t>
            </w:r>
          </w:p>
        </w:tc>
        <w:tc>
          <w:tcPr>
            <w:tcW w:w="138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2</w:t>
            </w:r>
            <w:r>
              <w:rPr>
                <w:rFonts w:hint="default" w:ascii="Times New Roman" w:hAnsi="Times New Roman" w:eastAsia="宋体" w:cs="Times New Roman"/>
                <w:sz w:val="21"/>
                <w:szCs w:val="21"/>
                <w:highlight w:val="none"/>
                <w:lang w:val="en-US" w:eastAsia="zh-CN"/>
              </w:rPr>
              <w:t>3</w:t>
            </w:r>
          </w:p>
        </w:tc>
        <w:tc>
          <w:tcPr>
            <w:tcW w:w="1553" w:type="dxa"/>
            <w:tcBorders>
              <w:top w:val="single" w:color="auto" w:sz="4" w:space="0"/>
              <w:left w:val="single" w:color="auto" w:sz="4" w:space="0"/>
              <w:bottom w:val="single" w:color="auto" w:sz="4" w:space="0"/>
              <w:right w:val="nil"/>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0.56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1294" w:type="dxa"/>
            <w:tcBorders>
              <w:top w:val="single" w:color="auto" w:sz="4" w:space="0"/>
              <w:left w:val="nil"/>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p>
        </w:tc>
        <w:tc>
          <w:tcPr>
            <w:tcW w:w="128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p>
        </w:tc>
        <w:tc>
          <w:tcPr>
            <w:tcW w:w="174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p>
        </w:tc>
        <w:tc>
          <w:tcPr>
            <w:tcW w:w="204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除尘器回收粉尘</w:t>
            </w:r>
          </w:p>
        </w:tc>
        <w:tc>
          <w:tcPr>
            <w:tcW w:w="138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2</w:t>
            </w:r>
            <w:r>
              <w:rPr>
                <w:rFonts w:hint="default" w:ascii="Times New Roman" w:hAnsi="Times New Roman" w:eastAsia="宋体" w:cs="Times New Roman"/>
                <w:sz w:val="21"/>
                <w:szCs w:val="21"/>
                <w:highlight w:val="none"/>
                <w:lang w:val="en-US" w:eastAsia="zh-CN"/>
              </w:rPr>
              <w:t>3</w:t>
            </w:r>
          </w:p>
        </w:tc>
        <w:tc>
          <w:tcPr>
            <w:tcW w:w="1553" w:type="dxa"/>
            <w:tcBorders>
              <w:top w:val="single" w:color="auto" w:sz="4" w:space="0"/>
              <w:left w:val="single" w:color="auto" w:sz="4" w:space="0"/>
              <w:bottom w:val="single" w:color="auto" w:sz="4" w:space="0"/>
              <w:right w:val="nil"/>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54.26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exact"/>
        </w:trPr>
        <w:tc>
          <w:tcPr>
            <w:tcW w:w="2574" w:type="dxa"/>
            <w:gridSpan w:val="2"/>
            <w:tcBorders>
              <w:top w:val="single" w:color="auto" w:sz="4" w:space="0"/>
              <w:left w:val="nil"/>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合计</w:t>
            </w:r>
          </w:p>
        </w:tc>
        <w:tc>
          <w:tcPr>
            <w:tcW w:w="1740" w:type="dxa"/>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460000</w:t>
            </w:r>
          </w:p>
        </w:tc>
        <w:tc>
          <w:tcPr>
            <w:tcW w:w="3420" w:type="dxa"/>
            <w:gridSpan w:val="2"/>
            <w:tcBorders>
              <w:top w:val="single" w:color="auto" w:sz="4" w:space="0"/>
              <w:left w:val="single" w:color="auto" w:sz="4" w:space="0"/>
              <w:bottom w:val="single" w:color="auto" w:sz="4" w:space="0"/>
              <w:right w:val="single" w:color="auto" w:sz="4" w:space="0"/>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合计</w:t>
            </w:r>
          </w:p>
        </w:tc>
        <w:tc>
          <w:tcPr>
            <w:tcW w:w="1553" w:type="dxa"/>
            <w:tcBorders>
              <w:top w:val="single" w:color="auto" w:sz="4" w:space="0"/>
              <w:left w:val="single" w:color="auto" w:sz="4" w:space="0"/>
              <w:bottom w:val="single" w:color="auto" w:sz="4" w:space="0"/>
              <w:right w:val="nil"/>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460000</w:t>
            </w:r>
          </w:p>
        </w:tc>
      </w:tr>
    </w:tbl>
    <w:p>
      <w:pPr>
        <w:spacing w:line="360" w:lineRule="auto"/>
        <w:ind w:right="97" w:rightChars="46" w:firstLine="482"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2、废水污染源强核算</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①生活用水</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lang w:eastAsia="zh-CN"/>
        </w:rPr>
      </w:pPr>
      <w:r>
        <w:rPr>
          <w:rFonts w:hint="default" w:ascii="Times New Roman" w:hAnsi="Times New Roman" w:eastAsia="宋体" w:cs="Times New Roman"/>
          <w:kern w:val="0"/>
          <w:sz w:val="24"/>
        </w:rPr>
        <w:t>本项目不设淋浴、食堂及宿舍，</w:t>
      </w:r>
      <w:r>
        <w:rPr>
          <w:rFonts w:hint="default" w:ascii="Times New Roman" w:hAnsi="Times New Roman" w:eastAsia="宋体" w:cs="Times New Roman"/>
          <w:sz w:val="24"/>
        </w:rPr>
        <w:t>用水定额按20L·人/d计算，</w:t>
      </w:r>
      <w:r>
        <w:rPr>
          <w:rFonts w:hint="default" w:ascii="Times New Roman" w:hAnsi="Times New Roman" w:eastAsia="宋体" w:cs="Times New Roman"/>
          <w:sz w:val="24"/>
          <w:lang w:eastAsia="zh-CN"/>
        </w:rPr>
        <w:t>新增员工</w:t>
      </w:r>
      <w:r>
        <w:rPr>
          <w:rFonts w:hint="default" w:ascii="Times New Roman" w:hAnsi="Times New Roman" w:eastAsia="宋体" w:cs="Times New Roman"/>
          <w:sz w:val="24"/>
          <w:lang w:val="en-US" w:eastAsia="zh-CN"/>
        </w:rPr>
        <w:t>30人，</w:t>
      </w:r>
      <w:r>
        <w:rPr>
          <w:rFonts w:hint="default" w:ascii="Times New Roman" w:hAnsi="Times New Roman" w:eastAsia="宋体" w:cs="Times New Roman"/>
          <w:sz w:val="24"/>
        </w:rPr>
        <w:t>年生产300天，员工生活用水量为0.6m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/d，即180m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/a。生活污水排放量按实际用水量的80%计算，约0.48m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/d，</w:t>
      </w:r>
      <w:r>
        <w:rPr>
          <w:rFonts w:hint="default" w:ascii="Times New Roman" w:hAnsi="Times New Roman" w:eastAsia="宋体" w:cs="Times New Roman"/>
          <w:sz w:val="24"/>
          <w:lang w:val="en-US" w:eastAsia="zh-CN"/>
        </w:rPr>
        <w:t>144</w:t>
      </w:r>
      <w:r>
        <w:rPr>
          <w:rFonts w:hint="default" w:ascii="Times New Roman" w:hAnsi="Times New Roman" w:eastAsia="宋体" w:cs="Times New Roman"/>
          <w:sz w:val="24"/>
        </w:rPr>
        <w:t>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/a，排入1座有效容积约15m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的防渗旱厕，定期清掏</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用作农肥</w:t>
      </w:r>
      <w:r>
        <w:rPr>
          <w:rFonts w:hint="default" w:ascii="Times New Roman" w:hAnsi="Times New Roman" w:eastAsia="宋体" w:cs="Times New Roman"/>
          <w:sz w:val="24"/>
          <w:lang w:eastAsia="zh-CN"/>
        </w:rPr>
        <w:t>。</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②生产用水</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1）选矿</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lang w:eastAsia="zh-CN"/>
        </w:rPr>
      </w:pPr>
      <w:r>
        <w:rPr>
          <w:rFonts w:hint="default" w:ascii="Times New Roman" w:hAnsi="Times New Roman" w:eastAsia="宋体" w:cs="Times New Roman"/>
          <w:kern w:val="0"/>
          <w:sz w:val="24"/>
        </w:rPr>
        <w:t>根据建设单位提供资料，每处理1t原矿石需水4m</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。本项目每天处理原矿石</w:t>
      </w:r>
      <w:r>
        <w:rPr>
          <w:rFonts w:hint="default" w:ascii="Times New Roman" w:hAnsi="Times New Roman" w:eastAsia="宋体" w:cs="Times New Roman"/>
          <w:kern w:val="0"/>
          <w:sz w:val="24"/>
          <w:lang w:val="en-US" w:eastAsia="zh-CN"/>
        </w:rPr>
        <w:t>1667</w:t>
      </w:r>
      <w:r>
        <w:rPr>
          <w:rFonts w:hint="default" w:ascii="Times New Roman" w:hAnsi="Times New Roman" w:eastAsia="宋体" w:cs="Times New Roman"/>
          <w:kern w:val="0"/>
          <w:sz w:val="24"/>
        </w:rPr>
        <w:t>t，所需水量为</w:t>
      </w:r>
      <w:r>
        <w:rPr>
          <w:rFonts w:hint="default" w:ascii="Times New Roman" w:hAnsi="Times New Roman" w:eastAsia="宋体" w:cs="Times New Roman"/>
          <w:kern w:val="0"/>
          <w:sz w:val="24"/>
          <w:lang w:val="en-US" w:eastAsia="zh-CN"/>
        </w:rPr>
        <w:t>6668</w:t>
      </w:r>
      <w:r>
        <w:rPr>
          <w:rFonts w:hint="default" w:ascii="Times New Roman" w:hAnsi="Times New Roman" w:eastAsia="宋体" w:cs="Times New Roman"/>
          <w:kern w:val="0"/>
          <w:sz w:val="24"/>
        </w:rPr>
        <w:t>m</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/d，</w:t>
      </w:r>
      <w:r>
        <w:rPr>
          <w:rFonts w:hint="default" w:ascii="Times New Roman" w:hAnsi="Times New Roman" w:eastAsia="宋体" w:cs="Times New Roman"/>
          <w:kern w:val="0"/>
          <w:sz w:val="24"/>
          <w:lang w:eastAsia="zh-CN"/>
        </w:rPr>
        <w:t>经沉淀后循环使用。其中产品及尾矿约含</w:t>
      </w:r>
      <w:r>
        <w:rPr>
          <w:rFonts w:hint="default" w:ascii="Times New Roman" w:hAnsi="Times New Roman" w:eastAsia="宋体" w:cs="Times New Roman"/>
          <w:kern w:val="0"/>
          <w:sz w:val="24"/>
          <w:lang w:val="en-US" w:eastAsia="zh-CN"/>
        </w:rPr>
        <w:t>10%的水分，即151.55</w:t>
      </w:r>
      <w:r>
        <w:rPr>
          <w:rFonts w:hint="default" w:ascii="Times New Roman" w:hAnsi="Times New Roman" w:eastAsia="宋体" w:cs="Times New Roman"/>
          <w:kern w:val="0"/>
          <w:sz w:val="24"/>
        </w:rPr>
        <w:t>m</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/d</w:t>
      </w:r>
      <w:r>
        <w:rPr>
          <w:rFonts w:hint="default" w:ascii="Times New Roman" w:hAnsi="Times New Roman" w:eastAsia="宋体" w:cs="Times New Roman"/>
          <w:kern w:val="0"/>
          <w:sz w:val="24"/>
          <w:lang w:eastAsia="zh-CN"/>
        </w:rPr>
        <w:t>，损失</w:t>
      </w:r>
      <w:r>
        <w:rPr>
          <w:rFonts w:hint="default" w:ascii="Times New Roman" w:hAnsi="Times New Roman" w:eastAsia="宋体" w:cs="Times New Roman"/>
          <w:kern w:val="0"/>
          <w:sz w:val="24"/>
          <w:lang w:val="en-US" w:eastAsia="zh-CN"/>
        </w:rPr>
        <w:t>5%，即333.4</w:t>
      </w:r>
      <w:r>
        <w:rPr>
          <w:rFonts w:hint="default" w:ascii="Times New Roman" w:hAnsi="Times New Roman" w:eastAsia="宋体" w:cs="Times New Roman"/>
          <w:kern w:val="0"/>
          <w:sz w:val="24"/>
        </w:rPr>
        <w:t>m</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/d</w:t>
      </w:r>
      <w:r>
        <w:rPr>
          <w:rFonts w:hint="default" w:ascii="Times New Roman" w:hAnsi="Times New Roman" w:eastAsia="宋体" w:cs="Times New Roman"/>
          <w:kern w:val="0"/>
          <w:sz w:val="24"/>
          <w:lang w:eastAsia="zh-CN"/>
        </w:rPr>
        <w:t>，所以每日新增用水量为</w:t>
      </w:r>
      <w:r>
        <w:rPr>
          <w:rFonts w:hint="default" w:ascii="Times New Roman" w:hAnsi="Times New Roman" w:eastAsia="宋体" w:cs="Times New Roman"/>
          <w:kern w:val="0"/>
          <w:sz w:val="24"/>
          <w:lang w:val="en-US" w:eastAsia="zh-CN"/>
        </w:rPr>
        <w:t>484.95</w:t>
      </w:r>
      <w:r>
        <w:rPr>
          <w:rFonts w:hint="default" w:ascii="Times New Roman" w:hAnsi="Times New Roman" w:eastAsia="宋体" w:cs="Times New Roman"/>
          <w:kern w:val="0"/>
          <w:sz w:val="24"/>
        </w:rPr>
        <w:t>m</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/d</w:t>
      </w:r>
      <w:r>
        <w:rPr>
          <w:rFonts w:hint="default" w:ascii="Times New Roman" w:hAnsi="Times New Roman" w:eastAsia="宋体" w:cs="Times New Roman"/>
          <w:kern w:val="0"/>
          <w:sz w:val="24"/>
          <w:lang w:eastAsia="zh-CN"/>
        </w:rPr>
        <w:t>，即</w:t>
      </w:r>
      <w:r>
        <w:rPr>
          <w:rFonts w:hint="default" w:ascii="Times New Roman" w:hAnsi="Times New Roman" w:eastAsia="宋体" w:cs="Times New Roman"/>
          <w:kern w:val="0"/>
          <w:sz w:val="24"/>
          <w:lang w:val="en-US" w:eastAsia="zh-CN"/>
        </w:rPr>
        <w:t>145485</w:t>
      </w:r>
      <w:r>
        <w:rPr>
          <w:rFonts w:hint="default" w:ascii="Times New Roman" w:hAnsi="Times New Roman" w:eastAsia="宋体" w:cs="Times New Roman"/>
          <w:kern w:val="0"/>
          <w:sz w:val="24"/>
        </w:rPr>
        <w:t>m</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w:t>
      </w:r>
      <w:r>
        <w:rPr>
          <w:rFonts w:hint="default" w:ascii="Times New Roman" w:hAnsi="Times New Roman" w:eastAsia="宋体" w:cs="Times New Roman"/>
          <w:kern w:val="0"/>
          <w:sz w:val="24"/>
          <w:lang w:val="en-US" w:eastAsia="zh-CN"/>
        </w:rPr>
        <w:t>a</w:t>
      </w:r>
      <w:r>
        <w:rPr>
          <w:rFonts w:hint="default" w:ascii="Times New Roman" w:hAnsi="Times New Roman" w:eastAsia="宋体" w:cs="Times New Roman"/>
          <w:kern w:val="0"/>
          <w:sz w:val="24"/>
        </w:rPr>
        <w:t>。</w:t>
      </w:r>
      <w:r>
        <w:rPr>
          <w:rFonts w:hint="default" w:ascii="Times New Roman" w:hAnsi="Times New Roman" w:eastAsia="宋体" w:cs="Times New Roman"/>
          <w:kern w:val="0"/>
          <w:sz w:val="24"/>
          <w:lang w:eastAsia="zh-CN"/>
        </w:rPr>
        <w:t>选矿废水</w:t>
      </w:r>
      <w:r>
        <w:rPr>
          <w:rFonts w:hint="default" w:ascii="Times New Roman" w:hAnsi="Times New Roman" w:eastAsia="宋体" w:cs="Times New Roman"/>
          <w:kern w:val="0"/>
          <w:sz w:val="24"/>
        </w:rPr>
        <w:t>直接回流回用至磨选工艺，不外排</w:t>
      </w:r>
      <w:r>
        <w:rPr>
          <w:rFonts w:hint="default" w:ascii="Times New Roman" w:hAnsi="Times New Roman" w:eastAsia="宋体" w:cs="Times New Roman"/>
          <w:kern w:val="0"/>
          <w:sz w:val="24"/>
          <w:lang w:eastAsia="zh-CN"/>
        </w:rPr>
        <w:t>。</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2）抑尘</w:t>
      </w:r>
    </w:p>
    <w:p>
      <w:pPr>
        <w:autoSpaceDE w:val="0"/>
        <w:autoSpaceDN w:val="0"/>
        <w:adjustRightInd w:val="0"/>
        <w:spacing w:beforeLines="50" w:line="360" w:lineRule="auto"/>
        <w:ind w:firstLine="480" w:firstLineChars="200"/>
        <w:jc w:val="left"/>
        <w:rPr>
          <w:rFonts w:hint="default" w:ascii="Times New Roman" w:hAnsi="Times New Roman" w:eastAsia="宋体" w:cs="Times New Roman"/>
          <w:color w:val="auto"/>
          <w:sz w:val="24"/>
          <w:lang w:eastAsia="zh-CN"/>
        </w:rPr>
      </w:pPr>
      <w:r>
        <w:rPr>
          <w:rFonts w:hint="default" w:ascii="Times New Roman" w:hAnsi="Times New Roman" w:eastAsia="宋体" w:cs="Times New Roman"/>
          <w:kern w:val="0"/>
          <w:sz w:val="24"/>
        </w:rPr>
        <w:t>抑尘用水量约为1.0m</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/d</w:t>
      </w:r>
      <w:r>
        <w:rPr>
          <w:rFonts w:hint="default" w:ascii="Times New Roman" w:hAnsi="Times New Roman" w:eastAsia="宋体" w:cs="Times New Roman"/>
          <w:sz w:val="24"/>
        </w:rPr>
        <w:t>，即300m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/a</w:t>
      </w:r>
      <w:r>
        <w:rPr>
          <w:rFonts w:hint="default" w:ascii="Times New Roman" w:hAnsi="Times New Roman" w:eastAsia="宋体" w:cs="Times New Roman"/>
          <w:kern w:val="0"/>
          <w:sz w:val="24"/>
        </w:rPr>
        <w:t>。</w:t>
      </w:r>
      <w:r>
        <w:rPr>
          <w:rFonts w:hint="default" w:ascii="Times New Roman" w:hAnsi="Times New Roman" w:eastAsia="宋体" w:cs="Times New Roman"/>
          <w:kern w:val="0"/>
          <w:sz w:val="24"/>
          <w:lang w:eastAsia="zh-CN"/>
        </w:rPr>
        <w:t>全部蒸发损耗。</w:t>
      </w:r>
    </w:p>
    <w:p>
      <w:pPr>
        <w:spacing w:line="360" w:lineRule="auto"/>
        <w:ind w:firstLine="480" w:firstLineChars="200"/>
        <w:rPr>
          <w:rFonts w:hint="default" w:ascii="Times New Roman" w:hAnsi="Times New Roman" w:eastAsia="宋体" w:cs="Times New Roman"/>
          <w:b/>
          <w:bCs/>
          <w:color w:val="auto"/>
          <w:sz w:val="24"/>
        </w:rPr>
      </w:pPr>
      <w:r>
        <w:rPr>
          <w:rFonts w:hint="default" w:ascii="Times New Roman" w:hAnsi="Times New Roman" w:eastAsia="宋体" w:cs="Times New Roman"/>
          <w:color w:val="auto"/>
          <w:kern w:val="0"/>
          <w:sz w:val="24"/>
          <w:szCs w:val="24"/>
          <w:highlight w:val="none"/>
        </w:rPr>
        <w:t>建设项目水平衡</w:t>
      </w:r>
      <w:r>
        <w:rPr>
          <w:rFonts w:hint="default" w:ascii="Times New Roman" w:hAnsi="Times New Roman" w:eastAsia="宋体" w:cs="Times New Roman"/>
          <w:color w:val="auto"/>
          <w:sz w:val="24"/>
          <w:szCs w:val="24"/>
          <w:highlight w:val="none"/>
        </w:rPr>
        <w:t>见图</w:t>
      </w:r>
      <w:r>
        <w:rPr>
          <w:rFonts w:hint="default" w:ascii="Times New Roman" w:hAnsi="Times New Roman" w:eastAsia="宋体" w:cs="Times New Roman"/>
          <w:color w:val="auto"/>
          <w:sz w:val="24"/>
          <w:szCs w:val="24"/>
          <w:highlight w:val="none"/>
          <w:lang w:val="en-US" w:eastAsia="zh-CN"/>
        </w:rPr>
        <w:t>3.1-4</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b/>
          <w:color w:val="auto"/>
          <w:kern w:val="0"/>
          <w:sz w:val="24"/>
          <w:szCs w:val="24"/>
          <w:highlight w:val="none"/>
        </w:rPr>
        <w:t xml:space="preserve">  </w:t>
      </w:r>
    </w:p>
    <w:p>
      <w:pPr>
        <w:bidi w:val="0"/>
        <w:jc w:val="center"/>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drawing>
          <wp:inline distT="0" distB="0" distL="114300" distR="114300">
            <wp:extent cx="6195695" cy="3788410"/>
            <wp:effectExtent l="0" t="0" r="6985" b="6350"/>
            <wp:docPr id="66" name="图片 66" descr="1638936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638936144(1)"/>
                    <pic:cNvPicPr>
                      <a:picLocks noChangeAspect="1"/>
                    </pic:cNvPicPr>
                  </pic:nvPicPr>
                  <pic:blipFill>
                    <a:blip r:embed="rId35"/>
                    <a:stretch>
                      <a:fillRect/>
                    </a:stretch>
                  </pic:blipFill>
                  <pic:spPr>
                    <a:xfrm>
                      <a:off x="0" y="0"/>
                      <a:ext cx="6195695" cy="3788410"/>
                    </a:xfrm>
                    <a:prstGeom prst="rect">
                      <a:avLst/>
                    </a:prstGeom>
                  </pic:spPr>
                </pic:pic>
              </a:graphicData>
            </a:graphic>
          </wp:inline>
        </w:drawing>
      </w:r>
    </w:p>
    <w:p>
      <w:pPr>
        <w:bidi w:val="0"/>
        <w:jc w:val="center"/>
        <w:rPr>
          <w:rFonts w:hint="default" w:ascii="Times New Roman" w:hAnsi="Times New Roman" w:eastAsia="宋体" w:cs="Times New Roman"/>
          <w:b/>
          <w:bCs/>
          <w:color w:val="auto"/>
          <w:sz w:val="24"/>
          <w:szCs w:val="24"/>
          <w:highlight w:val="none"/>
        </w:rPr>
      </w:pPr>
    </w:p>
    <w:p>
      <w:pPr>
        <w:bidi w:val="0"/>
        <w:jc w:val="center"/>
        <w:rPr>
          <w:rFonts w:hint="default" w:ascii="Times New Roman" w:hAnsi="Times New Roman" w:eastAsia="宋体" w:cs="Times New Roman"/>
          <w:b/>
          <w:bCs/>
          <w:color w:val="auto"/>
          <w:sz w:val="24"/>
          <w:szCs w:val="24"/>
          <w:highlight w:val="none"/>
          <w:lang w:val="en-US"/>
        </w:rPr>
      </w:pPr>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3.1-4</w:t>
      </w:r>
      <w:r>
        <w:rPr>
          <w:rFonts w:hint="default" w:ascii="Times New Roman" w:hAnsi="Times New Roman" w:eastAsia="宋体" w:cs="Times New Roman"/>
          <w:b/>
          <w:bCs/>
          <w:color w:val="auto"/>
          <w:sz w:val="24"/>
          <w:szCs w:val="24"/>
          <w:highlight w:val="none"/>
        </w:rPr>
        <w:t xml:space="preserve">  建设项目水平衡图</w:t>
      </w:r>
      <w:r>
        <w:rPr>
          <w:rFonts w:hint="default" w:ascii="Times New Roman" w:hAnsi="Times New Roman" w:eastAsia="宋体" w:cs="Times New Roman"/>
          <w:b/>
          <w:bCs/>
          <w:color w:val="auto"/>
          <w:sz w:val="24"/>
          <w:szCs w:val="24"/>
          <w:highlight w:val="none"/>
          <w:lang w:val="en-US" w:eastAsia="zh-CN"/>
        </w:rPr>
        <w:t>t/d</w:t>
      </w:r>
    </w:p>
    <w:p>
      <w:pPr>
        <w:spacing w:line="360" w:lineRule="auto"/>
        <w:ind w:right="97" w:rightChars="46" w:firstLine="482" w:firstLineChars="200"/>
        <w:rPr>
          <w:rFonts w:hint="default" w:ascii="Times New Roman" w:hAnsi="Times New Roman" w:eastAsia="宋体" w:cs="Times New Roman"/>
          <w:b/>
          <w:bCs/>
          <w:color w:val="auto"/>
          <w:sz w:val="24"/>
          <w:lang w:val="en-US" w:eastAsia="zh-CN"/>
        </w:rPr>
      </w:pPr>
    </w:p>
    <w:p>
      <w:pPr>
        <w:spacing w:line="360" w:lineRule="auto"/>
        <w:ind w:right="97" w:rightChars="46" w:firstLine="482"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3、噪声污染源强核算</w:t>
      </w:r>
    </w:p>
    <w:p>
      <w:pPr>
        <w:spacing w:line="360" w:lineRule="auto"/>
        <w:ind w:right="97" w:rightChars="46" w:firstLine="480" w:firstLineChars="200"/>
        <w:rPr>
          <w:rFonts w:hint="default" w:ascii="Times New Roman" w:hAnsi="Times New Roman" w:eastAsia="宋体" w:cs="Times New Roman"/>
          <w:color w:val="auto"/>
        </w:rPr>
      </w:pPr>
      <w:r>
        <w:rPr>
          <w:rFonts w:hint="default" w:ascii="Times New Roman" w:hAnsi="Times New Roman" w:eastAsia="宋体" w:cs="Times New Roman"/>
          <w:sz w:val="24"/>
        </w:rPr>
        <w:t>本项目主要噪声源有颚式破碎机、锤式破碎机、筛分机、球磨机、磁选机等</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机械设备运行时产生的噪声</w:t>
      </w:r>
      <w:r>
        <w:rPr>
          <w:rFonts w:hint="default" w:ascii="Times New Roman" w:hAnsi="Times New Roman" w:eastAsia="宋体" w:cs="Times New Roman"/>
          <w:b w:val="0"/>
          <w:bCs w:val="0"/>
          <w:color w:val="auto"/>
          <w:sz w:val="24"/>
          <w:szCs w:val="24"/>
        </w:rPr>
        <w:t>，主要噪声源强见表3.1-</w:t>
      </w:r>
      <w:r>
        <w:rPr>
          <w:rFonts w:hint="default" w:ascii="Times New Roman" w:hAnsi="Times New Roman" w:eastAsia="宋体" w:cs="Times New Roman"/>
          <w:b w:val="0"/>
          <w:bCs w:val="0"/>
          <w:color w:val="auto"/>
          <w:sz w:val="24"/>
          <w:szCs w:val="24"/>
          <w:lang w:val="en-US" w:eastAsia="zh-CN"/>
        </w:rPr>
        <w:t>14</w:t>
      </w:r>
      <w:r>
        <w:rPr>
          <w:rFonts w:hint="default" w:ascii="Times New Roman" w:hAnsi="Times New Roman" w:eastAsia="宋体" w:cs="Times New Roman"/>
          <w:b w:val="0"/>
          <w:bCs w:val="0"/>
          <w:color w:val="auto"/>
          <w:sz w:val="24"/>
          <w:szCs w:val="24"/>
        </w:rPr>
        <w:t>。</w:t>
      </w:r>
    </w:p>
    <w:p>
      <w:pPr>
        <w:pStyle w:val="74"/>
        <w:spacing w:beforeLines="50" w:line="480" w:lineRule="exac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表3.1-</w:t>
      </w:r>
      <w:r>
        <w:rPr>
          <w:rFonts w:hint="default" w:ascii="Times New Roman" w:hAnsi="Times New Roman" w:eastAsia="宋体" w:cs="Times New Roman"/>
          <w:color w:val="auto"/>
          <w:lang w:val="en-US" w:eastAsia="zh-CN"/>
        </w:rPr>
        <w:t xml:space="preserve">14                     </w:t>
      </w:r>
      <w:r>
        <w:rPr>
          <w:rFonts w:hint="default" w:ascii="Times New Roman" w:hAnsi="Times New Roman" w:eastAsia="宋体" w:cs="Times New Roman"/>
          <w:color w:val="auto"/>
        </w:rPr>
        <w:t>主要设备噪声源强</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1"/>
        <w:gridCol w:w="1973"/>
        <w:gridCol w:w="1640"/>
        <w:gridCol w:w="2552"/>
        <w:gridCol w:w="200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序号</w:t>
            </w:r>
          </w:p>
        </w:tc>
        <w:tc>
          <w:tcPr>
            <w:tcW w:w="1973"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噪声源</w:t>
            </w:r>
          </w:p>
        </w:tc>
        <w:tc>
          <w:tcPr>
            <w:tcW w:w="1640" w:type="dxa"/>
            <w:vAlign w:val="center"/>
          </w:tcPr>
          <w:p>
            <w:pPr>
              <w:jc w:val="center"/>
              <w:rPr>
                <w:rFonts w:hint="default" w:ascii="Times New Roman" w:hAnsi="Times New Roman" w:eastAsia="宋体" w:cs="Times New Roman"/>
                <w:szCs w:val="21"/>
                <w:lang w:eastAsia="zh-CN"/>
              </w:rPr>
            </w:pPr>
            <w:r>
              <w:rPr>
                <w:rFonts w:hint="default" w:ascii="Times New Roman" w:hAnsi="Times New Roman" w:eastAsia="宋体" w:cs="Times New Roman"/>
                <w:szCs w:val="21"/>
                <w:lang w:eastAsia="zh-CN"/>
              </w:rPr>
              <w:t>数量</w:t>
            </w:r>
          </w:p>
        </w:tc>
        <w:tc>
          <w:tcPr>
            <w:tcW w:w="2552"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声功率级</w:t>
            </w:r>
            <w:r>
              <w:rPr>
                <w:rFonts w:hint="default" w:ascii="Times New Roman" w:hAnsi="Times New Roman" w:eastAsia="宋体" w:cs="Times New Roman"/>
                <w:color w:val="auto"/>
                <w:sz w:val="21"/>
                <w:szCs w:val="21"/>
              </w:rPr>
              <w:t>[dB(A)]</w:t>
            </w:r>
          </w:p>
        </w:tc>
        <w:tc>
          <w:tcPr>
            <w:tcW w:w="2001"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控制措施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1</w:t>
            </w:r>
          </w:p>
        </w:tc>
        <w:tc>
          <w:tcPr>
            <w:tcW w:w="1973"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颚式破碎机</w:t>
            </w:r>
          </w:p>
        </w:tc>
        <w:tc>
          <w:tcPr>
            <w:tcW w:w="1640"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1</w:t>
            </w:r>
          </w:p>
        </w:tc>
        <w:tc>
          <w:tcPr>
            <w:tcW w:w="2552"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100</w:t>
            </w:r>
          </w:p>
        </w:tc>
        <w:tc>
          <w:tcPr>
            <w:tcW w:w="2001" w:type="dxa"/>
            <w:vMerge w:val="restart"/>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lang w:eastAsia="zh-CN"/>
              </w:rPr>
              <w:t>车间封闭</w:t>
            </w:r>
            <w:r>
              <w:rPr>
                <w:rFonts w:hint="default" w:ascii="Times New Roman" w:hAnsi="Times New Roman" w:eastAsia="宋体" w:cs="Times New Roman"/>
                <w:bCs/>
                <w:szCs w:val="21"/>
              </w:rPr>
              <w:t>，建筑隔声、基础减振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2</w:t>
            </w:r>
          </w:p>
        </w:tc>
        <w:tc>
          <w:tcPr>
            <w:tcW w:w="1973"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锤式破碎机</w:t>
            </w:r>
          </w:p>
        </w:tc>
        <w:tc>
          <w:tcPr>
            <w:tcW w:w="1640"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1</w:t>
            </w:r>
          </w:p>
        </w:tc>
        <w:tc>
          <w:tcPr>
            <w:tcW w:w="2552"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100</w:t>
            </w:r>
          </w:p>
        </w:tc>
        <w:tc>
          <w:tcPr>
            <w:tcW w:w="2001" w:type="dxa"/>
            <w:vMerge w:val="continue"/>
            <w:vAlign w:val="center"/>
          </w:tcPr>
          <w:p>
            <w:pPr>
              <w:jc w:val="center"/>
              <w:rPr>
                <w:rFonts w:hint="default" w:ascii="Times New Roman" w:hAnsi="Times New Roman" w:eastAsia="宋体" w:cs="Times New Roman"/>
                <w:bCs/>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3</w:t>
            </w:r>
          </w:p>
        </w:tc>
        <w:tc>
          <w:tcPr>
            <w:tcW w:w="1973"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bCs/>
                <w:szCs w:val="21"/>
              </w:rPr>
              <w:t>筛分机</w:t>
            </w:r>
          </w:p>
        </w:tc>
        <w:tc>
          <w:tcPr>
            <w:tcW w:w="1640"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4</w:t>
            </w:r>
          </w:p>
        </w:tc>
        <w:tc>
          <w:tcPr>
            <w:tcW w:w="2552"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100</w:t>
            </w:r>
          </w:p>
        </w:tc>
        <w:tc>
          <w:tcPr>
            <w:tcW w:w="2001" w:type="dxa"/>
            <w:vMerge w:val="continue"/>
            <w:vAlign w:val="center"/>
          </w:tcPr>
          <w:p>
            <w:pPr>
              <w:jc w:val="center"/>
              <w:rPr>
                <w:rFonts w:hint="default" w:ascii="Times New Roman" w:hAnsi="Times New Roman" w:eastAsia="宋体" w:cs="Times New Roman"/>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4</w:t>
            </w:r>
          </w:p>
        </w:tc>
        <w:tc>
          <w:tcPr>
            <w:tcW w:w="1973"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bCs/>
                <w:szCs w:val="21"/>
              </w:rPr>
              <w:t>球磨机</w:t>
            </w:r>
          </w:p>
        </w:tc>
        <w:tc>
          <w:tcPr>
            <w:tcW w:w="1640"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3</w:t>
            </w:r>
          </w:p>
        </w:tc>
        <w:tc>
          <w:tcPr>
            <w:tcW w:w="2552"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100</w:t>
            </w:r>
          </w:p>
        </w:tc>
        <w:tc>
          <w:tcPr>
            <w:tcW w:w="2001" w:type="dxa"/>
            <w:vMerge w:val="continue"/>
            <w:vAlign w:val="center"/>
          </w:tcPr>
          <w:p>
            <w:pPr>
              <w:jc w:val="center"/>
              <w:rPr>
                <w:rFonts w:hint="default" w:ascii="Times New Roman" w:hAnsi="Times New Roman" w:eastAsia="宋体" w:cs="Times New Roman"/>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5</w:t>
            </w:r>
          </w:p>
        </w:tc>
        <w:tc>
          <w:tcPr>
            <w:tcW w:w="1973"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bCs/>
                <w:szCs w:val="21"/>
              </w:rPr>
              <w:t>磁选机</w:t>
            </w:r>
          </w:p>
        </w:tc>
        <w:tc>
          <w:tcPr>
            <w:tcW w:w="1640"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3</w:t>
            </w:r>
          </w:p>
        </w:tc>
        <w:tc>
          <w:tcPr>
            <w:tcW w:w="2552"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90</w:t>
            </w:r>
          </w:p>
        </w:tc>
        <w:tc>
          <w:tcPr>
            <w:tcW w:w="2001" w:type="dxa"/>
            <w:vMerge w:val="continue"/>
            <w:vAlign w:val="center"/>
          </w:tcPr>
          <w:p>
            <w:pPr>
              <w:jc w:val="center"/>
              <w:rPr>
                <w:rFonts w:hint="default" w:ascii="Times New Roman" w:hAnsi="Times New Roman" w:eastAsia="宋体" w:cs="Times New Roman"/>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6</w:t>
            </w:r>
          </w:p>
        </w:tc>
        <w:tc>
          <w:tcPr>
            <w:tcW w:w="1973" w:type="dxa"/>
            <w:vAlign w:val="center"/>
          </w:tcPr>
          <w:p>
            <w:pPr>
              <w:jc w:val="center"/>
              <w:rPr>
                <w:rFonts w:hint="default" w:ascii="Times New Roman" w:hAnsi="Times New Roman" w:eastAsia="宋体" w:cs="Times New Roman"/>
                <w:bCs/>
                <w:szCs w:val="21"/>
                <w:lang w:eastAsia="zh-CN"/>
              </w:rPr>
            </w:pPr>
            <w:r>
              <w:rPr>
                <w:rFonts w:hint="default" w:ascii="Times New Roman" w:hAnsi="Times New Roman" w:eastAsia="宋体" w:cs="Times New Roman"/>
                <w:bCs/>
                <w:szCs w:val="21"/>
                <w:lang w:eastAsia="zh-CN"/>
              </w:rPr>
              <w:t>水泵</w:t>
            </w:r>
          </w:p>
        </w:tc>
        <w:tc>
          <w:tcPr>
            <w:tcW w:w="1640"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8</w:t>
            </w:r>
          </w:p>
        </w:tc>
        <w:tc>
          <w:tcPr>
            <w:tcW w:w="2552"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95</w:t>
            </w:r>
          </w:p>
        </w:tc>
        <w:tc>
          <w:tcPr>
            <w:tcW w:w="2001" w:type="dxa"/>
            <w:vMerge w:val="continue"/>
            <w:vAlign w:val="center"/>
          </w:tcPr>
          <w:p>
            <w:pPr>
              <w:jc w:val="center"/>
              <w:rPr>
                <w:rFonts w:hint="default" w:ascii="Times New Roman" w:hAnsi="Times New Roman" w:eastAsia="宋体" w:cs="Times New Roman"/>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7</w:t>
            </w:r>
          </w:p>
        </w:tc>
        <w:tc>
          <w:tcPr>
            <w:tcW w:w="1973" w:type="dxa"/>
            <w:vAlign w:val="center"/>
          </w:tcPr>
          <w:p>
            <w:pPr>
              <w:jc w:val="center"/>
              <w:rPr>
                <w:rFonts w:hint="default" w:ascii="Times New Roman" w:hAnsi="Times New Roman" w:eastAsia="宋体" w:cs="Times New Roman"/>
                <w:szCs w:val="21"/>
                <w:lang w:eastAsia="zh-CN"/>
              </w:rPr>
            </w:pPr>
            <w:r>
              <w:rPr>
                <w:rFonts w:hint="default" w:ascii="Times New Roman" w:hAnsi="Times New Roman" w:eastAsia="宋体" w:cs="Times New Roman"/>
                <w:szCs w:val="21"/>
                <w:lang w:eastAsia="zh-CN"/>
              </w:rPr>
              <w:t>压滤机</w:t>
            </w:r>
          </w:p>
        </w:tc>
        <w:tc>
          <w:tcPr>
            <w:tcW w:w="164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2</w:t>
            </w:r>
          </w:p>
        </w:tc>
        <w:tc>
          <w:tcPr>
            <w:tcW w:w="2552"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85</w:t>
            </w:r>
          </w:p>
        </w:tc>
        <w:tc>
          <w:tcPr>
            <w:tcW w:w="2001" w:type="dxa"/>
            <w:vMerge w:val="continue"/>
            <w:vAlign w:val="center"/>
          </w:tcPr>
          <w:p>
            <w:pPr>
              <w:jc w:val="center"/>
              <w:rPr>
                <w:rFonts w:hint="default" w:ascii="Times New Roman" w:hAnsi="Times New Roman" w:eastAsia="宋体" w:cs="Times New Roman"/>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8</w:t>
            </w:r>
          </w:p>
        </w:tc>
        <w:tc>
          <w:tcPr>
            <w:tcW w:w="1973" w:type="dxa"/>
            <w:vAlign w:val="center"/>
          </w:tcPr>
          <w:p>
            <w:pPr>
              <w:jc w:val="center"/>
              <w:rPr>
                <w:rFonts w:hint="default" w:ascii="Times New Roman" w:hAnsi="Times New Roman" w:eastAsia="宋体" w:cs="Times New Roman"/>
                <w:szCs w:val="21"/>
                <w:lang w:eastAsia="zh-CN"/>
              </w:rPr>
            </w:pPr>
            <w:r>
              <w:rPr>
                <w:rFonts w:hint="default" w:ascii="Times New Roman" w:hAnsi="Times New Roman" w:eastAsia="宋体" w:cs="Times New Roman"/>
                <w:szCs w:val="21"/>
                <w:lang w:eastAsia="zh-CN"/>
              </w:rPr>
              <w:t>风机</w:t>
            </w:r>
          </w:p>
        </w:tc>
        <w:tc>
          <w:tcPr>
            <w:tcW w:w="164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1</w:t>
            </w:r>
          </w:p>
        </w:tc>
        <w:tc>
          <w:tcPr>
            <w:tcW w:w="2552"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95</w:t>
            </w:r>
          </w:p>
        </w:tc>
        <w:tc>
          <w:tcPr>
            <w:tcW w:w="2001" w:type="dxa"/>
            <w:vMerge w:val="continue"/>
            <w:vAlign w:val="center"/>
          </w:tcPr>
          <w:p>
            <w:pPr>
              <w:jc w:val="center"/>
              <w:rPr>
                <w:rFonts w:hint="default" w:ascii="Times New Roman" w:hAnsi="Times New Roman" w:eastAsia="宋体" w:cs="Times New Roman"/>
                <w:szCs w:val="21"/>
              </w:rPr>
            </w:pPr>
          </w:p>
        </w:tc>
      </w:tr>
    </w:tbl>
    <w:p>
      <w:pPr>
        <w:keepNext w:val="0"/>
        <w:keepLines w:val="0"/>
        <w:pageBreakBefore w:val="0"/>
        <w:widowControl w:val="0"/>
        <w:kinsoku/>
        <w:wordWrap/>
        <w:overflowPunct/>
        <w:topLinePunct w:val="0"/>
        <w:bidi w:val="0"/>
        <w:snapToGrid/>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bCs/>
          <w:color w:val="auto"/>
          <w:sz w:val="24"/>
          <w:lang w:eastAsia="zh-CN"/>
        </w:rPr>
        <w:t>通过采取</w:t>
      </w:r>
      <w:r>
        <w:rPr>
          <w:rFonts w:hint="default" w:ascii="Times New Roman" w:hAnsi="Times New Roman" w:eastAsia="宋体" w:cs="Times New Roman"/>
          <w:bCs/>
          <w:color w:val="auto"/>
          <w:sz w:val="24"/>
        </w:rPr>
        <w:t>降噪措施</w:t>
      </w:r>
      <w:r>
        <w:rPr>
          <w:rFonts w:hint="default" w:ascii="Times New Roman" w:hAnsi="Times New Roman" w:eastAsia="宋体" w:cs="Times New Roman"/>
          <w:bCs/>
          <w:color w:val="auto"/>
          <w:sz w:val="24"/>
          <w:lang w:eastAsia="zh-CN"/>
        </w:rPr>
        <w:t>后，</w:t>
      </w:r>
      <w:r>
        <w:rPr>
          <w:rFonts w:hint="default" w:ascii="Times New Roman" w:hAnsi="Times New Roman" w:eastAsia="宋体" w:cs="Times New Roman"/>
          <w:bCs/>
          <w:color w:val="auto"/>
          <w:sz w:val="24"/>
        </w:rPr>
        <w:t>各厂界</w:t>
      </w:r>
      <w:r>
        <w:rPr>
          <w:rFonts w:hint="default" w:ascii="Times New Roman" w:hAnsi="Times New Roman" w:eastAsia="宋体" w:cs="Times New Roman"/>
          <w:color w:val="auto"/>
          <w:sz w:val="24"/>
        </w:rPr>
        <w:t>贡献值</w:t>
      </w:r>
      <w:r>
        <w:rPr>
          <w:rFonts w:hint="default" w:ascii="Times New Roman" w:hAnsi="Times New Roman" w:eastAsia="宋体" w:cs="Times New Roman"/>
          <w:bCs/>
          <w:color w:val="auto"/>
          <w:sz w:val="24"/>
        </w:rPr>
        <w:t>均符合</w:t>
      </w:r>
      <w:r>
        <w:rPr>
          <w:rFonts w:hint="default" w:ascii="Times New Roman" w:hAnsi="Times New Roman" w:eastAsia="宋体" w:cs="Times New Roman"/>
          <w:color w:val="auto"/>
          <w:sz w:val="24"/>
        </w:rPr>
        <w:t>《工业企业厂界环境噪声排放标准》(GB12348-2008)中</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类标准要求</w:t>
      </w:r>
      <w:r>
        <w:rPr>
          <w:rFonts w:hint="default" w:ascii="Times New Roman" w:hAnsi="Times New Roman" w:eastAsia="宋体" w:cs="Times New Roman"/>
          <w:bCs/>
          <w:color w:val="auto"/>
          <w:sz w:val="24"/>
        </w:rPr>
        <w:t>，对</w:t>
      </w:r>
      <w:r>
        <w:rPr>
          <w:rFonts w:hint="default" w:ascii="Times New Roman" w:hAnsi="Times New Roman" w:eastAsia="宋体" w:cs="Times New Roman"/>
          <w:color w:val="auto"/>
          <w:sz w:val="24"/>
        </w:rPr>
        <w:t>周围环境影响较小。</w:t>
      </w:r>
    </w:p>
    <w:p>
      <w:pPr>
        <w:spacing w:line="360" w:lineRule="auto"/>
        <w:ind w:right="97" w:rightChars="46" w:firstLine="482"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4、固体废物污染源强核算</w:t>
      </w:r>
    </w:p>
    <w:p>
      <w:pPr>
        <w:bidi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本项目固体废物主要为尾矿渣、除尘器收集的除尘灰、废机油</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员工生活垃圾。</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（1）除尘器除尘灰</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根据前文计算可得，</w:t>
      </w:r>
      <w:r>
        <w:rPr>
          <w:rFonts w:hint="default" w:ascii="Times New Roman" w:hAnsi="Times New Roman" w:eastAsia="宋体" w:cs="Times New Roman"/>
          <w:color w:val="auto"/>
        </w:rPr>
        <w:t>本项目除尘器收集除尘灰</w:t>
      </w:r>
      <w:r>
        <w:rPr>
          <w:rFonts w:hint="default" w:ascii="Times New Roman" w:hAnsi="Times New Roman" w:eastAsia="宋体" w:cs="Times New Roman"/>
          <w:color w:val="auto"/>
          <w:lang w:val="en-US" w:eastAsia="zh-CN"/>
        </w:rPr>
        <w:t>235.93</w:t>
      </w:r>
      <w:r>
        <w:rPr>
          <w:rFonts w:hint="default" w:ascii="Times New Roman" w:hAnsi="Times New Roman" w:eastAsia="宋体" w:cs="Times New Roman"/>
          <w:color w:val="auto"/>
        </w:rPr>
        <w:t>t/a，进入选矿工艺，不外排。</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）生活垃圾</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本项目</w:t>
      </w:r>
      <w:r>
        <w:rPr>
          <w:rFonts w:hint="default" w:ascii="Times New Roman" w:hAnsi="Times New Roman" w:eastAsia="宋体" w:cs="Times New Roman"/>
          <w:color w:val="auto"/>
          <w:lang w:eastAsia="zh-CN"/>
        </w:rPr>
        <w:t>新增</w:t>
      </w:r>
      <w:r>
        <w:rPr>
          <w:rFonts w:hint="default" w:ascii="Times New Roman" w:hAnsi="Times New Roman" w:eastAsia="宋体" w:cs="Times New Roman"/>
          <w:color w:val="auto"/>
        </w:rPr>
        <w:t>员工</w:t>
      </w:r>
      <w:r>
        <w:rPr>
          <w:rFonts w:hint="default" w:ascii="Times New Roman" w:hAnsi="Times New Roman" w:eastAsia="宋体" w:cs="Times New Roman"/>
          <w:color w:val="auto"/>
          <w:lang w:val="en-US" w:eastAsia="zh-CN"/>
        </w:rPr>
        <w:t>30</w:t>
      </w:r>
      <w:r>
        <w:rPr>
          <w:rFonts w:hint="default" w:ascii="Times New Roman" w:hAnsi="Times New Roman" w:eastAsia="宋体" w:cs="Times New Roman"/>
          <w:color w:val="auto"/>
        </w:rPr>
        <w:t>人，年工作</w:t>
      </w:r>
      <w:r>
        <w:rPr>
          <w:rFonts w:hint="default" w:ascii="Times New Roman" w:hAnsi="Times New Roman" w:eastAsia="宋体" w:cs="Times New Roman"/>
          <w:color w:val="auto"/>
          <w:lang w:val="en-US" w:eastAsia="zh-CN"/>
        </w:rPr>
        <w:t>300</w:t>
      </w:r>
      <w:r>
        <w:rPr>
          <w:rFonts w:hint="default" w:ascii="Times New Roman" w:hAnsi="Times New Roman" w:eastAsia="宋体" w:cs="Times New Roman"/>
          <w:color w:val="auto"/>
        </w:rPr>
        <w:t>天，生活垃圾按0.5kg/人·d计，年产生</w:t>
      </w:r>
      <w:r>
        <w:rPr>
          <w:rFonts w:hint="default" w:ascii="Times New Roman" w:hAnsi="Times New Roman" w:eastAsia="宋体" w:cs="Times New Roman"/>
          <w:color w:val="auto"/>
          <w:lang w:val="en-US" w:eastAsia="zh-CN"/>
        </w:rPr>
        <w:t>4.5</w:t>
      </w:r>
      <w:r>
        <w:rPr>
          <w:rFonts w:hint="default" w:ascii="Times New Roman" w:hAnsi="Times New Roman" w:eastAsia="宋体" w:cs="Times New Roman"/>
          <w:color w:val="auto"/>
        </w:rPr>
        <w:t>t，垃圾箱临时储存，定期</w:t>
      </w:r>
      <w:r>
        <w:rPr>
          <w:rFonts w:hint="default" w:ascii="Times New Roman" w:hAnsi="Times New Roman" w:eastAsia="宋体" w:cs="Times New Roman"/>
          <w:bCs w:val="0"/>
          <w:color w:val="auto"/>
          <w:szCs w:val="21"/>
        </w:rPr>
        <w:t>送环卫部门指定地点</w:t>
      </w:r>
      <w:r>
        <w:rPr>
          <w:rFonts w:hint="default" w:ascii="Times New Roman" w:hAnsi="Times New Roman" w:eastAsia="宋体" w:cs="Times New Roman"/>
          <w:color w:val="auto"/>
        </w:rPr>
        <w:t>。</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3）尾矿渣</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选矿后产生的尾矿渣约为150万t/a，暂存于1座占地面积为300m</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color w:val="auto"/>
          <w:lang w:val="en-US" w:eastAsia="zh-CN"/>
        </w:rPr>
        <w:t>的尾矿仓内，用于填埋历史采坑。</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（4）废机油</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本项目生产设备定期更换机油，废机油产生量约0.5t/a，于厂区内10m</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color w:val="auto"/>
          <w:lang w:val="en-US" w:eastAsia="zh-CN"/>
        </w:rPr>
        <w:t>的危废间内暂存，定期交由资质单位处置。</w:t>
      </w:r>
    </w:p>
    <w:p>
      <w:pPr>
        <w:pStyle w:val="519"/>
        <w:keepNext w:val="0"/>
        <w:keepLines w:val="0"/>
        <w:pageBreakBefore w:val="0"/>
        <w:widowControl w:val="0"/>
        <w:kinsoku/>
        <w:wordWrap/>
        <w:overflowPunct/>
        <w:topLinePunct w:val="0"/>
        <w:bidi w:val="0"/>
        <w:snapToGrid/>
        <w:rPr>
          <w:rFonts w:hint="default" w:ascii="Times New Roman" w:hAnsi="Times New Roman" w:eastAsia="宋体" w:cs="Times New Roman"/>
          <w:bCs/>
          <w:color w:val="auto"/>
          <w:szCs w:val="24"/>
        </w:rPr>
      </w:pPr>
      <w:r>
        <w:rPr>
          <w:rFonts w:hint="default" w:ascii="Times New Roman" w:hAnsi="Times New Roman" w:eastAsia="宋体" w:cs="Times New Roman"/>
          <w:bCs/>
          <w:color w:val="auto"/>
          <w:szCs w:val="24"/>
        </w:rPr>
        <w:t>固体废物产生及排放情况见表3</w:t>
      </w:r>
      <w:r>
        <w:rPr>
          <w:rFonts w:hint="default" w:ascii="Times New Roman" w:hAnsi="Times New Roman" w:eastAsia="宋体" w:cs="Times New Roman"/>
          <w:bCs/>
          <w:color w:val="auto"/>
          <w:szCs w:val="24"/>
          <w:lang w:val="en-US" w:eastAsia="zh-CN"/>
        </w:rPr>
        <w:t>.1-15</w:t>
      </w:r>
      <w:r>
        <w:rPr>
          <w:rFonts w:hint="default" w:ascii="Times New Roman" w:hAnsi="Times New Roman" w:eastAsia="宋体" w:cs="Times New Roman"/>
          <w:bCs/>
          <w:color w:val="auto"/>
          <w:szCs w:val="24"/>
        </w:rPr>
        <w:t>。</w:t>
      </w:r>
    </w:p>
    <w:p>
      <w:pPr>
        <w:pStyle w:val="74"/>
        <w:spacing w:beforeLines="50" w:line="480" w:lineRule="exact"/>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表3.1-15               固体废物产生及排放情况汇总表</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96"/>
        <w:gridCol w:w="1154"/>
        <w:gridCol w:w="1184"/>
        <w:gridCol w:w="1259"/>
        <w:gridCol w:w="805"/>
        <w:gridCol w:w="990"/>
        <w:gridCol w:w="2340"/>
        <w:gridCol w:w="959"/>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序</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号</w:t>
            </w:r>
          </w:p>
        </w:tc>
        <w:tc>
          <w:tcPr>
            <w:tcW w:w="115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名称</w:t>
            </w: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产生工序</w:t>
            </w:r>
          </w:p>
        </w:tc>
        <w:tc>
          <w:tcPr>
            <w:tcW w:w="12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废物类别</w:t>
            </w:r>
          </w:p>
        </w:tc>
        <w:tc>
          <w:tcPr>
            <w:tcW w:w="805"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废物</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代码</w:t>
            </w:r>
          </w:p>
        </w:tc>
        <w:tc>
          <w:tcPr>
            <w:tcW w:w="99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产生量</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（t/a）</w:t>
            </w:r>
          </w:p>
        </w:tc>
        <w:tc>
          <w:tcPr>
            <w:tcW w:w="234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拟采取的处理</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或处置方式</w:t>
            </w:r>
          </w:p>
        </w:tc>
        <w:tc>
          <w:tcPr>
            <w:tcW w:w="9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排放量（t/a）</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1</w:t>
            </w:r>
          </w:p>
        </w:tc>
        <w:tc>
          <w:tcPr>
            <w:tcW w:w="115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除尘灰</w:t>
            </w: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sz w:val="21"/>
                <w:szCs w:val="21"/>
              </w:rPr>
              <w:t>除尘器</w:t>
            </w:r>
          </w:p>
        </w:tc>
        <w:tc>
          <w:tcPr>
            <w:tcW w:w="12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一般固废</w:t>
            </w:r>
          </w:p>
        </w:tc>
        <w:tc>
          <w:tcPr>
            <w:tcW w:w="805"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kern w:val="0"/>
                <w:sz w:val="21"/>
                <w:szCs w:val="21"/>
              </w:rPr>
              <w:t>/</w:t>
            </w:r>
          </w:p>
        </w:tc>
        <w:tc>
          <w:tcPr>
            <w:tcW w:w="99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235.93</w:t>
            </w:r>
          </w:p>
        </w:tc>
        <w:tc>
          <w:tcPr>
            <w:tcW w:w="234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color w:val="auto"/>
              </w:rPr>
              <w:t>进入选矿工艺，不外排</w:t>
            </w:r>
          </w:p>
        </w:tc>
        <w:tc>
          <w:tcPr>
            <w:tcW w:w="9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val="en-US" w:eastAsia="zh-CN"/>
              </w:rPr>
              <w:t>2</w:t>
            </w:r>
          </w:p>
        </w:tc>
        <w:tc>
          <w:tcPr>
            <w:tcW w:w="115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生活垃圾</w:t>
            </w: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职工生活</w:t>
            </w:r>
          </w:p>
        </w:tc>
        <w:tc>
          <w:tcPr>
            <w:tcW w:w="12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一般固废</w:t>
            </w:r>
          </w:p>
        </w:tc>
        <w:tc>
          <w:tcPr>
            <w:tcW w:w="805"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w:t>
            </w:r>
          </w:p>
        </w:tc>
        <w:tc>
          <w:tcPr>
            <w:tcW w:w="99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4.5</w:t>
            </w:r>
          </w:p>
        </w:tc>
        <w:tc>
          <w:tcPr>
            <w:tcW w:w="234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暂存于垃圾桶内，</w:t>
            </w:r>
            <w:r>
              <w:rPr>
                <w:rFonts w:hint="default" w:ascii="Times New Roman" w:hAnsi="Times New Roman" w:eastAsia="宋体" w:cs="Times New Roman"/>
                <w:b w:val="0"/>
                <w:bCs/>
                <w:color w:val="auto"/>
                <w:sz w:val="21"/>
                <w:szCs w:val="21"/>
              </w:rPr>
              <w:t>定期送环卫部门指定地点</w:t>
            </w:r>
          </w:p>
        </w:tc>
        <w:tc>
          <w:tcPr>
            <w:tcW w:w="9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3</w:t>
            </w:r>
          </w:p>
        </w:tc>
        <w:tc>
          <w:tcPr>
            <w:tcW w:w="115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尾矿</w:t>
            </w: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生产</w:t>
            </w:r>
          </w:p>
        </w:tc>
        <w:tc>
          <w:tcPr>
            <w:tcW w:w="12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rPr>
              <w:t>一般固废</w:t>
            </w:r>
          </w:p>
        </w:tc>
        <w:tc>
          <w:tcPr>
            <w:tcW w:w="805"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rPr>
              <w:t>/</w:t>
            </w:r>
          </w:p>
        </w:tc>
        <w:tc>
          <w:tcPr>
            <w:tcW w:w="99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150万</w:t>
            </w:r>
          </w:p>
        </w:tc>
        <w:tc>
          <w:tcPr>
            <w:tcW w:w="234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color w:val="auto"/>
                <w:lang w:val="en-US" w:eastAsia="zh-CN"/>
              </w:rPr>
              <w:t>用于填埋历史采坑</w:t>
            </w:r>
          </w:p>
        </w:tc>
        <w:tc>
          <w:tcPr>
            <w:tcW w:w="9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4</w:t>
            </w:r>
          </w:p>
        </w:tc>
        <w:tc>
          <w:tcPr>
            <w:tcW w:w="115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废机油</w:t>
            </w: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生产设备</w:t>
            </w:r>
          </w:p>
        </w:tc>
        <w:tc>
          <w:tcPr>
            <w:tcW w:w="12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危险废物</w:t>
            </w:r>
          </w:p>
        </w:tc>
        <w:tc>
          <w:tcPr>
            <w:tcW w:w="805"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900-214-08</w:t>
            </w:r>
          </w:p>
        </w:tc>
        <w:tc>
          <w:tcPr>
            <w:tcW w:w="99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0.5</w:t>
            </w:r>
          </w:p>
        </w:tc>
        <w:tc>
          <w:tcPr>
            <w:tcW w:w="234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危废间内暂存，定期交由资质单位</w:t>
            </w:r>
          </w:p>
        </w:tc>
        <w:tc>
          <w:tcPr>
            <w:tcW w:w="9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w:t>
            </w:r>
          </w:p>
        </w:tc>
      </w:tr>
    </w:tbl>
    <w:p>
      <w:pPr>
        <w:tabs>
          <w:tab w:val="left" w:pos="4800"/>
        </w:tabs>
        <w:spacing w:line="360" w:lineRule="auto"/>
        <w:ind w:firstLine="241" w:firstLineChars="100"/>
        <w:jc w:val="both"/>
        <w:rPr>
          <w:rFonts w:hint="default" w:ascii="Times New Roman" w:hAnsi="Times New Roman" w:eastAsia="宋体" w:cs="Times New Roman"/>
          <w:b/>
          <w:color w:val="auto"/>
          <w:sz w:val="24"/>
          <w:lang w:val="en-US" w:eastAsia="zh-CN"/>
        </w:rPr>
      </w:pPr>
      <w:r>
        <w:rPr>
          <w:rFonts w:hint="default" w:ascii="Times New Roman" w:hAnsi="Times New Roman" w:eastAsia="宋体" w:cs="Times New Roman"/>
          <w:b/>
          <w:color w:val="auto"/>
          <w:sz w:val="24"/>
          <w:lang w:val="en-US" w:eastAsia="zh-CN"/>
        </w:rPr>
        <w:t>5、污染物排放总量</w:t>
      </w:r>
    </w:p>
    <w:p>
      <w:pPr>
        <w:pStyle w:val="74"/>
        <w:spacing w:beforeLines="50" w:line="480" w:lineRule="exact"/>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表3.1-16                     污染物排放总量</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66"/>
        <w:gridCol w:w="1484"/>
        <w:gridCol w:w="1521"/>
        <w:gridCol w:w="1273"/>
        <w:gridCol w:w="2680"/>
        <w:gridCol w:w="1563"/>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66" w:type="dxa"/>
            <w:noWrap w:val="0"/>
            <w:vAlign w:val="center"/>
          </w:tcPr>
          <w:p>
            <w:pPr>
              <w:jc w:val="center"/>
              <w:rPr>
                <w:rFonts w:hint="default" w:ascii="Times New Roman" w:hAnsi="Times New Roman" w:eastAsia="宋体" w:cs="Times New Roman"/>
                <w:b w:val="0"/>
                <w:bCs/>
                <w:i w:val="0"/>
                <w:iCs w:val="0"/>
                <w:color w:val="auto"/>
                <w:kern w:val="0"/>
                <w:sz w:val="21"/>
                <w:szCs w:val="21"/>
              </w:rPr>
            </w:pPr>
            <w:r>
              <w:rPr>
                <w:rFonts w:hint="default" w:ascii="Times New Roman" w:hAnsi="Times New Roman" w:eastAsia="宋体" w:cs="Times New Roman"/>
                <w:b w:val="0"/>
                <w:bCs/>
                <w:i w:val="0"/>
                <w:iCs w:val="0"/>
                <w:color w:val="auto"/>
                <w:kern w:val="0"/>
                <w:sz w:val="21"/>
                <w:szCs w:val="21"/>
              </w:rPr>
              <w:t>类别</w:t>
            </w:r>
          </w:p>
        </w:tc>
        <w:tc>
          <w:tcPr>
            <w:tcW w:w="1484" w:type="dxa"/>
            <w:noWrap w:val="0"/>
            <w:vAlign w:val="center"/>
          </w:tcPr>
          <w:p>
            <w:pPr>
              <w:jc w:val="center"/>
              <w:rPr>
                <w:rFonts w:hint="default" w:ascii="Times New Roman" w:hAnsi="Times New Roman" w:eastAsia="宋体" w:cs="Times New Roman"/>
                <w:b w:val="0"/>
                <w:bCs/>
                <w:i w:val="0"/>
                <w:iCs w:val="0"/>
                <w:color w:val="auto"/>
                <w:kern w:val="0"/>
                <w:sz w:val="21"/>
                <w:szCs w:val="21"/>
              </w:rPr>
            </w:pPr>
            <w:r>
              <w:rPr>
                <w:rFonts w:hint="default" w:ascii="Times New Roman" w:hAnsi="Times New Roman" w:eastAsia="宋体" w:cs="Times New Roman"/>
                <w:b w:val="0"/>
                <w:bCs/>
                <w:i w:val="0"/>
                <w:iCs w:val="0"/>
                <w:color w:val="auto"/>
                <w:kern w:val="0"/>
                <w:sz w:val="21"/>
                <w:szCs w:val="21"/>
              </w:rPr>
              <w:t>名称</w:t>
            </w:r>
          </w:p>
        </w:tc>
        <w:tc>
          <w:tcPr>
            <w:tcW w:w="1521" w:type="dxa"/>
            <w:noWrap w:val="0"/>
            <w:vAlign w:val="center"/>
          </w:tcPr>
          <w:p>
            <w:pPr>
              <w:jc w:val="center"/>
              <w:rPr>
                <w:rFonts w:hint="default" w:ascii="Times New Roman" w:hAnsi="Times New Roman" w:eastAsia="宋体" w:cs="Times New Roman"/>
                <w:b w:val="0"/>
                <w:bCs/>
                <w:i w:val="0"/>
                <w:iCs w:val="0"/>
                <w:color w:val="auto"/>
                <w:kern w:val="0"/>
                <w:sz w:val="21"/>
                <w:szCs w:val="21"/>
                <w:lang w:eastAsia="zh-CN"/>
              </w:rPr>
            </w:pPr>
            <w:r>
              <w:rPr>
                <w:rFonts w:hint="default" w:ascii="Times New Roman" w:hAnsi="Times New Roman" w:eastAsia="宋体" w:cs="Times New Roman"/>
                <w:b w:val="0"/>
                <w:bCs/>
                <w:i w:val="0"/>
                <w:iCs w:val="0"/>
                <w:color w:val="auto"/>
                <w:kern w:val="0"/>
                <w:sz w:val="21"/>
                <w:szCs w:val="21"/>
                <w:lang w:eastAsia="zh-CN"/>
              </w:rPr>
              <w:t>污染源</w:t>
            </w:r>
          </w:p>
        </w:tc>
        <w:tc>
          <w:tcPr>
            <w:tcW w:w="1273" w:type="dxa"/>
            <w:noWrap w:val="0"/>
            <w:vAlign w:val="center"/>
          </w:tcPr>
          <w:p>
            <w:pPr>
              <w:jc w:val="center"/>
              <w:rPr>
                <w:rFonts w:hint="default" w:ascii="Times New Roman" w:hAnsi="Times New Roman" w:eastAsia="宋体" w:cs="Times New Roman"/>
                <w:b w:val="0"/>
                <w:bCs/>
                <w:i w:val="0"/>
                <w:iCs w:val="0"/>
                <w:color w:val="auto"/>
                <w:kern w:val="0"/>
                <w:sz w:val="21"/>
                <w:szCs w:val="21"/>
              </w:rPr>
            </w:pPr>
            <w:r>
              <w:rPr>
                <w:rFonts w:hint="default" w:ascii="Times New Roman" w:hAnsi="Times New Roman" w:eastAsia="宋体" w:cs="Times New Roman"/>
                <w:b w:val="0"/>
                <w:bCs/>
                <w:i w:val="0"/>
                <w:iCs w:val="0"/>
                <w:color w:val="auto"/>
                <w:kern w:val="0"/>
                <w:sz w:val="21"/>
                <w:szCs w:val="21"/>
              </w:rPr>
              <w:t>产生量</w:t>
            </w:r>
          </w:p>
          <w:p>
            <w:pPr>
              <w:jc w:val="center"/>
              <w:rPr>
                <w:rFonts w:hint="default" w:ascii="Times New Roman" w:hAnsi="Times New Roman" w:eastAsia="宋体" w:cs="Times New Roman"/>
                <w:b w:val="0"/>
                <w:bCs/>
                <w:i w:val="0"/>
                <w:iCs w:val="0"/>
                <w:color w:val="auto"/>
                <w:kern w:val="0"/>
                <w:sz w:val="21"/>
                <w:szCs w:val="21"/>
              </w:rPr>
            </w:pPr>
            <w:r>
              <w:rPr>
                <w:rFonts w:hint="default" w:ascii="Times New Roman" w:hAnsi="Times New Roman" w:eastAsia="宋体" w:cs="Times New Roman"/>
                <w:b w:val="0"/>
                <w:bCs/>
                <w:i w:val="0"/>
                <w:iCs w:val="0"/>
                <w:color w:val="auto"/>
                <w:kern w:val="0"/>
                <w:sz w:val="21"/>
                <w:szCs w:val="21"/>
              </w:rPr>
              <w:t>（t/a）</w:t>
            </w:r>
          </w:p>
        </w:tc>
        <w:tc>
          <w:tcPr>
            <w:tcW w:w="2680" w:type="dxa"/>
            <w:noWrap w:val="0"/>
            <w:vAlign w:val="center"/>
          </w:tcPr>
          <w:p>
            <w:pPr>
              <w:jc w:val="center"/>
              <w:rPr>
                <w:rFonts w:hint="default" w:ascii="Times New Roman" w:hAnsi="Times New Roman" w:eastAsia="宋体" w:cs="Times New Roman"/>
                <w:b w:val="0"/>
                <w:bCs/>
                <w:i w:val="0"/>
                <w:iCs w:val="0"/>
                <w:color w:val="auto"/>
                <w:kern w:val="0"/>
                <w:sz w:val="21"/>
                <w:szCs w:val="21"/>
              </w:rPr>
            </w:pPr>
            <w:r>
              <w:rPr>
                <w:rFonts w:hint="default" w:ascii="Times New Roman" w:hAnsi="Times New Roman" w:eastAsia="宋体" w:cs="Times New Roman"/>
                <w:b w:val="0"/>
                <w:bCs/>
                <w:i w:val="0"/>
                <w:iCs w:val="0"/>
                <w:color w:val="auto"/>
                <w:kern w:val="0"/>
                <w:sz w:val="21"/>
                <w:szCs w:val="21"/>
              </w:rPr>
              <w:t>拟采取的处理或处置方式</w:t>
            </w:r>
          </w:p>
        </w:tc>
        <w:tc>
          <w:tcPr>
            <w:tcW w:w="1563" w:type="dxa"/>
            <w:noWrap w:val="0"/>
            <w:vAlign w:val="center"/>
          </w:tcPr>
          <w:p>
            <w:pPr>
              <w:jc w:val="center"/>
              <w:rPr>
                <w:rFonts w:hint="default" w:ascii="Times New Roman" w:hAnsi="Times New Roman" w:eastAsia="宋体" w:cs="Times New Roman"/>
                <w:b w:val="0"/>
                <w:bCs/>
                <w:i w:val="0"/>
                <w:iCs w:val="0"/>
                <w:color w:val="auto"/>
                <w:kern w:val="0"/>
                <w:sz w:val="21"/>
                <w:szCs w:val="21"/>
              </w:rPr>
            </w:pPr>
            <w:r>
              <w:rPr>
                <w:rFonts w:hint="default" w:ascii="Times New Roman" w:hAnsi="Times New Roman" w:eastAsia="宋体" w:cs="Times New Roman"/>
                <w:b w:val="0"/>
                <w:bCs/>
                <w:i w:val="0"/>
                <w:iCs w:val="0"/>
                <w:color w:val="auto"/>
                <w:kern w:val="0"/>
                <w:sz w:val="21"/>
                <w:szCs w:val="21"/>
              </w:rPr>
              <w:t>排放量（t/a）</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66" w:type="dxa"/>
            <w:vMerge w:val="restart"/>
            <w:noWrap w:val="0"/>
            <w:vAlign w:val="center"/>
          </w:tcPr>
          <w:p>
            <w:pPr>
              <w:jc w:val="center"/>
              <w:rPr>
                <w:rFonts w:hint="default" w:ascii="Times New Roman" w:hAnsi="Times New Roman" w:eastAsia="宋体" w:cs="Times New Roman"/>
                <w:b w:val="0"/>
                <w:bCs/>
                <w:i w:val="0"/>
                <w:iCs w:val="0"/>
                <w:color w:val="auto"/>
                <w:kern w:val="0"/>
                <w:sz w:val="21"/>
                <w:szCs w:val="21"/>
              </w:rPr>
            </w:pPr>
            <w:r>
              <w:rPr>
                <w:rFonts w:hint="default" w:ascii="Times New Roman" w:hAnsi="Times New Roman" w:eastAsia="宋体" w:cs="Times New Roman"/>
                <w:b w:val="0"/>
                <w:bCs/>
                <w:i w:val="0"/>
                <w:iCs w:val="0"/>
                <w:color w:val="auto"/>
                <w:kern w:val="0"/>
                <w:sz w:val="21"/>
                <w:szCs w:val="21"/>
              </w:rPr>
              <w:t>废气</w:t>
            </w:r>
          </w:p>
        </w:tc>
        <w:tc>
          <w:tcPr>
            <w:tcW w:w="14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i w:val="0"/>
                <w:iCs w:val="0"/>
                <w:color w:val="auto"/>
                <w:kern w:val="0"/>
                <w:sz w:val="21"/>
                <w:szCs w:val="21"/>
                <w:lang w:eastAsia="zh-CN"/>
              </w:rPr>
            </w:pPr>
            <w:r>
              <w:rPr>
                <w:rFonts w:hint="default" w:ascii="Times New Roman" w:hAnsi="Times New Roman" w:eastAsia="宋体" w:cs="Times New Roman"/>
                <w:b w:val="0"/>
                <w:bCs/>
                <w:i w:val="0"/>
                <w:iCs w:val="0"/>
                <w:color w:val="auto"/>
                <w:kern w:val="0"/>
                <w:sz w:val="21"/>
                <w:szCs w:val="21"/>
                <w:lang w:val="en-US" w:eastAsia="zh-CN"/>
              </w:rPr>
              <w:t>颗粒物</w:t>
            </w:r>
          </w:p>
        </w:tc>
        <w:tc>
          <w:tcPr>
            <w:tcW w:w="152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i w:val="0"/>
                <w:iCs w:val="0"/>
                <w:color w:val="auto"/>
                <w:kern w:val="0"/>
                <w:sz w:val="21"/>
                <w:szCs w:val="21"/>
                <w:lang w:val="en-US" w:eastAsia="zh-CN"/>
              </w:rPr>
            </w:pPr>
            <w:r>
              <w:rPr>
                <w:rFonts w:hint="default" w:ascii="Times New Roman" w:hAnsi="Times New Roman" w:eastAsia="宋体" w:cs="Times New Roman"/>
                <w:b w:val="0"/>
                <w:bCs/>
                <w:i w:val="0"/>
                <w:iCs w:val="0"/>
                <w:color w:val="auto"/>
                <w:kern w:val="0"/>
                <w:sz w:val="21"/>
                <w:szCs w:val="21"/>
                <w:lang w:val="en-US" w:eastAsia="zh-CN"/>
              </w:rPr>
              <w:t>破碎车间</w:t>
            </w:r>
          </w:p>
        </w:tc>
        <w:tc>
          <w:tcPr>
            <w:tcW w:w="1273" w:type="dxa"/>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i w:val="0"/>
                <w:iCs w:val="0"/>
                <w:color w:val="auto"/>
                <w:sz w:val="21"/>
                <w:szCs w:val="21"/>
                <w:lang w:val="en-US"/>
              </w:rPr>
            </w:pPr>
            <w:r>
              <w:rPr>
                <w:rFonts w:hint="default" w:ascii="Times New Roman" w:hAnsi="Times New Roman" w:eastAsia="宋体" w:cs="Times New Roman"/>
                <w:b w:val="0"/>
                <w:bCs/>
                <w:i w:val="0"/>
                <w:iCs w:val="0"/>
                <w:color w:val="auto"/>
                <w:sz w:val="21"/>
                <w:szCs w:val="21"/>
                <w:lang w:val="en-US" w:eastAsia="zh-CN"/>
              </w:rPr>
              <w:t>240.73</w:t>
            </w:r>
          </w:p>
        </w:tc>
        <w:tc>
          <w:tcPr>
            <w:tcW w:w="2680" w:type="dxa"/>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布袋除尘器</w:t>
            </w:r>
          </w:p>
        </w:tc>
        <w:tc>
          <w:tcPr>
            <w:tcW w:w="1563" w:type="dxa"/>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2.38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66" w:type="dxa"/>
            <w:vMerge w:val="continue"/>
            <w:noWrap w:val="0"/>
            <w:vAlign w:val="center"/>
          </w:tcPr>
          <w:p>
            <w:pPr>
              <w:jc w:val="center"/>
              <w:rPr>
                <w:rFonts w:hint="default" w:ascii="Times New Roman" w:hAnsi="Times New Roman" w:eastAsia="宋体" w:cs="Times New Roman"/>
                <w:b w:val="0"/>
                <w:bCs/>
                <w:i w:val="0"/>
                <w:iCs w:val="0"/>
                <w:color w:val="auto"/>
                <w:kern w:val="0"/>
                <w:sz w:val="21"/>
                <w:szCs w:val="21"/>
              </w:rPr>
            </w:pPr>
          </w:p>
        </w:tc>
        <w:tc>
          <w:tcPr>
            <w:tcW w:w="1484" w:type="dxa"/>
            <w:noWrap w:val="0"/>
            <w:vAlign w:val="center"/>
          </w:tcPr>
          <w:p>
            <w:pPr>
              <w:jc w:val="center"/>
              <w:rPr>
                <w:rFonts w:hint="default" w:ascii="Times New Roman" w:hAnsi="Times New Roman" w:eastAsia="宋体" w:cs="Times New Roman"/>
                <w:b w:val="0"/>
                <w:bCs/>
                <w:i w:val="0"/>
                <w:iCs w:val="0"/>
                <w:color w:val="auto"/>
                <w:kern w:val="0"/>
                <w:sz w:val="21"/>
                <w:szCs w:val="21"/>
                <w:lang w:val="en-US" w:eastAsia="zh-CN"/>
              </w:rPr>
            </w:pPr>
            <w:r>
              <w:rPr>
                <w:rFonts w:hint="default" w:ascii="Times New Roman" w:hAnsi="Times New Roman" w:eastAsia="宋体" w:cs="Times New Roman"/>
                <w:b w:val="0"/>
                <w:bCs/>
                <w:i w:val="0"/>
                <w:iCs w:val="0"/>
                <w:color w:val="auto"/>
                <w:kern w:val="0"/>
                <w:sz w:val="21"/>
                <w:szCs w:val="21"/>
                <w:lang w:val="en-US" w:eastAsia="zh-CN"/>
              </w:rPr>
              <w:t>颗粒物</w:t>
            </w:r>
          </w:p>
        </w:tc>
        <w:tc>
          <w:tcPr>
            <w:tcW w:w="1521" w:type="dxa"/>
            <w:noWrap w:val="0"/>
            <w:vAlign w:val="center"/>
          </w:tcPr>
          <w:p>
            <w:pPr>
              <w:jc w:val="center"/>
              <w:rPr>
                <w:rFonts w:hint="default" w:ascii="Times New Roman" w:hAnsi="Times New Roman" w:eastAsia="宋体" w:cs="Times New Roman"/>
                <w:b w:val="0"/>
                <w:bCs/>
                <w:i w:val="0"/>
                <w:iCs w:val="0"/>
                <w:color w:val="auto"/>
                <w:kern w:val="0"/>
                <w:sz w:val="21"/>
                <w:szCs w:val="21"/>
                <w:lang w:val="en-US" w:eastAsia="zh-CN"/>
              </w:rPr>
            </w:pPr>
            <w:r>
              <w:rPr>
                <w:rFonts w:hint="default" w:ascii="Times New Roman" w:hAnsi="Times New Roman" w:eastAsia="宋体" w:cs="Times New Roman"/>
                <w:b w:val="0"/>
                <w:bCs/>
                <w:i w:val="0"/>
                <w:iCs w:val="0"/>
                <w:color w:val="auto"/>
                <w:kern w:val="0"/>
                <w:sz w:val="21"/>
                <w:szCs w:val="21"/>
                <w:lang w:val="en-US" w:eastAsia="zh-CN"/>
              </w:rPr>
              <w:t>卸料</w:t>
            </w:r>
          </w:p>
        </w:tc>
        <w:tc>
          <w:tcPr>
            <w:tcW w:w="1273" w:type="dxa"/>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10.4</w:t>
            </w:r>
          </w:p>
        </w:tc>
        <w:tc>
          <w:tcPr>
            <w:tcW w:w="2680" w:type="dxa"/>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厂房封闭，洒水逸尘</w:t>
            </w:r>
          </w:p>
        </w:tc>
        <w:tc>
          <w:tcPr>
            <w:tcW w:w="1563" w:type="dxa"/>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1.04</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66" w:type="dxa"/>
            <w:vMerge w:val="continue"/>
            <w:noWrap w:val="0"/>
            <w:vAlign w:val="center"/>
          </w:tcPr>
          <w:p>
            <w:pPr>
              <w:jc w:val="center"/>
              <w:rPr>
                <w:rFonts w:hint="default" w:ascii="Times New Roman" w:hAnsi="Times New Roman" w:eastAsia="宋体" w:cs="Times New Roman"/>
                <w:b w:val="0"/>
                <w:bCs/>
                <w:i w:val="0"/>
                <w:iCs w:val="0"/>
                <w:color w:val="auto"/>
                <w:kern w:val="0"/>
                <w:sz w:val="21"/>
                <w:szCs w:val="21"/>
              </w:rPr>
            </w:pPr>
          </w:p>
        </w:tc>
        <w:tc>
          <w:tcPr>
            <w:tcW w:w="1484" w:type="dxa"/>
            <w:noWrap w:val="0"/>
            <w:vAlign w:val="center"/>
          </w:tcPr>
          <w:p>
            <w:pPr>
              <w:jc w:val="center"/>
              <w:rPr>
                <w:rFonts w:hint="default" w:ascii="Times New Roman" w:hAnsi="Times New Roman" w:eastAsia="宋体" w:cs="Times New Roman"/>
                <w:b w:val="0"/>
                <w:bCs/>
                <w:i w:val="0"/>
                <w:iCs w:val="0"/>
                <w:color w:val="auto"/>
                <w:kern w:val="0"/>
                <w:sz w:val="21"/>
                <w:szCs w:val="21"/>
                <w:lang w:val="en-US" w:eastAsia="zh-CN"/>
              </w:rPr>
            </w:pPr>
            <w:r>
              <w:rPr>
                <w:rFonts w:hint="default" w:ascii="Times New Roman" w:hAnsi="Times New Roman" w:eastAsia="宋体" w:cs="Times New Roman"/>
                <w:b w:val="0"/>
                <w:bCs/>
                <w:i w:val="0"/>
                <w:iCs w:val="0"/>
                <w:color w:val="auto"/>
                <w:kern w:val="0"/>
                <w:sz w:val="21"/>
                <w:szCs w:val="21"/>
                <w:lang w:val="en-US" w:eastAsia="zh-CN"/>
              </w:rPr>
              <w:t>颗粒物</w:t>
            </w:r>
          </w:p>
        </w:tc>
        <w:tc>
          <w:tcPr>
            <w:tcW w:w="1521" w:type="dxa"/>
            <w:noWrap w:val="0"/>
            <w:vAlign w:val="center"/>
          </w:tcPr>
          <w:p>
            <w:pPr>
              <w:jc w:val="center"/>
              <w:rPr>
                <w:rFonts w:hint="default" w:ascii="Times New Roman" w:hAnsi="Times New Roman" w:eastAsia="宋体" w:cs="Times New Roman"/>
                <w:b w:val="0"/>
                <w:bCs/>
                <w:i w:val="0"/>
                <w:iCs w:val="0"/>
                <w:color w:val="auto"/>
                <w:kern w:val="0"/>
                <w:sz w:val="21"/>
                <w:szCs w:val="21"/>
                <w:lang w:val="en-US" w:eastAsia="zh-CN"/>
              </w:rPr>
            </w:pPr>
            <w:r>
              <w:rPr>
                <w:rFonts w:hint="default" w:ascii="Times New Roman" w:hAnsi="Times New Roman" w:eastAsia="宋体" w:cs="Times New Roman"/>
                <w:b w:val="0"/>
                <w:bCs/>
                <w:i w:val="0"/>
                <w:iCs w:val="0"/>
                <w:color w:val="auto"/>
                <w:kern w:val="0"/>
                <w:sz w:val="21"/>
                <w:szCs w:val="21"/>
                <w:lang w:val="en-US" w:eastAsia="zh-CN"/>
              </w:rPr>
              <w:t>堆存</w:t>
            </w:r>
          </w:p>
        </w:tc>
        <w:tc>
          <w:tcPr>
            <w:tcW w:w="1273" w:type="dxa"/>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11.2</w:t>
            </w:r>
          </w:p>
        </w:tc>
        <w:tc>
          <w:tcPr>
            <w:tcW w:w="2680" w:type="dxa"/>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厂房封闭，洒水逸尘</w:t>
            </w:r>
          </w:p>
        </w:tc>
        <w:tc>
          <w:tcPr>
            <w:tcW w:w="1563" w:type="dxa"/>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1.12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66" w:type="dxa"/>
            <w:vMerge w:val="continue"/>
            <w:noWrap w:val="0"/>
            <w:vAlign w:val="center"/>
          </w:tcPr>
          <w:p>
            <w:pPr>
              <w:jc w:val="center"/>
              <w:rPr>
                <w:rFonts w:hint="default" w:ascii="Times New Roman" w:hAnsi="Times New Roman" w:eastAsia="宋体" w:cs="Times New Roman"/>
                <w:b w:val="0"/>
                <w:bCs/>
                <w:i w:val="0"/>
                <w:iCs w:val="0"/>
                <w:color w:val="auto"/>
                <w:kern w:val="0"/>
                <w:sz w:val="21"/>
                <w:szCs w:val="21"/>
              </w:rPr>
            </w:pPr>
          </w:p>
        </w:tc>
        <w:tc>
          <w:tcPr>
            <w:tcW w:w="1484" w:type="dxa"/>
            <w:noWrap w:val="0"/>
            <w:vAlign w:val="center"/>
          </w:tcPr>
          <w:p>
            <w:pPr>
              <w:jc w:val="center"/>
              <w:rPr>
                <w:rFonts w:hint="default" w:ascii="Times New Roman" w:hAnsi="Times New Roman" w:eastAsia="宋体" w:cs="Times New Roman"/>
                <w:b w:val="0"/>
                <w:bCs/>
                <w:i w:val="0"/>
                <w:iCs w:val="0"/>
                <w:color w:val="auto"/>
                <w:kern w:val="0"/>
                <w:sz w:val="21"/>
                <w:szCs w:val="21"/>
                <w:lang w:val="en-US" w:eastAsia="zh-CN"/>
              </w:rPr>
            </w:pPr>
            <w:r>
              <w:rPr>
                <w:rFonts w:hint="default" w:ascii="Times New Roman" w:hAnsi="Times New Roman" w:eastAsia="宋体" w:cs="Times New Roman"/>
                <w:b w:val="0"/>
                <w:bCs/>
                <w:i w:val="0"/>
                <w:iCs w:val="0"/>
                <w:color w:val="auto"/>
                <w:kern w:val="0"/>
                <w:sz w:val="21"/>
                <w:szCs w:val="21"/>
                <w:lang w:val="en-US" w:eastAsia="zh-CN"/>
              </w:rPr>
              <w:t>颗粒物</w:t>
            </w:r>
          </w:p>
        </w:tc>
        <w:tc>
          <w:tcPr>
            <w:tcW w:w="1521" w:type="dxa"/>
            <w:noWrap w:val="0"/>
            <w:vAlign w:val="center"/>
          </w:tcPr>
          <w:p>
            <w:pPr>
              <w:jc w:val="center"/>
              <w:rPr>
                <w:rFonts w:hint="default" w:ascii="Times New Roman" w:hAnsi="Times New Roman" w:eastAsia="宋体" w:cs="Times New Roman"/>
                <w:b w:val="0"/>
                <w:bCs/>
                <w:i w:val="0"/>
                <w:iCs w:val="0"/>
                <w:color w:val="auto"/>
                <w:kern w:val="0"/>
                <w:sz w:val="21"/>
                <w:szCs w:val="21"/>
                <w:lang w:val="en-US" w:eastAsia="zh-CN"/>
              </w:rPr>
            </w:pPr>
            <w:r>
              <w:rPr>
                <w:rFonts w:hint="default" w:ascii="Times New Roman" w:hAnsi="Times New Roman" w:eastAsia="宋体" w:cs="Times New Roman"/>
                <w:b w:val="0"/>
                <w:bCs/>
                <w:i w:val="0"/>
                <w:iCs w:val="0"/>
                <w:color w:val="auto"/>
                <w:kern w:val="0"/>
                <w:sz w:val="21"/>
                <w:szCs w:val="21"/>
                <w:lang w:val="en-US" w:eastAsia="zh-CN"/>
              </w:rPr>
              <w:t>车间未收集</w:t>
            </w:r>
          </w:p>
        </w:tc>
        <w:tc>
          <w:tcPr>
            <w:tcW w:w="1273" w:type="dxa"/>
            <w:noWrap w:val="0"/>
            <w:vAlign w:val="center"/>
          </w:tcPr>
          <w:p>
            <w:pPr>
              <w:pStyle w:val="61"/>
              <w:jc w:val="center"/>
              <w:rPr>
                <w:rFonts w:hint="default" w:ascii="Times New Roman" w:hAnsi="Times New Roman" w:eastAsia="宋体" w:cs="Times New Roman"/>
                <w:b w:val="0"/>
                <w:bCs/>
                <w:i w:val="0"/>
                <w:iCs w:val="0"/>
                <w:color w:val="auto"/>
                <w:sz w:val="21"/>
                <w:szCs w:val="21"/>
                <w:lang w:val="en-US" w:eastAsia="zh-CN"/>
              </w:rPr>
            </w:pPr>
            <w:r>
              <w:rPr>
                <w:rFonts w:hint="default" w:ascii="Times New Roman" w:hAnsi="Times New Roman" w:eastAsia="宋体" w:cs="Times New Roman"/>
                <w:b w:val="0"/>
                <w:bCs/>
                <w:i w:val="0"/>
                <w:iCs w:val="0"/>
                <w:color w:val="auto"/>
                <w:sz w:val="21"/>
                <w:szCs w:val="21"/>
                <w:lang w:val="en-US" w:eastAsia="zh-CN"/>
              </w:rPr>
              <w:t>2.42</w:t>
            </w:r>
          </w:p>
        </w:tc>
        <w:tc>
          <w:tcPr>
            <w:tcW w:w="2680" w:type="dxa"/>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厂房封闭，洒水逸尘</w:t>
            </w:r>
          </w:p>
        </w:tc>
        <w:tc>
          <w:tcPr>
            <w:tcW w:w="1563" w:type="dxa"/>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0.242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66" w:type="dxa"/>
            <w:vMerge w:val="restart"/>
            <w:noWrap w:val="0"/>
            <w:vAlign w:val="center"/>
          </w:tcPr>
          <w:p>
            <w:pPr>
              <w:jc w:val="center"/>
              <w:rPr>
                <w:rFonts w:hint="default" w:ascii="Times New Roman" w:hAnsi="Times New Roman" w:eastAsia="宋体" w:cs="Times New Roman"/>
                <w:b w:val="0"/>
                <w:bCs/>
                <w:i w:val="0"/>
                <w:iCs w:val="0"/>
                <w:color w:val="auto"/>
                <w:kern w:val="0"/>
                <w:sz w:val="21"/>
                <w:szCs w:val="21"/>
              </w:rPr>
            </w:pPr>
            <w:r>
              <w:rPr>
                <w:rFonts w:hint="default" w:ascii="Times New Roman" w:hAnsi="Times New Roman" w:eastAsia="宋体" w:cs="Times New Roman"/>
                <w:b w:val="0"/>
                <w:bCs/>
                <w:i w:val="0"/>
                <w:iCs w:val="0"/>
                <w:color w:val="auto"/>
                <w:kern w:val="0"/>
                <w:sz w:val="21"/>
                <w:szCs w:val="21"/>
              </w:rPr>
              <w:t>废水</w:t>
            </w:r>
          </w:p>
        </w:tc>
        <w:tc>
          <w:tcPr>
            <w:tcW w:w="1484" w:type="dxa"/>
            <w:noWrap w:val="0"/>
            <w:vAlign w:val="center"/>
          </w:tcPr>
          <w:p>
            <w:pPr>
              <w:jc w:val="center"/>
              <w:rPr>
                <w:rFonts w:hint="default" w:ascii="Times New Roman" w:hAnsi="Times New Roman" w:eastAsia="宋体" w:cs="Times New Roman"/>
                <w:b w:val="0"/>
                <w:bCs/>
                <w:i w:val="0"/>
                <w:iCs w:val="0"/>
                <w:color w:val="auto"/>
                <w:kern w:val="0"/>
                <w:sz w:val="21"/>
                <w:szCs w:val="21"/>
                <w:lang w:val="en-US" w:eastAsia="zh-CN"/>
              </w:rPr>
            </w:pPr>
            <w:r>
              <w:rPr>
                <w:rFonts w:hint="default" w:ascii="Times New Roman" w:hAnsi="Times New Roman" w:eastAsia="宋体" w:cs="Times New Roman"/>
                <w:b w:val="0"/>
                <w:bCs/>
                <w:i w:val="0"/>
                <w:iCs w:val="0"/>
                <w:color w:val="auto"/>
                <w:kern w:val="0"/>
                <w:sz w:val="21"/>
                <w:szCs w:val="21"/>
                <w:lang w:val="en-US" w:eastAsia="zh-CN"/>
              </w:rPr>
              <w:t>选矿废水</w:t>
            </w:r>
          </w:p>
        </w:tc>
        <w:tc>
          <w:tcPr>
            <w:tcW w:w="1521" w:type="dxa"/>
            <w:noWrap w:val="0"/>
            <w:vAlign w:val="center"/>
          </w:tcPr>
          <w:p>
            <w:pPr>
              <w:jc w:val="center"/>
              <w:rPr>
                <w:rFonts w:hint="default" w:ascii="Times New Roman" w:hAnsi="Times New Roman" w:eastAsia="宋体" w:cs="Times New Roman"/>
                <w:b w:val="0"/>
                <w:bCs/>
                <w:i w:val="0"/>
                <w:iCs w:val="0"/>
                <w:color w:val="auto"/>
                <w:kern w:val="0"/>
                <w:sz w:val="21"/>
                <w:szCs w:val="21"/>
                <w:lang w:val="en-US" w:eastAsia="zh-CN"/>
              </w:rPr>
            </w:pPr>
            <w:r>
              <w:rPr>
                <w:rFonts w:hint="default" w:ascii="Times New Roman" w:hAnsi="Times New Roman" w:eastAsia="宋体" w:cs="Times New Roman"/>
                <w:b w:val="0"/>
                <w:bCs/>
                <w:i w:val="0"/>
                <w:iCs w:val="0"/>
                <w:color w:val="auto"/>
                <w:kern w:val="0"/>
                <w:sz w:val="21"/>
                <w:szCs w:val="21"/>
                <w:lang w:val="en-US" w:eastAsia="zh-CN"/>
              </w:rPr>
              <w:t>球磨车间</w:t>
            </w:r>
          </w:p>
        </w:tc>
        <w:tc>
          <w:tcPr>
            <w:tcW w:w="1273" w:type="dxa"/>
            <w:noWrap w:val="0"/>
            <w:vAlign w:val="center"/>
          </w:tcPr>
          <w:p>
            <w:pPr>
              <w:pStyle w:val="61"/>
              <w:jc w:val="center"/>
              <w:rPr>
                <w:rFonts w:hint="default" w:ascii="Times New Roman" w:hAnsi="Times New Roman" w:eastAsia="宋体" w:cs="Times New Roman"/>
                <w:b w:val="0"/>
                <w:bCs/>
                <w:i w:val="0"/>
                <w:iCs w:val="0"/>
                <w:color w:val="auto"/>
                <w:sz w:val="21"/>
                <w:szCs w:val="21"/>
                <w:highlight w:val="none"/>
                <w:lang w:val="en-US" w:eastAsia="zh-CN"/>
              </w:rPr>
            </w:pPr>
            <w:r>
              <w:rPr>
                <w:rFonts w:hint="default" w:ascii="Times New Roman" w:hAnsi="Times New Roman" w:eastAsia="宋体" w:cs="Times New Roman"/>
                <w:b w:val="0"/>
                <w:bCs/>
                <w:i w:val="0"/>
                <w:iCs w:val="0"/>
                <w:color w:val="auto"/>
                <w:sz w:val="21"/>
                <w:szCs w:val="21"/>
                <w:highlight w:val="none"/>
                <w:lang w:val="en-US" w:eastAsia="zh-CN"/>
              </w:rPr>
              <w:t>145485</w:t>
            </w:r>
          </w:p>
        </w:tc>
        <w:tc>
          <w:tcPr>
            <w:tcW w:w="2680" w:type="dxa"/>
            <w:noWrap w:val="0"/>
            <w:vAlign w:val="center"/>
          </w:tcPr>
          <w:p>
            <w:pPr>
              <w:jc w:val="center"/>
              <w:rPr>
                <w:rFonts w:hint="default" w:ascii="Times New Roman" w:hAnsi="Times New Roman" w:eastAsia="宋体" w:cs="Times New Roman"/>
                <w:b w:val="0"/>
                <w:bCs/>
                <w:i w:val="0"/>
                <w:iCs w:val="0"/>
                <w:color w:val="auto"/>
                <w:kern w:val="0"/>
                <w:sz w:val="21"/>
                <w:szCs w:val="21"/>
                <w:highlight w:val="none"/>
                <w:lang w:val="en-US" w:eastAsia="zh-CN"/>
              </w:rPr>
            </w:pPr>
            <w:r>
              <w:rPr>
                <w:rFonts w:hint="default" w:ascii="Times New Roman" w:hAnsi="Times New Roman" w:eastAsia="宋体" w:cs="Times New Roman"/>
                <w:b w:val="0"/>
                <w:bCs/>
                <w:i w:val="0"/>
                <w:iCs w:val="0"/>
                <w:color w:val="auto"/>
                <w:kern w:val="0"/>
                <w:sz w:val="21"/>
                <w:szCs w:val="21"/>
                <w:highlight w:val="none"/>
                <w:lang w:val="en-US" w:eastAsia="zh-CN"/>
              </w:rPr>
              <w:t>回用于生产，不外排</w:t>
            </w:r>
          </w:p>
        </w:tc>
        <w:tc>
          <w:tcPr>
            <w:tcW w:w="1563" w:type="dxa"/>
            <w:noWrap w:val="0"/>
            <w:vAlign w:val="center"/>
          </w:tcPr>
          <w:p>
            <w:pPr>
              <w:jc w:val="center"/>
              <w:rPr>
                <w:rFonts w:hint="default" w:ascii="Times New Roman" w:hAnsi="Times New Roman" w:eastAsia="宋体" w:cs="Times New Roman"/>
                <w:b w:val="0"/>
                <w:bCs/>
                <w:i w:val="0"/>
                <w:iCs w:val="0"/>
                <w:color w:val="auto"/>
                <w:sz w:val="21"/>
                <w:szCs w:val="21"/>
                <w:lang w:val="en-US" w:eastAsia="zh-CN"/>
              </w:rPr>
            </w:pPr>
            <w:r>
              <w:rPr>
                <w:rFonts w:hint="default" w:ascii="Times New Roman" w:hAnsi="Times New Roman" w:eastAsia="宋体" w:cs="Times New Roman"/>
                <w:b w:val="0"/>
                <w:bCs/>
                <w:i w:val="0"/>
                <w:iCs w:val="0"/>
                <w:color w:val="auto"/>
                <w:sz w:val="21"/>
                <w:szCs w:val="21"/>
                <w:lang w:val="en-US" w:eastAsia="zh-CN"/>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66" w:type="dxa"/>
            <w:vMerge w:val="continue"/>
            <w:noWrap w:val="0"/>
            <w:vAlign w:val="center"/>
          </w:tcPr>
          <w:p>
            <w:pPr>
              <w:jc w:val="center"/>
              <w:rPr>
                <w:rFonts w:hint="default" w:ascii="Times New Roman" w:hAnsi="Times New Roman" w:eastAsia="宋体" w:cs="Times New Roman"/>
                <w:b w:val="0"/>
                <w:bCs/>
                <w:i w:val="0"/>
                <w:iCs w:val="0"/>
                <w:color w:val="auto"/>
                <w:kern w:val="0"/>
                <w:sz w:val="21"/>
                <w:szCs w:val="21"/>
              </w:rPr>
            </w:pPr>
          </w:p>
        </w:tc>
        <w:tc>
          <w:tcPr>
            <w:tcW w:w="1484" w:type="dxa"/>
            <w:noWrap w:val="0"/>
            <w:vAlign w:val="center"/>
          </w:tcPr>
          <w:p>
            <w:pPr>
              <w:jc w:val="center"/>
              <w:rPr>
                <w:rFonts w:hint="default" w:ascii="Times New Roman" w:hAnsi="Times New Roman" w:eastAsia="宋体" w:cs="Times New Roman"/>
                <w:b w:val="0"/>
                <w:bCs/>
                <w:i w:val="0"/>
                <w:iCs w:val="0"/>
                <w:color w:val="auto"/>
                <w:kern w:val="0"/>
                <w:sz w:val="21"/>
                <w:szCs w:val="21"/>
              </w:rPr>
            </w:pPr>
            <w:r>
              <w:rPr>
                <w:rFonts w:hint="default" w:ascii="Times New Roman" w:hAnsi="Times New Roman" w:eastAsia="宋体" w:cs="Times New Roman"/>
                <w:b w:val="0"/>
                <w:bCs/>
                <w:i w:val="0"/>
                <w:iCs w:val="0"/>
                <w:color w:val="auto"/>
                <w:kern w:val="0"/>
                <w:sz w:val="21"/>
                <w:szCs w:val="21"/>
              </w:rPr>
              <w:t>生活污水</w:t>
            </w:r>
          </w:p>
        </w:tc>
        <w:tc>
          <w:tcPr>
            <w:tcW w:w="1521" w:type="dxa"/>
            <w:noWrap w:val="0"/>
            <w:vAlign w:val="center"/>
          </w:tcPr>
          <w:p>
            <w:pPr>
              <w:jc w:val="center"/>
              <w:rPr>
                <w:rFonts w:hint="default" w:ascii="Times New Roman" w:hAnsi="Times New Roman" w:eastAsia="宋体" w:cs="Times New Roman"/>
                <w:b w:val="0"/>
                <w:bCs/>
                <w:i w:val="0"/>
                <w:iCs w:val="0"/>
                <w:color w:val="auto"/>
                <w:kern w:val="0"/>
                <w:sz w:val="21"/>
                <w:szCs w:val="21"/>
              </w:rPr>
            </w:pPr>
            <w:r>
              <w:rPr>
                <w:rFonts w:hint="default" w:ascii="Times New Roman" w:hAnsi="Times New Roman" w:eastAsia="宋体" w:cs="Times New Roman"/>
                <w:b w:val="0"/>
                <w:bCs/>
                <w:i w:val="0"/>
                <w:iCs w:val="0"/>
                <w:color w:val="auto"/>
                <w:kern w:val="0"/>
                <w:sz w:val="21"/>
                <w:szCs w:val="21"/>
              </w:rPr>
              <w:t>职工生活</w:t>
            </w:r>
          </w:p>
        </w:tc>
        <w:tc>
          <w:tcPr>
            <w:tcW w:w="1273" w:type="dxa"/>
            <w:noWrap w:val="0"/>
            <w:vAlign w:val="center"/>
          </w:tcPr>
          <w:p>
            <w:pPr>
              <w:pStyle w:val="61"/>
              <w:jc w:val="center"/>
              <w:rPr>
                <w:rFonts w:hint="default" w:ascii="Times New Roman" w:hAnsi="Times New Roman" w:eastAsia="宋体" w:cs="Times New Roman"/>
                <w:b w:val="0"/>
                <w:bCs/>
                <w:i w:val="0"/>
                <w:iCs w:val="0"/>
                <w:color w:val="auto"/>
                <w:sz w:val="21"/>
                <w:szCs w:val="21"/>
                <w:lang w:val="en-US" w:eastAsia="zh-CN"/>
              </w:rPr>
            </w:pPr>
            <w:r>
              <w:rPr>
                <w:rFonts w:hint="default" w:ascii="Times New Roman" w:hAnsi="Times New Roman" w:eastAsia="宋体" w:cs="Times New Roman"/>
                <w:b w:val="0"/>
                <w:bCs/>
                <w:i w:val="0"/>
                <w:iCs w:val="0"/>
                <w:color w:val="auto"/>
                <w:sz w:val="21"/>
                <w:szCs w:val="21"/>
                <w:lang w:val="en-US" w:eastAsia="zh-CN"/>
              </w:rPr>
              <w:t>144</w:t>
            </w:r>
          </w:p>
        </w:tc>
        <w:tc>
          <w:tcPr>
            <w:tcW w:w="2680" w:type="dxa"/>
            <w:noWrap w:val="0"/>
            <w:vAlign w:val="center"/>
          </w:tcPr>
          <w:p>
            <w:pPr>
              <w:jc w:val="center"/>
              <w:rPr>
                <w:rFonts w:hint="default" w:ascii="Times New Roman" w:hAnsi="Times New Roman" w:eastAsia="宋体" w:cs="Times New Roman"/>
                <w:b w:val="0"/>
                <w:bCs/>
                <w:i w:val="0"/>
                <w:iCs w:val="0"/>
                <w:color w:val="auto"/>
                <w:kern w:val="0"/>
                <w:sz w:val="21"/>
                <w:szCs w:val="21"/>
                <w:lang w:eastAsia="zh-CN"/>
              </w:rPr>
            </w:pPr>
            <w:r>
              <w:rPr>
                <w:rFonts w:hint="default" w:ascii="Times New Roman" w:hAnsi="Times New Roman" w:eastAsia="宋体" w:cs="Times New Roman"/>
                <w:b w:val="0"/>
                <w:bCs/>
                <w:i w:val="0"/>
                <w:iCs w:val="0"/>
                <w:color w:val="auto"/>
                <w:kern w:val="0"/>
                <w:sz w:val="21"/>
                <w:szCs w:val="21"/>
                <w:lang w:eastAsia="zh-CN"/>
              </w:rPr>
              <w:t>排入旱厕，定期清掏，用于农肥</w:t>
            </w:r>
          </w:p>
        </w:tc>
        <w:tc>
          <w:tcPr>
            <w:tcW w:w="1563" w:type="dxa"/>
            <w:noWrap w:val="0"/>
            <w:vAlign w:val="center"/>
          </w:tcPr>
          <w:p>
            <w:pPr>
              <w:jc w:val="center"/>
              <w:rPr>
                <w:rFonts w:hint="default" w:ascii="Times New Roman" w:hAnsi="Times New Roman" w:eastAsia="宋体" w:cs="Times New Roman"/>
                <w:b w:val="0"/>
                <w:bCs/>
                <w:i w:val="0"/>
                <w:iCs w:val="0"/>
                <w:color w:val="auto"/>
                <w:kern w:val="0"/>
                <w:sz w:val="21"/>
                <w:szCs w:val="21"/>
                <w:lang w:val="en-US" w:eastAsia="zh-CN"/>
              </w:rPr>
            </w:pPr>
            <w:r>
              <w:rPr>
                <w:rFonts w:hint="default" w:ascii="Times New Roman" w:hAnsi="Times New Roman" w:eastAsia="宋体" w:cs="Times New Roman"/>
                <w:b w:val="0"/>
                <w:bCs/>
                <w:i w:val="0"/>
                <w:iCs w:val="0"/>
                <w:color w:val="auto"/>
                <w:sz w:val="21"/>
                <w:szCs w:val="21"/>
                <w:lang w:val="en-US" w:eastAsia="zh-CN"/>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66" w:type="dxa"/>
            <w:vMerge w:val="restart"/>
            <w:noWrap w:val="0"/>
            <w:vAlign w:val="center"/>
          </w:tcPr>
          <w:p>
            <w:pPr>
              <w:jc w:val="center"/>
              <w:rPr>
                <w:rFonts w:hint="default" w:ascii="Times New Roman" w:hAnsi="Times New Roman" w:eastAsia="宋体" w:cs="Times New Roman"/>
                <w:b w:val="0"/>
                <w:bCs/>
                <w:i w:val="0"/>
                <w:iCs w:val="0"/>
                <w:color w:val="auto"/>
                <w:kern w:val="0"/>
                <w:sz w:val="21"/>
                <w:szCs w:val="21"/>
              </w:rPr>
            </w:pPr>
            <w:r>
              <w:rPr>
                <w:rFonts w:hint="default" w:ascii="Times New Roman" w:hAnsi="Times New Roman" w:eastAsia="宋体" w:cs="Times New Roman"/>
                <w:b w:val="0"/>
                <w:bCs/>
                <w:i w:val="0"/>
                <w:iCs w:val="0"/>
                <w:color w:val="auto"/>
                <w:kern w:val="0"/>
                <w:sz w:val="21"/>
                <w:szCs w:val="21"/>
              </w:rPr>
              <w:t>固废</w:t>
            </w:r>
          </w:p>
        </w:tc>
        <w:tc>
          <w:tcPr>
            <w:tcW w:w="14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i w:val="0"/>
                <w:iCs w:val="0"/>
                <w:color w:val="auto"/>
                <w:sz w:val="21"/>
                <w:szCs w:val="21"/>
              </w:rPr>
            </w:pPr>
            <w:r>
              <w:rPr>
                <w:rFonts w:hint="default" w:ascii="Times New Roman" w:hAnsi="Times New Roman" w:eastAsia="宋体" w:cs="Times New Roman"/>
                <w:b w:val="0"/>
                <w:bCs/>
                <w:i w:val="0"/>
                <w:iCs w:val="0"/>
                <w:color w:val="auto"/>
                <w:sz w:val="21"/>
                <w:szCs w:val="21"/>
              </w:rPr>
              <w:t>除尘灰</w:t>
            </w:r>
          </w:p>
        </w:tc>
        <w:tc>
          <w:tcPr>
            <w:tcW w:w="152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i w:val="0"/>
                <w:iCs w:val="0"/>
                <w:color w:val="auto"/>
                <w:kern w:val="0"/>
                <w:sz w:val="21"/>
                <w:szCs w:val="21"/>
              </w:rPr>
            </w:pPr>
            <w:r>
              <w:rPr>
                <w:rFonts w:hint="default" w:ascii="Times New Roman" w:hAnsi="Times New Roman" w:eastAsia="宋体" w:cs="Times New Roman"/>
                <w:b w:val="0"/>
                <w:bCs/>
                <w:i w:val="0"/>
                <w:iCs w:val="0"/>
                <w:color w:val="auto"/>
                <w:sz w:val="21"/>
                <w:szCs w:val="21"/>
              </w:rPr>
              <w:t>除尘器</w:t>
            </w:r>
          </w:p>
        </w:tc>
        <w:tc>
          <w:tcPr>
            <w:tcW w:w="1273"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235.93</w:t>
            </w:r>
          </w:p>
        </w:tc>
        <w:tc>
          <w:tcPr>
            <w:tcW w:w="268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color w:val="auto"/>
              </w:rPr>
              <w:t>进入选矿工艺，不外排</w:t>
            </w:r>
          </w:p>
        </w:tc>
        <w:tc>
          <w:tcPr>
            <w:tcW w:w="1563" w:type="dxa"/>
            <w:noWrap w:val="0"/>
            <w:vAlign w:val="center"/>
          </w:tcPr>
          <w:p>
            <w:pPr>
              <w:jc w:val="center"/>
              <w:rPr>
                <w:rFonts w:hint="default" w:ascii="Times New Roman" w:hAnsi="Times New Roman" w:eastAsia="宋体" w:cs="Times New Roman"/>
                <w:b w:val="0"/>
                <w:bCs/>
                <w:i w:val="0"/>
                <w:iCs w:val="0"/>
                <w:color w:val="auto"/>
                <w:kern w:val="0"/>
                <w:sz w:val="21"/>
                <w:szCs w:val="21"/>
              </w:rPr>
            </w:pPr>
            <w:r>
              <w:rPr>
                <w:rFonts w:hint="default" w:ascii="Times New Roman" w:hAnsi="Times New Roman" w:eastAsia="宋体" w:cs="Times New Roman"/>
                <w:b w:val="0"/>
                <w:bCs/>
                <w:i w:val="0"/>
                <w:iCs w:val="0"/>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66" w:type="dxa"/>
            <w:vMerge w:val="continue"/>
            <w:noWrap w:val="0"/>
            <w:vAlign w:val="center"/>
          </w:tcPr>
          <w:p>
            <w:pPr>
              <w:jc w:val="center"/>
              <w:rPr>
                <w:rFonts w:hint="default" w:ascii="Times New Roman" w:hAnsi="Times New Roman" w:eastAsia="宋体" w:cs="Times New Roman"/>
                <w:b w:val="0"/>
                <w:bCs/>
                <w:i w:val="0"/>
                <w:iCs w:val="0"/>
                <w:color w:val="auto"/>
                <w:kern w:val="0"/>
                <w:sz w:val="21"/>
                <w:szCs w:val="21"/>
              </w:rPr>
            </w:pPr>
          </w:p>
        </w:tc>
        <w:tc>
          <w:tcPr>
            <w:tcW w:w="14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i w:val="0"/>
                <w:iCs w:val="0"/>
                <w:color w:val="auto"/>
                <w:kern w:val="0"/>
                <w:sz w:val="21"/>
                <w:szCs w:val="21"/>
              </w:rPr>
            </w:pPr>
            <w:r>
              <w:rPr>
                <w:rFonts w:hint="default" w:ascii="Times New Roman" w:hAnsi="Times New Roman" w:eastAsia="宋体" w:cs="Times New Roman"/>
                <w:b w:val="0"/>
                <w:bCs/>
                <w:i w:val="0"/>
                <w:iCs w:val="0"/>
                <w:color w:val="auto"/>
                <w:kern w:val="0"/>
                <w:sz w:val="21"/>
                <w:szCs w:val="21"/>
              </w:rPr>
              <w:t>生活垃圾</w:t>
            </w:r>
          </w:p>
        </w:tc>
        <w:tc>
          <w:tcPr>
            <w:tcW w:w="152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i w:val="0"/>
                <w:iCs w:val="0"/>
                <w:color w:val="auto"/>
                <w:kern w:val="0"/>
                <w:sz w:val="21"/>
                <w:szCs w:val="21"/>
              </w:rPr>
            </w:pPr>
            <w:r>
              <w:rPr>
                <w:rFonts w:hint="default" w:ascii="Times New Roman" w:hAnsi="Times New Roman" w:eastAsia="宋体" w:cs="Times New Roman"/>
                <w:b w:val="0"/>
                <w:bCs/>
                <w:i w:val="0"/>
                <w:iCs w:val="0"/>
                <w:color w:val="auto"/>
                <w:kern w:val="0"/>
                <w:sz w:val="21"/>
                <w:szCs w:val="21"/>
              </w:rPr>
              <w:t>职工生活</w:t>
            </w:r>
          </w:p>
        </w:tc>
        <w:tc>
          <w:tcPr>
            <w:tcW w:w="1273"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4.5</w:t>
            </w:r>
          </w:p>
        </w:tc>
        <w:tc>
          <w:tcPr>
            <w:tcW w:w="268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rPr>
              <w:t>暂存于垃圾桶内，</w:t>
            </w:r>
            <w:r>
              <w:rPr>
                <w:rFonts w:hint="default" w:ascii="Times New Roman" w:hAnsi="Times New Roman" w:eastAsia="宋体" w:cs="Times New Roman"/>
                <w:b w:val="0"/>
                <w:bCs/>
                <w:color w:val="auto"/>
                <w:sz w:val="21"/>
                <w:szCs w:val="21"/>
              </w:rPr>
              <w:t>定期送环卫部门指定地点</w:t>
            </w:r>
          </w:p>
        </w:tc>
        <w:tc>
          <w:tcPr>
            <w:tcW w:w="1563" w:type="dxa"/>
            <w:noWrap w:val="0"/>
            <w:vAlign w:val="center"/>
          </w:tcPr>
          <w:p>
            <w:pPr>
              <w:jc w:val="center"/>
              <w:rPr>
                <w:rFonts w:hint="default" w:ascii="Times New Roman" w:hAnsi="Times New Roman" w:eastAsia="宋体" w:cs="Times New Roman"/>
                <w:b w:val="0"/>
                <w:bCs/>
                <w:i w:val="0"/>
                <w:iCs w:val="0"/>
                <w:color w:val="auto"/>
                <w:sz w:val="21"/>
                <w:szCs w:val="21"/>
              </w:rPr>
            </w:pPr>
            <w:r>
              <w:rPr>
                <w:rFonts w:hint="default" w:ascii="Times New Roman" w:hAnsi="Times New Roman" w:eastAsia="宋体" w:cs="Times New Roman"/>
                <w:b w:val="0"/>
                <w:bCs/>
                <w:i w:val="0"/>
                <w:iCs w:val="0"/>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66" w:type="dxa"/>
            <w:vMerge w:val="continue"/>
            <w:noWrap w:val="0"/>
            <w:vAlign w:val="center"/>
          </w:tcPr>
          <w:p>
            <w:pPr>
              <w:jc w:val="center"/>
              <w:rPr>
                <w:rFonts w:hint="default" w:ascii="Times New Roman" w:hAnsi="Times New Roman" w:eastAsia="宋体" w:cs="Times New Roman"/>
                <w:b w:val="0"/>
                <w:bCs/>
                <w:i w:val="0"/>
                <w:iCs w:val="0"/>
                <w:color w:val="auto"/>
                <w:kern w:val="0"/>
                <w:sz w:val="21"/>
                <w:szCs w:val="21"/>
              </w:rPr>
            </w:pPr>
          </w:p>
        </w:tc>
        <w:tc>
          <w:tcPr>
            <w:tcW w:w="14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尾矿</w:t>
            </w:r>
          </w:p>
        </w:tc>
        <w:tc>
          <w:tcPr>
            <w:tcW w:w="152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生产</w:t>
            </w:r>
          </w:p>
        </w:tc>
        <w:tc>
          <w:tcPr>
            <w:tcW w:w="1273"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150万</w:t>
            </w:r>
          </w:p>
        </w:tc>
        <w:tc>
          <w:tcPr>
            <w:tcW w:w="268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color w:val="auto"/>
                <w:lang w:val="en-US" w:eastAsia="zh-CN"/>
              </w:rPr>
              <w:t>用于填埋历史采坑</w:t>
            </w:r>
          </w:p>
        </w:tc>
        <w:tc>
          <w:tcPr>
            <w:tcW w:w="1563" w:type="dxa"/>
            <w:noWrap w:val="0"/>
            <w:vAlign w:val="center"/>
          </w:tcPr>
          <w:p>
            <w:pPr>
              <w:jc w:val="center"/>
              <w:rPr>
                <w:rFonts w:hint="default" w:ascii="Times New Roman" w:hAnsi="Times New Roman" w:eastAsia="宋体" w:cs="Times New Roman"/>
                <w:b w:val="0"/>
                <w:bCs/>
                <w:i w:val="0"/>
                <w:iCs w:val="0"/>
                <w:color w:val="auto"/>
                <w:sz w:val="21"/>
                <w:szCs w:val="21"/>
                <w:lang w:val="en-US" w:eastAsia="zh-CN"/>
              </w:rPr>
            </w:pPr>
            <w:r>
              <w:rPr>
                <w:rFonts w:hint="default" w:ascii="Times New Roman" w:hAnsi="Times New Roman" w:eastAsia="宋体" w:cs="Times New Roman"/>
                <w:b w:val="0"/>
                <w:bCs/>
                <w:i w:val="0"/>
                <w:iCs w:val="0"/>
                <w:color w:val="auto"/>
                <w:sz w:val="21"/>
                <w:szCs w:val="21"/>
                <w:lang w:val="en-US" w:eastAsia="zh-CN"/>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66" w:type="dxa"/>
            <w:vMerge w:val="continue"/>
            <w:noWrap w:val="0"/>
            <w:vAlign w:val="center"/>
          </w:tcPr>
          <w:p>
            <w:pPr>
              <w:jc w:val="center"/>
              <w:rPr>
                <w:rFonts w:hint="default" w:ascii="Times New Roman" w:hAnsi="Times New Roman" w:eastAsia="宋体" w:cs="Times New Roman"/>
                <w:b w:val="0"/>
                <w:bCs/>
                <w:i w:val="0"/>
                <w:iCs w:val="0"/>
                <w:color w:val="auto"/>
                <w:kern w:val="0"/>
                <w:sz w:val="21"/>
                <w:szCs w:val="21"/>
              </w:rPr>
            </w:pPr>
          </w:p>
        </w:tc>
        <w:tc>
          <w:tcPr>
            <w:tcW w:w="14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废机油</w:t>
            </w:r>
          </w:p>
        </w:tc>
        <w:tc>
          <w:tcPr>
            <w:tcW w:w="152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生产设备</w:t>
            </w:r>
          </w:p>
        </w:tc>
        <w:tc>
          <w:tcPr>
            <w:tcW w:w="1273"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0.5</w:t>
            </w:r>
          </w:p>
        </w:tc>
        <w:tc>
          <w:tcPr>
            <w:tcW w:w="268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危废间内暂存，定期交由资质单位</w:t>
            </w:r>
          </w:p>
        </w:tc>
        <w:tc>
          <w:tcPr>
            <w:tcW w:w="1563" w:type="dxa"/>
            <w:noWrap w:val="0"/>
            <w:vAlign w:val="center"/>
          </w:tcPr>
          <w:p>
            <w:pPr>
              <w:jc w:val="center"/>
              <w:rPr>
                <w:rFonts w:hint="default" w:ascii="Times New Roman" w:hAnsi="Times New Roman" w:eastAsia="宋体" w:cs="Times New Roman"/>
                <w:b w:val="0"/>
                <w:bCs/>
                <w:i w:val="0"/>
                <w:iCs w:val="0"/>
                <w:color w:val="auto"/>
                <w:sz w:val="21"/>
                <w:szCs w:val="21"/>
                <w:lang w:val="en-US" w:eastAsia="zh-CN"/>
              </w:rPr>
            </w:pPr>
            <w:r>
              <w:rPr>
                <w:rFonts w:hint="default" w:ascii="Times New Roman" w:hAnsi="Times New Roman" w:eastAsia="宋体" w:cs="Times New Roman"/>
                <w:b w:val="0"/>
                <w:bCs/>
                <w:i w:val="0"/>
                <w:iCs w:val="0"/>
                <w:color w:val="auto"/>
                <w:sz w:val="21"/>
                <w:szCs w:val="21"/>
                <w:lang w:val="en-US" w:eastAsia="zh-CN"/>
              </w:rPr>
              <w:t>0.5</w:t>
            </w:r>
          </w:p>
        </w:tc>
      </w:tr>
      <w:bookmarkEnd w:id="154"/>
      <w:bookmarkEnd w:id="155"/>
      <w:bookmarkEnd w:id="156"/>
      <w:bookmarkEnd w:id="157"/>
    </w:tbl>
    <w:p>
      <w:pPr>
        <w:pStyle w:val="266"/>
        <w:spacing w:beforeLines="50" w:line="480" w:lineRule="exact"/>
        <w:rPr>
          <w:rFonts w:hint="default" w:ascii="Times New Roman" w:hAnsi="Times New Roman" w:eastAsia="宋体" w:cs="Times New Roman"/>
          <w:color w:val="auto"/>
        </w:rPr>
      </w:pPr>
      <w:bookmarkStart w:id="161" w:name="_Toc12633"/>
      <w:r>
        <w:rPr>
          <w:rFonts w:hint="default" w:ascii="Times New Roman" w:hAnsi="Times New Roman" w:eastAsia="宋体" w:cs="Times New Roman"/>
          <w:color w:val="auto"/>
        </w:rPr>
        <w:t>3.</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“三本帐”分析</w:t>
      </w:r>
      <w:bookmarkEnd w:id="161"/>
    </w:p>
    <w:p>
      <w:pPr>
        <w:pStyle w:val="74"/>
        <w:spacing w:beforeLines="50" w:line="480" w:lineRule="exac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 xml:space="preserve">     项目三本帐分析，详见表3.</w:t>
      </w:r>
      <w:r>
        <w:rPr>
          <w:rFonts w:hint="default" w:ascii="Times New Roman" w:hAnsi="Times New Roman" w:eastAsia="宋体" w:cs="Times New Roman"/>
          <w:color w:val="auto"/>
          <w:lang w:val="en-US" w:eastAsia="zh-CN"/>
        </w:rPr>
        <w:t>1-17</w:t>
      </w:r>
      <w:r>
        <w:rPr>
          <w:rFonts w:hint="default" w:ascii="Times New Roman" w:hAnsi="Times New Roman" w:eastAsia="宋体" w:cs="Times New Roman"/>
          <w:color w:val="auto"/>
        </w:rPr>
        <w:t>。</w:t>
      </w:r>
    </w:p>
    <w:p>
      <w:pPr>
        <w:pStyle w:val="74"/>
        <w:spacing w:beforeLines="50" w:line="480" w:lineRule="exac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表3.</w:t>
      </w:r>
      <w:r>
        <w:rPr>
          <w:rFonts w:hint="default" w:ascii="Times New Roman" w:hAnsi="Times New Roman" w:eastAsia="宋体" w:cs="Times New Roman"/>
          <w:color w:val="auto"/>
          <w:lang w:val="en-US" w:eastAsia="zh-CN"/>
        </w:rPr>
        <w:t>1-17</w:t>
      </w:r>
      <w:r>
        <w:rPr>
          <w:rFonts w:hint="default" w:ascii="Times New Roman" w:hAnsi="Times New Roman" w:eastAsia="宋体" w:cs="Times New Roman"/>
          <w:color w:val="auto"/>
        </w:rPr>
        <w:t xml:space="preserve">                </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 xml:space="preserve">  全厂污染物“三本帐”          </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 xml:space="preserve"> 单位：t/a</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3"/>
        <w:gridCol w:w="1980"/>
        <w:gridCol w:w="1081"/>
        <w:gridCol w:w="1185"/>
        <w:gridCol w:w="1267"/>
        <w:gridCol w:w="1344"/>
        <w:gridCol w:w="123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93" w:type="dxa"/>
            <w:tcBorders>
              <w:top w:val="single" w:color="auto" w:sz="4" w:space="0"/>
              <w:left w:val="nil"/>
              <w:bottom w:val="single" w:color="auto" w:sz="4" w:space="0"/>
              <w:right w:val="single" w:color="auto" w:sz="4" w:space="0"/>
              <w:tl2br w:val="nil"/>
              <w:tr2bl w:val="nil"/>
            </w:tcBorders>
            <w:noWrap/>
            <w:vAlign w:val="center"/>
          </w:tcPr>
          <w:p>
            <w:pPr>
              <w:adjustRightInd w:val="0"/>
              <w:snapToGrid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污染因素</w:t>
            </w:r>
          </w:p>
        </w:tc>
        <w:tc>
          <w:tcPr>
            <w:tcW w:w="1980" w:type="dxa"/>
            <w:tcBorders>
              <w:top w:val="single" w:color="auto" w:sz="4" w:space="0"/>
              <w:left w:val="single" w:color="auto" w:sz="4" w:space="0"/>
              <w:bottom w:val="single" w:color="auto" w:sz="4" w:space="0"/>
              <w:right w:val="single" w:color="auto" w:sz="4" w:space="0"/>
              <w:tl2br w:val="nil"/>
              <w:tr2bl w:val="nil"/>
            </w:tcBorders>
            <w:noWrap/>
            <w:vAlign w:val="center"/>
          </w:tcPr>
          <w:p>
            <w:pPr>
              <w:adjustRightInd w:val="0"/>
              <w:snapToGrid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w:t>
            </w:r>
          </w:p>
        </w:tc>
        <w:tc>
          <w:tcPr>
            <w:tcW w:w="1081" w:type="dxa"/>
            <w:tcBorders>
              <w:top w:val="single" w:color="auto" w:sz="4" w:space="0"/>
              <w:left w:val="single" w:color="auto" w:sz="4" w:space="0"/>
              <w:bottom w:val="single" w:color="auto" w:sz="4" w:space="0"/>
              <w:right w:val="single" w:color="auto" w:sz="4" w:space="0"/>
              <w:tl2br w:val="nil"/>
              <w:tr2bl w:val="nil"/>
            </w:tcBorders>
            <w:noWrap/>
            <w:vAlign w:val="center"/>
          </w:tcPr>
          <w:p>
            <w:pPr>
              <w:adjustRightInd w:val="0"/>
              <w:snapToGrid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原有</w:t>
            </w:r>
          </w:p>
        </w:tc>
        <w:tc>
          <w:tcPr>
            <w:tcW w:w="1185" w:type="dxa"/>
            <w:tcBorders>
              <w:top w:val="single" w:color="auto" w:sz="4" w:space="0"/>
              <w:left w:val="single" w:color="auto" w:sz="4" w:space="0"/>
              <w:bottom w:val="single" w:color="auto" w:sz="4" w:space="0"/>
              <w:right w:val="single" w:color="auto" w:sz="4" w:space="0"/>
              <w:tl2br w:val="nil"/>
              <w:tr2bl w:val="nil"/>
            </w:tcBorders>
            <w:noWrap/>
            <w:vAlign w:val="center"/>
          </w:tcPr>
          <w:p>
            <w:pPr>
              <w:adjustRightInd w:val="0"/>
              <w:snapToGrid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扩建项目</w:t>
            </w:r>
          </w:p>
        </w:tc>
        <w:tc>
          <w:tcPr>
            <w:tcW w:w="1267" w:type="dxa"/>
            <w:tcBorders>
              <w:top w:val="single" w:color="auto" w:sz="4" w:space="0"/>
              <w:left w:val="single" w:color="auto" w:sz="4" w:space="0"/>
              <w:bottom w:val="single" w:color="auto" w:sz="4" w:space="0"/>
              <w:right w:val="single" w:color="auto" w:sz="4" w:space="0"/>
              <w:tl2br w:val="nil"/>
              <w:tr2bl w:val="nil"/>
            </w:tcBorders>
            <w:noWrap/>
            <w:vAlign w:val="center"/>
          </w:tcPr>
          <w:p>
            <w:pPr>
              <w:adjustRightInd w:val="0"/>
              <w:snapToGrid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“以新带老”削减量</w:t>
            </w:r>
          </w:p>
        </w:tc>
        <w:tc>
          <w:tcPr>
            <w:tcW w:w="1344" w:type="dxa"/>
            <w:tcBorders>
              <w:top w:val="single" w:color="auto" w:sz="4" w:space="0"/>
              <w:left w:val="single" w:color="auto" w:sz="4" w:space="0"/>
              <w:bottom w:val="single" w:color="auto" w:sz="4" w:space="0"/>
              <w:right w:val="single" w:color="auto" w:sz="4" w:space="0"/>
              <w:tl2br w:val="nil"/>
              <w:tr2bl w:val="nil"/>
            </w:tcBorders>
            <w:noWrap/>
            <w:vAlign w:val="center"/>
          </w:tcPr>
          <w:p>
            <w:pPr>
              <w:adjustRightInd w:val="0"/>
              <w:snapToGrid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改扩建后全厂排放量</w:t>
            </w:r>
          </w:p>
        </w:tc>
        <w:tc>
          <w:tcPr>
            <w:tcW w:w="1237" w:type="dxa"/>
            <w:tcBorders>
              <w:top w:val="single" w:color="auto" w:sz="4" w:space="0"/>
              <w:left w:val="single" w:color="auto" w:sz="4" w:space="0"/>
              <w:bottom w:val="single" w:color="auto" w:sz="4" w:space="0"/>
              <w:right w:val="nil"/>
              <w:tl2br w:val="nil"/>
              <w:tr2bl w:val="nil"/>
            </w:tcBorders>
            <w:noWrap/>
            <w:vAlign w:val="center"/>
          </w:tcPr>
          <w:p>
            <w:pPr>
              <w:adjustRightInd w:val="0"/>
              <w:snapToGrid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排放增减量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93" w:type="dxa"/>
            <w:tcBorders>
              <w:top w:val="single" w:color="auto" w:sz="4" w:space="0"/>
              <w:left w:val="nil"/>
              <w:right w:val="single" w:color="auto" w:sz="4" w:space="0"/>
              <w:tl2br w:val="nil"/>
              <w:tr2bl w:val="nil"/>
            </w:tcBorders>
            <w:noWrap/>
            <w:vAlign w:val="center"/>
          </w:tcPr>
          <w:p>
            <w:pPr>
              <w:adjustRightInd w:val="0"/>
              <w:snapToGrid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w:t>
            </w:r>
          </w:p>
        </w:tc>
        <w:tc>
          <w:tcPr>
            <w:tcW w:w="1980"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i w:val="0"/>
                <w:iCs w:val="0"/>
                <w:color w:val="auto"/>
                <w:kern w:val="0"/>
                <w:sz w:val="21"/>
                <w:szCs w:val="21"/>
                <w:highlight w:val="none"/>
                <w:lang w:val="en-US" w:eastAsia="zh-CN" w:bidi="ar-SA"/>
              </w:rPr>
            </w:pPr>
            <w:r>
              <w:rPr>
                <w:rFonts w:hint="default" w:ascii="Times New Roman" w:hAnsi="Times New Roman" w:eastAsia="宋体" w:cs="Times New Roman"/>
                <w:b w:val="0"/>
                <w:bCs/>
                <w:i w:val="0"/>
                <w:iCs w:val="0"/>
                <w:color w:val="auto"/>
                <w:kern w:val="0"/>
                <w:sz w:val="21"/>
                <w:szCs w:val="21"/>
                <w:highlight w:val="none"/>
                <w:lang w:val="en-US" w:eastAsia="zh-CN"/>
              </w:rPr>
              <w:t>颗粒物</w:t>
            </w:r>
          </w:p>
        </w:tc>
        <w:tc>
          <w:tcPr>
            <w:tcW w:w="1081"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0.0418</w:t>
            </w:r>
          </w:p>
        </w:tc>
        <w:tc>
          <w:tcPr>
            <w:tcW w:w="1185"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6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2.38</w:t>
            </w:r>
          </w:p>
        </w:tc>
        <w:tc>
          <w:tcPr>
            <w:tcW w:w="1267"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0.041</w:t>
            </w:r>
          </w:p>
        </w:tc>
        <w:tc>
          <w:tcPr>
            <w:tcW w:w="1344"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sz w:val="21"/>
                <w:highlight w:val="none"/>
                <w:lang w:val="en-US" w:eastAsia="zh-CN"/>
              </w:rPr>
              <w:t>2.3808</w:t>
            </w:r>
          </w:p>
        </w:tc>
        <w:tc>
          <w:tcPr>
            <w:tcW w:w="1237" w:type="dxa"/>
            <w:tcBorders>
              <w:top w:val="single" w:color="auto" w:sz="4" w:space="0"/>
              <w:left w:val="single" w:color="auto" w:sz="4" w:space="0"/>
              <w:bottom w:val="single" w:color="auto" w:sz="4" w:space="0"/>
              <w:right w:val="nil"/>
              <w:tl2br w:val="nil"/>
              <w:tr2bl w:val="nil"/>
            </w:tcBorders>
            <w:noWrap/>
            <w:vAlign w:val="center"/>
          </w:tcPr>
          <w:p>
            <w:pPr>
              <w:pStyle w:val="6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+2.339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93" w:type="dxa"/>
            <w:vMerge w:val="restart"/>
            <w:tcBorders>
              <w:top w:val="single" w:color="auto" w:sz="4" w:space="0"/>
              <w:left w:val="nil"/>
              <w:right w:val="single" w:color="auto" w:sz="4" w:space="0"/>
              <w:tl2br w:val="nil"/>
              <w:tr2bl w:val="nil"/>
            </w:tcBorders>
            <w:noWrap/>
            <w:vAlign w:val="center"/>
          </w:tcPr>
          <w:p>
            <w:pPr>
              <w:adjustRightInd w:val="0"/>
              <w:snapToGrid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w:t>
            </w:r>
          </w:p>
        </w:tc>
        <w:tc>
          <w:tcPr>
            <w:tcW w:w="1980" w:type="dxa"/>
            <w:tcBorders>
              <w:top w:val="single" w:color="auto" w:sz="4" w:space="0"/>
              <w:left w:val="single" w:color="auto" w:sz="4" w:space="0"/>
              <w:bottom w:val="single" w:color="auto" w:sz="4" w:space="0"/>
              <w:right w:val="single" w:color="auto" w:sz="4" w:space="0"/>
              <w:tl2br w:val="nil"/>
              <w:tr2bl w:val="nil"/>
            </w:tcBorders>
            <w:noWrap/>
            <w:vAlign w:val="center"/>
          </w:tcPr>
          <w:p>
            <w:pPr>
              <w:adjustRightInd w:val="0"/>
              <w:snapToGrid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生活污水</w:t>
            </w:r>
          </w:p>
        </w:tc>
        <w:tc>
          <w:tcPr>
            <w:tcW w:w="1081"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61"/>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w:t>
            </w:r>
          </w:p>
        </w:tc>
        <w:tc>
          <w:tcPr>
            <w:tcW w:w="1185"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61"/>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w:t>
            </w:r>
          </w:p>
        </w:tc>
        <w:tc>
          <w:tcPr>
            <w:tcW w:w="1267"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0</w:t>
            </w:r>
          </w:p>
        </w:tc>
        <w:tc>
          <w:tcPr>
            <w:tcW w:w="1344" w:type="dxa"/>
            <w:tcBorders>
              <w:top w:val="single" w:color="auto" w:sz="4" w:space="0"/>
              <w:left w:val="single" w:color="auto" w:sz="4" w:space="0"/>
              <w:bottom w:val="single" w:color="auto" w:sz="4" w:space="0"/>
              <w:right w:val="single" w:color="auto" w:sz="4" w:space="0"/>
              <w:tl2br w:val="nil"/>
              <w:tr2bl w:val="nil"/>
            </w:tcBorders>
            <w:noWrap/>
            <w:vAlign w:val="center"/>
          </w:tcPr>
          <w:p>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237" w:type="dxa"/>
            <w:tcBorders>
              <w:top w:val="single" w:color="auto" w:sz="4" w:space="0"/>
              <w:left w:val="single" w:color="auto" w:sz="4" w:space="0"/>
              <w:bottom w:val="single" w:color="auto" w:sz="4" w:space="0"/>
              <w:right w:val="nil"/>
              <w:tl2br w:val="nil"/>
              <w:tr2bl w:val="nil"/>
            </w:tcBorders>
            <w:noWrap/>
            <w:vAlign w:val="center"/>
          </w:tcPr>
          <w:p>
            <w:pPr>
              <w:pStyle w:val="61"/>
              <w:spacing w:line="240" w:lineRule="auto"/>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szCs w:val="21"/>
                <w:highlight w:val="none"/>
                <w:lang w:val="en-US" w:eastAsia="zh-CN"/>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93" w:type="dxa"/>
            <w:vMerge w:val="continue"/>
            <w:tcBorders>
              <w:left w:val="nil"/>
              <w:bottom w:val="single" w:color="auto" w:sz="4" w:space="0"/>
              <w:right w:val="single" w:color="auto" w:sz="4" w:space="0"/>
              <w:tl2br w:val="nil"/>
              <w:tr2bl w:val="nil"/>
            </w:tcBorders>
            <w:noWrap/>
            <w:vAlign w:val="center"/>
          </w:tcPr>
          <w:p>
            <w:pPr>
              <w:adjustRightInd w:val="0"/>
              <w:snapToGrid w:val="0"/>
              <w:spacing w:line="240" w:lineRule="auto"/>
              <w:jc w:val="center"/>
              <w:rPr>
                <w:rFonts w:hint="default" w:ascii="Times New Roman" w:hAnsi="Times New Roman" w:eastAsia="宋体" w:cs="Times New Roman"/>
                <w:color w:val="auto"/>
                <w:highlight w:val="none"/>
              </w:rPr>
            </w:pPr>
          </w:p>
        </w:tc>
        <w:tc>
          <w:tcPr>
            <w:tcW w:w="1980" w:type="dxa"/>
            <w:tcBorders>
              <w:top w:val="single" w:color="auto" w:sz="4" w:space="0"/>
              <w:left w:val="single" w:color="auto" w:sz="4" w:space="0"/>
              <w:bottom w:val="single" w:color="auto" w:sz="4" w:space="0"/>
              <w:right w:val="single" w:color="auto" w:sz="4" w:space="0"/>
              <w:tl2br w:val="nil"/>
              <w:tr2bl w:val="nil"/>
            </w:tcBorders>
            <w:noWrap/>
            <w:vAlign w:val="center"/>
          </w:tcPr>
          <w:p>
            <w:pPr>
              <w:adjustRightInd w:val="0"/>
              <w:snapToGrid w:val="0"/>
              <w:spacing w:line="240" w:lineRule="auto"/>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生产废水</w:t>
            </w:r>
          </w:p>
        </w:tc>
        <w:tc>
          <w:tcPr>
            <w:tcW w:w="1081"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61"/>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1185"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61"/>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1267"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0</w:t>
            </w:r>
          </w:p>
        </w:tc>
        <w:tc>
          <w:tcPr>
            <w:tcW w:w="1344" w:type="dxa"/>
            <w:tcBorders>
              <w:top w:val="single" w:color="auto" w:sz="4" w:space="0"/>
              <w:left w:val="single" w:color="auto" w:sz="4" w:space="0"/>
              <w:bottom w:val="single" w:color="auto" w:sz="4" w:space="0"/>
              <w:right w:val="single" w:color="auto" w:sz="4" w:space="0"/>
              <w:tl2br w:val="nil"/>
              <w:tr2bl w:val="nil"/>
            </w:tcBorders>
            <w:noWrap/>
            <w:vAlign w:val="center"/>
          </w:tcPr>
          <w:p>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237" w:type="dxa"/>
            <w:tcBorders>
              <w:top w:val="single" w:color="auto" w:sz="4" w:space="0"/>
              <w:left w:val="single" w:color="auto" w:sz="4" w:space="0"/>
              <w:bottom w:val="single" w:color="auto" w:sz="4" w:space="0"/>
              <w:right w:val="nil"/>
              <w:tl2br w:val="nil"/>
              <w:tr2bl w:val="nil"/>
            </w:tcBorders>
            <w:noWrap/>
            <w:vAlign w:val="center"/>
          </w:tcPr>
          <w:p>
            <w:pPr>
              <w:pStyle w:val="61"/>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93" w:type="dxa"/>
            <w:vMerge w:val="restart"/>
            <w:tcBorders>
              <w:top w:val="single" w:color="auto" w:sz="4" w:space="0"/>
              <w:left w:val="nil"/>
              <w:right w:val="single" w:color="auto" w:sz="4" w:space="0"/>
              <w:tl2br w:val="nil"/>
              <w:tr2bl w:val="nil"/>
            </w:tcBorders>
            <w:noWrap/>
            <w:vAlign w:val="center"/>
          </w:tcPr>
          <w:p>
            <w:pPr>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w:t>
            </w:r>
          </w:p>
          <w:p>
            <w:pPr>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废物</w:t>
            </w:r>
          </w:p>
        </w:tc>
        <w:tc>
          <w:tcPr>
            <w:tcW w:w="1980"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除尘灰</w:t>
            </w:r>
          </w:p>
        </w:tc>
        <w:tc>
          <w:tcPr>
            <w:tcW w:w="1081"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0</w:t>
            </w:r>
          </w:p>
        </w:tc>
        <w:tc>
          <w:tcPr>
            <w:tcW w:w="1185"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235.93</w:t>
            </w:r>
          </w:p>
        </w:tc>
        <w:tc>
          <w:tcPr>
            <w:tcW w:w="1267"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0</w:t>
            </w:r>
          </w:p>
        </w:tc>
        <w:tc>
          <w:tcPr>
            <w:tcW w:w="1344"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235.93</w:t>
            </w:r>
          </w:p>
        </w:tc>
        <w:tc>
          <w:tcPr>
            <w:tcW w:w="1237" w:type="dxa"/>
            <w:tcBorders>
              <w:top w:val="single" w:color="auto" w:sz="4" w:space="0"/>
              <w:left w:val="single" w:color="auto" w:sz="4" w:space="0"/>
              <w:bottom w:val="single" w:color="auto" w:sz="4" w:space="0"/>
              <w:right w:val="nil"/>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+235.93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93" w:type="dxa"/>
            <w:vMerge w:val="continue"/>
            <w:tcBorders>
              <w:left w:val="nil"/>
              <w:right w:val="single" w:color="auto" w:sz="4" w:space="0"/>
              <w:tl2br w:val="nil"/>
              <w:tr2bl w:val="nil"/>
            </w:tcBorders>
            <w:noWrap/>
            <w:vAlign w:val="center"/>
          </w:tcPr>
          <w:p>
            <w:pPr>
              <w:spacing w:line="240" w:lineRule="auto"/>
              <w:jc w:val="center"/>
              <w:rPr>
                <w:rFonts w:hint="default" w:ascii="Times New Roman" w:hAnsi="Times New Roman" w:eastAsia="宋体" w:cs="Times New Roman"/>
                <w:color w:val="auto"/>
                <w:highlight w:val="none"/>
              </w:rPr>
            </w:pPr>
          </w:p>
        </w:tc>
        <w:tc>
          <w:tcPr>
            <w:tcW w:w="1980"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尾矿渣</w:t>
            </w:r>
          </w:p>
        </w:tc>
        <w:tc>
          <w:tcPr>
            <w:tcW w:w="1081"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9.36万</w:t>
            </w:r>
          </w:p>
        </w:tc>
        <w:tc>
          <w:tcPr>
            <w:tcW w:w="1185" w:type="dxa"/>
            <w:vMerge w:val="restart"/>
            <w:tcBorders>
              <w:top w:val="single" w:color="auto" w:sz="4" w:space="0"/>
              <w:left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150万</w:t>
            </w:r>
          </w:p>
        </w:tc>
        <w:tc>
          <w:tcPr>
            <w:tcW w:w="1267" w:type="dxa"/>
            <w:vMerge w:val="restart"/>
            <w:tcBorders>
              <w:top w:val="single" w:color="auto" w:sz="4" w:space="0"/>
              <w:left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0</w:t>
            </w:r>
          </w:p>
        </w:tc>
        <w:tc>
          <w:tcPr>
            <w:tcW w:w="1344" w:type="dxa"/>
            <w:vMerge w:val="restart"/>
            <w:tcBorders>
              <w:top w:val="single" w:color="auto" w:sz="4" w:space="0"/>
              <w:left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1459.36万</w:t>
            </w:r>
          </w:p>
        </w:tc>
        <w:tc>
          <w:tcPr>
            <w:tcW w:w="1237" w:type="dxa"/>
            <w:vMerge w:val="restart"/>
            <w:tcBorders>
              <w:top w:val="single" w:color="auto" w:sz="4" w:space="0"/>
              <w:left w:val="single" w:color="auto" w:sz="4" w:space="0"/>
              <w:right w:val="nil"/>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lang w:val="en-US" w:eastAsia="zh-CN"/>
              </w:rPr>
              <w:t>+150万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93" w:type="dxa"/>
            <w:vMerge w:val="continue"/>
            <w:tcBorders>
              <w:left w:val="nil"/>
              <w:right w:val="single" w:color="auto" w:sz="4" w:space="0"/>
              <w:tl2br w:val="nil"/>
              <w:tr2bl w:val="nil"/>
            </w:tcBorders>
            <w:noWrap/>
            <w:vAlign w:val="center"/>
          </w:tcPr>
          <w:p>
            <w:pPr>
              <w:spacing w:line="240" w:lineRule="auto"/>
              <w:jc w:val="center"/>
              <w:rPr>
                <w:rFonts w:hint="default" w:ascii="Times New Roman" w:hAnsi="Times New Roman" w:eastAsia="宋体" w:cs="Times New Roman"/>
                <w:color w:val="auto"/>
                <w:highlight w:val="none"/>
              </w:rPr>
            </w:pPr>
          </w:p>
        </w:tc>
        <w:tc>
          <w:tcPr>
            <w:tcW w:w="1980"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碎石</w:t>
            </w:r>
          </w:p>
        </w:tc>
        <w:tc>
          <w:tcPr>
            <w:tcW w:w="1081"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0.6</w:t>
            </w:r>
          </w:p>
        </w:tc>
        <w:tc>
          <w:tcPr>
            <w:tcW w:w="1185" w:type="dxa"/>
            <w:vMerge w:val="continue"/>
            <w:tcBorders>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p>
        </w:tc>
        <w:tc>
          <w:tcPr>
            <w:tcW w:w="1267" w:type="dxa"/>
            <w:vMerge w:val="continue"/>
            <w:tcBorders>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rPr>
            </w:pPr>
          </w:p>
        </w:tc>
        <w:tc>
          <w:tcPr>
            <w:tcW w:w="1344" w:type="dxa"/>
            <w:vMerge w:val="continue"/>
            <w:tcBorders>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p>
        </w:tc>
        <w:tc>
          <w:tcPr>
            <w:tcW w:w="1237" w:type="dxa"/>
            <w:vMerge w:val="continue"/>
            <w:tcBorders>
              <w:left w:val="single" w:color="auto" w:sz="4" w:space="0"/>
              <w:bottom w:val="single" w:color="auto" w:sz="4" w:space="0"/>
              <w:right w:val="nil"/>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93" w:type="dxa"/>
            <w:vMerge w:val="continue"/>
            <w:tcBorders>
              <w:left w:val="nil"/>
              <w:right w:val="single" w:color="auto" w:sz="4" w:space="0"/>
              <w:tl2br w:val="nil"/>
              <w:tr2bl w:val="nil"/>
            </w:tcBorders>
            <w:noWrap/>
            <w:vAlign w:val="center"/>
          </w:tcPr>
          <w:p>
            <w:pPr>
              <w:spacing w:line="240" w:lineRule="auto"/>
              <w:jc w:val="center"/>
              <w:rPr>
                <w:rFonts w:hint="default" w:ascii="Times New Roman" w:hAnsi="Times New Roman" w:eastAsia="宋体" w:cs="Times New Roman"/>
                <w:color w:val="auto"/>
                <w:highlight w:val="none"/>
              </w:rPr>
            </w:pPr>
          </w:p>
        </w:tc>
        <w:tc>
          <w:tcPr>
            <w:tcW w:w="1980"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Cs w:val="21"/>
                <w:highlight w:val="none"/>
              </w:rPr>
              <w:t>生活垃圾</w:t>
            </w:r>
          </w:p>
        </w:tc>
        <w:tc>
          <w:tcPr>
            <w:tcW w:w="1081"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Cs w:val="21"/>
                <w:highlight w:val="none"/>
                <w:lang w:val="en-US" w:eastAsia="zh-CN"/>
              </w:rPr>
              <w:t>2.55</w:t>
            </w:r>
          </w:p>
        </w:tc>
        <w:tc>
          <w:tcPr>
            <w:tcW w:w="1185"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4.5</w:t>
            </w:r>
          </w:p>
        </w:tc>
        <w:tc>
          <w:tcPr>
            <w:tcW w:w="1267"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0</w:t>
            </w:r>
          </w:p>
        </w:tc>
        <w:tc>
          <w:tcPr>
            <w:tcW w:w="1344"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7.05</w:t>
            </w:r>
          </w:p>
        </w:tc>
        <w:tc>
          <w:tcPr>
            <w:tcW w:w="1237" w:type="dxa"/>
            <w:tcBorders>
              <w:top w:val="single" w:color="auto" w:sz="4" w:space="0"/>
              <w:left w:val="single" w:color="auto" w:sz="4" w:space="0"/>
              <w:bottom w:val="single" w:color="auto" w:sz="4" w:space="0"/>
              <w:right w:val="nil"/>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rPr>
            </w:pPr>
            <w:r>
              <w:rPr>
                <w:rFonts w:hint="default" w:ascii="Times New Roman" w:hAnsi="Times New Roman" w:eastAsia="宋体" w:cs="Times New Roman"/>
                <w:color w:val="auto"/>
                <w:sz w:val="21"/>
                <w:highlight w:val="none"/>
                <w:lang w:val="en-US" w:eastAsia="zh-CN"/>
              </w:rPr>
              <w:t>+4.5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93" w:type="dxa"/>
            <w:vMerge w:val="continue"/>
            <w:tcBorders>
              <w:left w:val="nil"/>
              <w:right w:val="single" w:color="auto" w:sz="4" w:space="0"/>
              <w:tl2br w:val="nil"/>
              <w:tr2bl w:val="nil"/>
            </w:tcBorders>
            <w:noWrap/>
            <w:vAlign w:val="center"/>
          </w:tcPr>
          <w:p>
            <w:pPr>
              <w:spacing w:line="240" w:lineRule="auto"/>
              <w:jc w:val="center"/>
              <w:rPr>
                <w:rFonts w:hint="default" w:ascii="Times New Roman" w:hAnsi="Times New Roman" w:eastAsia="宋体" w:cs="Times New Roman"/>
                <w:color w:val="auto"/>
                <w:highlight w:val="none"/>
              </w:rPr>
            </w:pPr>
          </w:p>
        </w:tc>
        <w:tc>
          <w:tcPr>
            <w:tcW w:w="1980"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lang w:eastAsia="zh-CN"/>
              </w:rPr>
              <w:t>废机油</w:t>
            </w:r>
          </w:p>
        </w:tc>
        <w:tc>
          <w:tcPr>
            <w:tcW w:w="1081"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0</w:t>
            </w:r>
          </w:p>
        </w:tc>
        <w:tc>
          <w:tcPr>
            <w:tcW w:w="1185"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0.5</w:t>
            </w:r>
          </w:p>
        </w:tc>
        <w:tc>
          <w:tcPr>
            <w:tcW w:w="1267"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0</w:t>
            </w:r>
          </w:p>
        </w:tc>
        <w:tc>
          <w:tcPr>
            <w:tcW w:w="1344" w:type="dxa"/>
            <w:tcBorders>
              <w:top w:val="single" w:color="auto" w:sz="4" w:space="0"/>
              <w:left w:val="single" w:color="auto" w:sz="4" w:space="0"/>
              <w:bottom w:val="single" w:color="auto" w:sz="4" w:space="0"/>
              <w:right w:val="single" w:color="auto" w:sz="4" w:space="0"/>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0.5</w:t>
            </w:r>
          </w:p>
        </w:tc>
        <w:tc>
          <w:tcPr>
            <w:tcW w:w="1237" w:type="dxa"/>
            <w:tcBorders>
              <w:top w:val="single" w:color="auto" w:sz="4" w:space="0"/>
              <w:left w:val="single" w:color="auto" w:sz="4" w:space="0"/>
              <w:bottom w:val="single" w:color="auto" w:sz="4" w:space="0"/>
              <w:right w:val="nil"/>
              <w:tl2br w:val="nil"/>
              <w:tr2bl w:val="nil"/>
            </w:tcBorders>
            <w:noWrap/>
            <w:vAlign w:val="center"/>
          </w:tcPr>
          <w:p>
            <w:pPr>
              <w:pStyle w:val="74"/>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+0.5</w:t>
            </w:r>
          </w:p>
        </w:tc>
      </w:tr>
    </w:tbl>
    <w:p>
      <w:pPr>
        <w:rPr>
          <w:rFonts w:hint="default" w:ascii="Times New Roman" w:hAnsi="Times New Roman" w:eastAsia="宋体" w:cs="Times New Roman"/>
          <w:color w:val="auto"/>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p>
      <w:pPr>
        <w:pStyle w:val="346"/>
        <w:spacing w:beforeLines="50" w:line="360" w:lineRule="auto"/>
        <w:rPr>
          <w:rFonts w:hint="default" w:ascii="Times New Roman" w:hAnsi="Times New Roman" w:eastAsia="宋体" w:cs="Times New Roman"/>
          <w:color w:val="auto"/>
        </w:rPr>
      </w:pPr>
      <w:bookmarkStart w:id="162" w:name="_Toc32345"/>
      <w:r>
        <w:rPr>
          <w:rFonts w:hint="default" w:ascii="Times New Roman" w:hAnsi="Times New Roman" w:eastAsia="宋体" w:cs="Times New Roman"/>
          <w:color w:val="auto"/>
        </w:rPr>
        <w:t>4区域环境概况</w:t>
      </w:r>
      <w:bookmarkEnd w:id="97"/>
      <w:bookmarkEnd w:id="100"/>
      <w:bookmarkEnd w:id="101"/>
      <w:bookmarkEnd w:id="102"/>
      <w:bookmarkEnd w:id="162"/>
    </w:p>
    <w:p>
      <w:pPr>
        <w:keepNext/>
        <w:keepLines/>
        <w:tabs>
          <w:tab w:val="left" w:pos="432"/>
        </w:tabs>
        <w:spacing w:beforeLines="50" w:line="360" w:lineRule="auto"/>
        <w:outlineLvl w:val="1"/>
        <w:rPr>
          <w:rFonts w:hint="default" w:ascii="Times New Roman" w:hAnsi="Times New Roman" w:eastAsia="宋体" w:cs="Times New Roman"/>
          <w:b/>
          <w:color w:val="auto"/>
          <w:sz w:val="28"/>
        </w:rPr>
      </w:pPr>
      <w:bookmarkStart w:id="163" w:name="_Toc6302664"/>
      <w:bookmarkStart w:id="164" w:name="_Toc16574783"/>
      <w:bookmarkStart w:id="165" w:name="_Toc490065219"/>
      <w:bookmarkStart w:id="166" w:name="_Toc13418131"/>
      <w:bookmarkStart w:id="167" w:name="_Toc233077316"/>
      <w:bookmarkStart w:id="168" w:name="_Toc15700892"/>
      <w:bookmarkStart w:id="169" w:name="_Toc3889479"/>
      <w:bookmarkStart w:id="170" w:name="_Toc6281792"/>
      <w:bookmarkStart w:id="171" w:name="_Toc16570628"/>
      <w:bookmarkStart w:id="172" w:name="_Toc386201340"/>
      <w:bookmarkStart w:id="173" w:name="_Toc13198043"/>
      <w:bookmarkStart w:id="174" w:name="_Toc16575028"/>
      <w:bookmarkStart w:id="175" w:name="_Toc16570737"/>
      <w:bookmarkStart w:id="176" w:name="_Toc6713590"/>
      <w:bookmarkStart w:id="177" w:name="_Toc396759671"/>
      <w:bookmarkStart w:id="178" w:name="_Toc29869"/>
      <w:bookmarkStart w:id="179" w:name="_Toc9623"/>
      <w:bookmarkStart w:id="180" w:name="_Toc476224981"/>
      <w:bookmarkStart w:id="181" w:name="_Toc162668561"/>
      <w:bookmarkStart w:id="182" w:name="_Toc355284845"/>
      <w:bookmarkStart w:id="183" w:name="_Toc400617543"/>
      <w:r>
        <w:rPr>
          <w:rFonts w:hint="default" w:ascii="Times New Roman" w:hAnsi="Times New Roman" w:eastAsia="宋体" w:cs="Times New Roman"/>
          <w:b/>
          <w:color w:val="auto"/>
          <w:sz w:val="28"/>
        </w:rPr>
        <w:t>4.1自然环境</w:t>
      </w:r>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r>
        <w:rPr>
          <w:rFonts w:hint="default" w:ascii="Times New Roman" w:hAnsi="Times New Roman" w:eastAsia="宋体" w:cs="Times New Roman"/>
          <w:b/>
          <w:color w:val="auto"/>
          <w:sz w:val="28"/>
        </w:rPr>
        <w:t>现状调查与评价</w:t>
      </w:r>
      <w:bookmarkEnd w:id="178"/>
      <w:bookmarkEnd w:id="179"/>
    </w:p>
    <w:bookmarkEnd w:id="180"/>
    <w:bookmarkEnd w:id="181"/>
    <w:bookmarkEnd w:id="182"/>
    <w:bookmarkEnd w:id="183"/>
    <w:p>
      <w:pPr>
        <w:pStyle w:val="73"/>
        <w:spacing w:beforeLines="50" w:line="360" w:lineRule="auto"/>
        <w:rPr>
          <w:rFonts w:hint="default" w:ascii="Times New Roman" w:hAnsi="Times New Roman" w:eastAsia="宋体" w:cs="Times New Roman"/>
          <w:color w:val="auto"/>
          <w:sz w:val="28"/>
          <w:szCs w:val="28"/>
        </w:rPr>
      </w:pPr>
      <w:bookmarkStart w:id="184" w:name="_Toc440874807"/>
      <w:bookmarkStart w:id="185" w:name="_Toc441053099"/>
      <w:bookmarkStart w:id="186" w:name="_Toc6269"/>
      <w:r>
        <w:rPr>
          <w:rFonts w:hint="default" w:ascii="Times New Roman" w:hAnsi="Times New Roman" w:eastAsia="宋体" w:cs="Times New Roman"/>
          <w:color w:val="auto"/>
          <w:sz w:val="28"/>
          <w:szCs w:val="28"/>
        </w:rPr>
        <w:t>4.1.1建设项目地理位置</w:t>
      </w:r>
      <w:bookmarkEnd w:id="184"/>
      <w:bookmarkEnd w:id="185"/>
      <w:bookmarkEnd w:id="186"/>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北票市位于辽宁西部，大凌河中游，东经120°15′</w:t>
      </w:r>
      <w:r>
        <w:rPr>
          <w:rFonts w:hint="default"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rPr>
        <w:t>121°17′，北纬41°24′</w:t>
      </w:r>
      <w:r>
        <w:rPr>
          <w:rFonts w:hint="default"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rPr>
        <w:t>42°17′，东西83.25km，南北长129.5km，南临锦州，北接内蒙古自治区，是辽蒙冀中心区 域，环渤海经济圈的重要组成部分。全市总面积 4469km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东官营镇位于北票市西北部，距北票市区20公里，东邻蒙古营乡，南与五间房镇毗邻，西与西官营镇相连，北与娄家店乡、大黑山特别行政管理区接壤。G305国道、S209省道纵贯全乡。镇域面积约303.94km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，辖9个行政村，50个村民小组。行政村包括炮手村、东官营村、东山嘴村、海丰村、黄古屯村、土洞子村、瓦房村、小巴沟村、小三家村。</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color w:val="auto"/>
          <w:sz w:val="24"/>
          <w:szCs w:val="24"/>
        </w:rPr>
        <w:sectPr>
          <w:footerReference r:id="rId13" w:type="default"/>
          <w:pgSz w:w="11906" w:h="16838"/>
          <w:pgMar w:top="1417" w:right="1418" w:bottom="1417" w:left="1417"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sz w:val="24"/>
        </w:rPr>
        <w:t>本项目位于</w:t>
      </w:r>
      <w:r>
        <w:rPr>
          <w:rFonts w:hint="default" w:ascii="Times New Roman" w:hAnsi="Times New Roman" w:eastAsia="宋体" w:cs="Times New Roman"/>
          <w:color w:val="auto"/>
          <w:kern w:val="2"/>
          <w:sz w:val="24"/>
          <w:szCs w:val="24"/>
        </w:rPr>
        <w:t>辽宁省朝阳市北票市东官营</w:t>
      </w:r>
      <w:r>
        <w:rPr>
          <w:rFonts w:hint="default" w:ascii="Times New Roman" w:hAnsi="Times New Roman" w:eastAsia="宋体" w:cs="Times New Roman"/>
          <w:color w:val="auto"/>
          <w:kern w:val="2"/>
          <w:sz w:val="24"/>
          <w:szCs w:val="24"/>
          <w:lang w:eastAsia="zh-CN"/>
        </w:rPr>
        <w:t>镇</w:t>
      </w:r>
      <w:r>
        <w:rPr>
          <w:rFonts w:hint="default" w:ascii="Times New Roman" w:hAnsi="Times New Roman" w:eastAsia="宋体" w:cs="Times New Roman"/>
          <w:color w:val="auto"/>
          <w:kern w:val="2"/>
          <w:sz w:val="24"/>
          <w:szCs w:val="24"/>
        </w:rPr>
        <w:t>小巴沟村</w:t>
      </w: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sz w:val="24"/>
        </w:rPr>
        <w:t>本项目中心坐</w:t>
      </w:r>
      <w:r>
        <w:rPr>
          <w:rFonts w:hint="default" w:ascii="Times New Roman" w:hAnsi="Times New Roman" w:eastAsia="宋体" w:cs="Times New Roman"/>
          <w:color w:val="auto"/>
          <w:sz w:val="24"/>
          <w:szCs w:val="24"/>
        </w:rPr>
        <w:t>标：</w:t>
      </w:r>
      <w:r>
        <w:rPr>
          <w:rFonts w:hint="default" w:ascii="Times New Roman" w:hAnsi="Times New Roman" w:eastAsia="宋体" w:cs="Times New Roman"/>
          <w:color w:val="auto"/>
          <w:kern w:val="0"/>
          <w:sz w:val="24"/>
          <w:szCs w:val="24"/>
        </w:rPr>
        <w:t>东经</w:t>
      </w:r>
      <w:r>
        <w:rPr>
          <w:rFonts w:hint="default" w:ascii="Times New Roman" w:hAnsi="Times New Roman" w:eastAsia="宋体" w:cs="Times New Roman"/>
          <w:color w:val="auto"/>
          <w:kern w:val="0"/>
          <w:sz w:val="24"/>
          <w:szCs w:val="24"/>
          <w:lang w:val="en-US" w:eastAsia="zh-CN"/>
        </w:rPr>
        <w:t>120.593539</w:t>
      </w:r>
      <w:r>
        <w:rPr>
          <w:rFonts w:hint="default" w:ascii="Times New Roman" w:hAnsi="Times New Roman" w:eastAsia="宋体" w:cs="Times New Roman"/>
          <w:color w:val="auto"/>
          <w:kern w:val="0"/>
          <w:sz w:val="24"/>
          <w:szCs w:val="24"/>
        </w:rPr>
        <w:t>，北纬</w:t>
      </w:r>
      <w:r>
        <w:rPr>
          <w:rFonts w:hint="default" w:ascii="Times New Roman" w:hAnsi="Times New Roman" w:eastAsia="宋体" w:cs="Times New Roman"/>
          <w:color w:val="auto"/>
          <w:kern w:val="0"/>
          <w:sz w:val="24"/>
          <w:szCs w:val="24"/>
          <w:lang w:val="en-US" w:eastAsia="zh-CN"/>
        </w:rPr>
        <w:t>41.976645</w:t>
      </w:r>
      <w:r>
        <w:rPr>
          <w:rFonts w:hint="default" w:ascii="Times New Roman" w:hAnsi="Times New Roman" w:eastAsia="宋体" w:cs="Times New Roman"/>
          <w:color w:val="auto"/>
          <w:kern w:val="0"/>
          <w:sz w:val="24"/>
          <w:szCs w:val="24"/>
        </w:rPr>
        <w:t>，海拔高度</w:t>
      </w:r>
      <w:r>
        <w:rPr>
          <w:rFonts w:hint="default" w:ascii="Times New Roman" w:hAnsi="Times New Roman" w:eastAsia="宋体" w:cs="Times New Roman"/>
          <w:color w:val="auto"/>
          <w:kern w:val="0"/>
          <w:sz w:val="24"/>
          <w:szCs w:val="24"/>
          <w:lang w:val="en-US" w:eastAsia="zh-CN"/>
        </w:rPr>
        <w:t>305</w:t>
      </w:r>
      <w:r>
        <w:rPr>
          <w:rFonts w:hint="default" w:ascii="Times New Roman" w:hAnsi="Times New Roman" w:eastAsia="宋体" w:cs="Times New Roman"/>
          <w:color w:val="auto"/>
          <w:kern w:val="0"/>
          <w:sz w:val="24"/>
          <w:szCs w:val="24"/>
        </w:rPr>
        <w:t>m</w:t>
      </w:r>
      <w:r>
        <w:rPr>
          <w:rFonts w:hint="default" w:ascii="Times New Roman" w:hAnsi="Times New Roman" w:eastAsia="宋体" w:cs="Times New Roman"/>
          <w:color w:val="auto"/>
          <w:kern w:val="0"/>
          <w:sz w:val="24"/>
          <w:szCs w:val="24"/>
          <w:lang w:eastAsia="zh-CN"/>
        </w:rPr>
        <w:t>，厂区四周均为农田</w:t>
      </w:r>
      <w:r>
        <w:rPr>
          <w:rFonts w:hint="eastAsia" w:ascii="Times New Roman" w:hAnsi="Times New Roman" w:eastAsia="宋体" w:cs="Times New Roman"/>
          <w:color w:val="auto"/>
          <w:kern w:val="0"/>
          <w:sz w:val="24"/>
          <w:szCs w:val="24"/>
          <w:lang w:eastAsia="zh-CN"/>
        </w:rPr>
        <w:t>或林地</w:t>
      </w:r>
      <w:r>
        <w:rPr>
          <w:rFonts w:hint="default" w:ascii="Times New Roman" w:hAnsi="Times New Roman" w:eastAsia="宋体" w:cs="Times New Roman"/>
          <w:color w:val="auto"/>
          <w:sz w:val="24"/>
          <w:szCs w:val="24"/>
        </w:rPr>
        <w:t>。</w:t>
      </w:r>
    </w:p>
    <w:p>
      <w:pPr>
        <w:pStyle w:val="61"/>
        <w:jc w:val="center"/>
        <w:rPr>
          <w:rFonts w:hint="default" w:ascii="Times New Roman" w:hAnsi="Times New Roman" w:eastAsia="宋体" w:cs="Times New Roman"/>
          <w:color w:val="auto"/>
        </w:rPr>
      </w:pPr>
      <w:r>
        <w:rPr>
          <w:rFonts w:hint="default" w:ascii="Times New Roman" w:hAnsi="Times New Roman" w:eastAsia="宋体" w:cs="Times New Roman"/>
          <w:b/>
          <w:color w:val="auto"/>
          <w:sz w:val="32"/>
          <w:szCs w:val="32"/>
        </w:rPr>
        <w:pict>
          <v:shape id="椭圆 946" o:spid="_x0000_s2490" o:spt="3" type="#_x0000_t3" style="position:absolute;left:0pt;margin-left:279.95pt;margin-top:252.5pt;height:5.65pt;width:5.65pt;z-index:251686912;mso-width-relative:page;mso-height-relative:page;" fillcolor="#FF0000" filled="t" stroked="t" coordsize="21600,21600">
            <v:path/>
            <v:fill on="t" focussize="0,0"/>
            <v:stroke color="#FF0000"/>
            <v:imagedata o:title=""/>
            <o:lock v:ext="edit"/>
          </v:shape>
        </w:pict>
      </w:r>
      <w:r>
        <w:rPr>
          <w:rFonts w:hint="default" w:ascii="Times New Roman" w:hAnsi="Times New Roman" w:eastAsia="宋体" w:cs="Times New Roman"/>
          <w:b/>
          <w:color w:val="auto"/>
          <w:sz w:val="32"/>
          <w:szCs w:val="32"/>
        </w:rPr>
        <w:pict>
          <v:shape id="自选图形 947" o:spid="_x0000_s2489" o:spt="62" type="#_x0000_t62" style="position:absolute;left:0pt;margin-left:160.55pt;margin-top:168.55pt;height:26.75pt;width:83.95pt;z-index:251687936;mso-width-relative:page;mso-height-relative:page;" fillcolor="#FFFF00" filled="t" stroked="t" coordsize="21600,21600" adj="30322,65908">
            <v:path/>
            <v:fill on="t" focussize="0,0"/>
            <v:stroke color="#FF0000"/>
            <v:imagedata o:title=""/>
            <o:lock v:ext="edit" aspectratio="f"/>
            <v:textbox inset="0mm,0mm,0mm,0mm">
              <w:txbxContent>
                <w:p>
                  <w:pPr>
                    <w:jc w:val="center"/>
                    <w:rPr>
                      <w:rFonts w:hint="eastAsia"/>
                      <w:color w:val="FF0000"/>
                      <w:sz w:val="28"/>
                      <w:szCs w:val="28"/>
                    </w:rPr>
                  </w:pPr>
                  <w:r>
                    <w:rPr>
                      <w:rFonts w:hint="eastAsia"/>
                      <w:color w:val="FF0000"/>
                      <w:sz w:val="28"/>
                      <w:szCs w:val="28"/>
                    </w:rPr>
                    <w:t>项目位置</w:t>
                  </w:r>
                </w:p>
              </w:txbxContent>
            </v:textbox>
          </v:shape>
        </w:pict>
      </w:r>
      <w:r>
        <w:rPr>
          <w:rFonts w:hint="default" w:ascii="Times New Roman" w:hAnsi="Times New Roman" w:eastAsia="宋体" w:cs="Times New Roman"/>
          <w:color w:val="auto"/>
        </w:rPr>
        <w:pict>
          <v:shape id="文本框 17" o:spid="_x0000_s2815" o:spt="202" type="#_x0000_t202" style="position:absolute;left:0pt;margin-left:5.7pt;margin-top:630.2pt;height:23.2pt;width:115.05pt;z-index:251719680;mso-width-relative:page;mso-height-relative:page;" filled="f" stroked="f" coordsize="21600,21600" o:gfxdata="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DojZKN0wAAAAUBAAAPAAAAAAAAAAEAIAAAACIAAABk&#10;cnMvZG93bnJldi54bWxQSwECFAAUAAAACACHTuJAgAD3RZkBAAAMAwAADgAAAAAAAAABACAAAAAi&#10;AQAAZHJzL2Uyb0RvYy54bWxQSwUGAAAAAAYABgBZAQAALQUAAAAA&#10;">
            <v:path/>
            <v:fill on="f" focussize="0,0"/>
            <v:stroke on="f"/>
            <v:imagedata o:title=""/>
            <o:lock v:ext="edit" aspectratio="f"/>
            <v:textbox>
              <w:txbxContent>
                <w:p>
                  <w:pPr>
                    <w:rPr>
                      <w:rFonts w:hint="default" w:ascii="Times New Roman" w:eastAsia="宋体"/>
                      <w:sz w:val="21"/>
                      <w:szCs w:val="21"/>
                      <w:lang w:val="en-US" w:eastAsia="zh-CN"/>
                    </w:rPr>
                  </w:pPr>
                  <w:r>
                    <w:rPr>
                      <w:rFonts w:hint="eastAsia" w:ascii="Times New Roman" w:eastAsia="宋体"/>
                      <w:sz w:val="21"/>
                      <w:szCs w:val="21"/>
                      <w:lang w:val="en-US" w:eastAsia="zh-CN"/>
                    </w:rPr>
                    <w:t>比例尺1：1000000</w:t>
                  </w:r>
                </w:p>
              </w:txbxContent>
            </v:textbox>
          </v:shape>
        </w:pict>
      </w:r>
      <w:r>
        <w:rPr>
          <w:rFonts w:hint="default" w:ascii="Times New Roman" w:hAnsi="Times New Roman" w:eastAsia="宋体" w:cs="Times New Roman"/>
          <w:color w:val="auto"/>
        </w:rPr>
        <w:drawing>
          <wp:anchor distT="0" distB="0" distL="114300" distR="114300" simplePos="0" relativeHeight="251685888" behindDoc="0" locked="0" layoutInCell="1" allowOverlap="1">
            <wp:simplePos x="0" y="0"/>
            <wp:positionH relativeFrom="column">
              <wp:posOffset>5153660</wp:posOffset>
            </wp:positionH>
            <wp:positionV relativeFrom="paragraph">
              <wp:posOffset>38735</wp:posOffset>
            </wp:positionV>
            <wp:extent cx="619125" cy="695325"/>
            <wp:effectExtent l="0" t="0" r="5715" b="5715"/>
            <wp:wrapNone/>
            <wp:docPr id="160" name="图片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804"/>
                    <pic:cNvPicPr>
                      <a:picLocks noChangeAspect="1"/>
                    </pic:cNvPicPr>
                  </pic:nvPicPr>
                  <pic:blipFill>
                    <a:blip r:embed="rId29"/>
                    <a:srcRect t="2667"/>
                    <a:stretch>
                      <a:fillRect/>
                    </a:stretch>
                  </pic:blipFill>
                  <pic:spPr>
                    <a:xfrm>
                      <a:off x="0" y="0"/>
                      <a:ext cx="619125" cy="695325"/>
                    </a:xfrm>
                    <a:prstGeom prst="rect">
                      <a:avLst/>
                    </a:prstGeom>
                    <a:noFill/>
                    <a:ln>
                      <a:noFill/>
                    </a:ln>
                  </pic:spPr>
                </pic:pic>
              </a:graphicData>
            </a:graphic>
          </wp:anchor>
        </w:drawing>
      </w:r>
      <w:r>
        <w:rPr>
          <w:rFonts w:hint="default" w:ascii="Times New Roman" w:hAnsi="Times New Roman" w:eastAsia="宋体" w:cs="Times New Roman"/>
          <w:b/>
          <w:color w:val="auto"/>
          <w:sz w:val="32"/>
          <w:szCs w:val="32"/>
        </w:rPr>
        <w:drawing>
          <wp:inline distT="0" distB="0" distL="114300" distR="114300">
            <wp:extent cx="5821045" cy="8321040"/>
            <wp:effectExtent l="9525" t="9525" r="21590" b="20955"/>
            <wp:docPr id="161" name="图片 24" descr="北票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4" descr="北票地图"/>
                    <pic:cNvPicPr>
                      <a:picLocks noChangeAspect="1"/>
                    </pic:cNvPicPr>
                  </pic:nvPicPr>
                  <pic:blipFill>
                    <a:blip r:embed="rId36"/>
                    <a:srcRect l="6633" t="4622" r="50517" b="9859"/>
                    <a:stretch>
                      <a:fillRect/>
                    </a:stretch>
                  </pic:blipFill>
                  <pic:spPr>
                    <a:xfrm>
                      <a:off x="0" y="0"/>
                      <a:ext cx="5821045" cy="8321040"/>
                    </a:xfrm>
                    <a:prstGeom prst="rect">
                      <a:avLst/>
                    </a:prstGeom>
                    <a:noFill/>
                    <a:ln w="9525" cap="flat" cmpd="sng">
                      <a:solidFill>
                        <a:srgbClr val="000000"/>
                      </a:solidFill>
                      <a:prstDash val="solid"/>
                      <a:miter/>
                      <a:headEnd type="none" w="med" len="med"/>
                      <a:tailEnd type="none" w="med" len="med"/>
                    </a:ln>
                  </pic:spPr>
                </pic:pic>
              </a:graphicData>
            </a:graphic>
          </wp:inline>
        </w:drawing>
      </w:r>
      <w:r>
        <w:rPr>
          <w:rFonts w:hint="default" w:ascii="Times New Roman" w:hAnsi="Times New Roman" w:eastAsia="宋体" w:cs="Times New Roman"/>
          <w:b/>
          <w:color w:val="auto"/>
          <w:sz w:val="32"/>
          <w:szCs w:val="32"/>
        </w:rPr>
        <w:pict>
          <v:shape id="椭圆 949" o:spid="_x0000_s2491" o:spt="3" type="#_x0000_t3" style="position:absolute;left:0pt;margin-left:185.95pt;margin-top:149.35pt;height:5.65pt;width:5.65pt;z-index:-251632640;mso-width-relative:page;mso-height-relative:page;" fillcolor="#FF0000" filled="t" stroked="t" coordsize="21600,21600">
            <v:path/>
            <v:fill on="t" focussize="0,0"/>
            <v:stroke color="#FF0000"/>
            <v:imagedata o:title=""/>
            <o:lock v:ext="edit"/>
            <v:textbox>
              <w:txbxContent>
                <w:p/>
              </w:txbxContent>
            </v:textbox>
          </v:shape>
        </w:pict>
      </w:r>
      <w:r>
        <w:rPr>
          <w:rFonts w:hint="default" w:ascii="Times New Roman" w:hAnsi="Times New Roman" w:eastAsia="宋体" w:cs="Times New Roman"/>
          <w:b/>
          <w:color w:val="auto"/>
          <w:sz w:val="32"/>
          <w:szCs w:val="32"/>
        </w:rPr>
        <w:pict>
          <v:shape id="椭圆 950" o:spid="_x0000_s2492" o:spt="3" type="#_x0000_t3" style="position:absolute;left:0pt;margin-left:197.95pt;margin-top:161.35pt;height:5.65pt;width:5.65pt;z-index:-251633664;mso-width-relative:page;mso-height-relative:page;" fillcolor="#FF0000" filled="t" stroked="t" coordsize="21600,21600">
            <v:path/>
            <v:fill on="t" focussize="0,0"/>
            <v:stroke color="#FF0000"/>
            <v:imagedata o:title=""/>
            <o:lock v:ext="edit"/>
            <v:textbox>
              <w:txbxContent>
                <w:p/>
              </w:txbxContent>
            </v:textbox>
          </v:shape>
        </w:pict>
      </w:r>
    </w:p>
    <w:p>
      <w:pPr>
        <w:pStyle w:val="6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4"/>
          <w:szCs w:val="24"/>
        </w:rPr>
        <w:sectPr>
          <w:pgSz w:w="11906" w:h="16838"/>
          <w:pgMar w:top="1474" w:right="1418" w:bottom="1474" w:left="1474"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color w:val="auto"/>
          <w:sz w:val="24"/>
          <w:szCs w:val="24"/>
        </w:rPr>
        <w:t>图4</w:t>
      </w: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-1</w:t>
      </w:r>
      <w:r>
        <w:rPr>
          <w:rFonts w:hint="default"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rPr>
        <w:t>地理位置图</w:t>
      </w:r>
    </w:p>
    <w:p>
      <w:pPr>
        <w:pStyle w:val="73"/>
        <w:spacing w:beforeLines="50" w:line="360" w:lineRule="auto"/>
        <w:rPr>
          <w:rFonts w:hint="default" w:ascii="Times New Roman" w:hAnsi="Times New Roman" w:eastAsia="宋体" w:cs="Times New Roman"/>
          <w:color w:val="auto"/>
          <w:sz w:val="28"/>
          <w:szCs w:val="28"/>
        </w:rPr>
      </w:pPr>
      <w:bookmarkStart w:id="187" w:name="_Toc440874808"/>
      <w:bookmarkStart w:id="188" w:name="_Toc11087"/>
      <w:bookmarkStart w:id="189" w:name="_Toc441053100"/>
      <w:r>
        <w:rPr>
          <w:rFonts w:hint="default" w:ascii="Times New Roman" w:hAnsi="Times New Roman" w:eastAsia="宋体" w:cs="Times New Roman"/>
          <w:color w:val="auto"/>
          <w:sz w:val="28"/>
          <w:szCs w:val="28"/>
        </w:rPr>
        <w:t>4.1.2气象气候</w:t>
      </w:r>
      <w:bookmarkEnd w:id="187"/>
      <w:bookmarkEnd w:id="188"/>
      <w:bookmarkEnd w:id="189"/>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北票市属于较为典型的寒温带季风气候区。该地区年平均温度为9.41℃，1月份平均温度最低为-9.51℃，7 月份平均温度最高为24.78℃；年平均气压为994.19hPa，7 月份平均气压最低为984.52hPa，1月份平均气压最高为1004.10hPa；年平均相对湿度为 57.72%，12月份平均相对湿度最低为40.11%，7月份平均相对湿度最高为84.09%；年平均风速为2.85m/s，1月份平均风速最低为2.07m/s，5月份平均风速最高为3.51m/s；年平均水汽压为10.97hPa，1月份平均水汽压最低为3.03hPa，7月份平均水汽压最高为25.33hPa；年平均最低气温为3.26℃，1月份平均最低气温最低为-16.57℃，7月份平均最低气温最高为20.79℃；年平均最高气温为15.70℃，1月份平均最高气温最低为-2.92℃，8月份平均最高气温最高为29.47℃。该地区年平均降水量为480mm，12 月份平均降水量最少为1.9mm，7月份平均降水量最多为168mm。</w:t>
      </w:r>
    </w:p>
    <w:p>
      <w:pPr>
        <w:pStyle w:val="73"/>
        <w:spacing w:beforeLines="50" w:line="360" w:lineRule="auto"/>
        <w:rPr>
          <w:rFonts w:hint="default" w:ascii="Times New Roman" w:hAnsi="Times New Roman" w:eastAsia="宋体" w:cs="Times New Roman"/>
          <w:color w:val="auto"/>
          <w:sz w:val="28"/>
          <w:szCs w:val="28"/>
        </w:rPr>
      </w:pPr>
      <w:bookmarkStart w:id="190" w:name="_Toc6071"/>
      <w:r>
        <w:rPr>
          <w:rFonts w:hint="default" w:ascii="Times New Roman" w:hAnsi="Times New Roman" w:eastAsia="宋体" w:cs="Times New Roman"/>
          <w:color w:val="auto"/>
          <w:sz w:val="28"/>
          <w:szCs w:val="28"/>
        </w:rPr>
        <w:t>4.1.3水文</w:t>
      </w:r>
      <w:bookmarkEnd w:id="190"/>
    </w:p>
    <w:p>
      <w:pPr>
        <w:keepNext w:val="0"/>
        <w:keepLines w:val="0"/>
        <w:pageBreakBefore w:val="0"/>
        <w:widowControl w:val="0"/>
        <w:kinsoku/>
        <w:wordWrap/>
        <w:overflowPunct/>
        <w:topLinePunct w:val="0"/>
        <w:autoSpaceDE/>
        <w:autoSpaceDN/>
        <w:bidi w:val="0"/>
        <w:adjustRightInd/>
        <w:snapToGrid/>
        <w:spacing w:line="360" w:lineRule="auto"/>
        <w:ind w:firstLine="460" w:firstLineChars="192"/>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境内主要河流</w:t>
      </w:r>
      <w:r>
        <w:rPr>
          <w:rFonts w:hint="default" w:ascii="Times New Roman" w:hAnsi="Times New Roman" w:eastAsia="宋体" w:cs="Times New Roman"/>
          <w:color w:val="auto"/>
          <w:sz w:val="24"/>
          <w:lang w:val="en-US" w:eastAsia="zh-CN"/>
        </w:rPr>
        <w:t>为</w:t>
      </w:r>
      <w:r>
        <w:rPr>
          <w:rFonts w:hint="default" w:ascii="Times New Roman" w:hAnsi="Times New Roman" w:eastAsia="宋体" w:cs="Times New Roman"/>
          <w:color w:val="auto"/>
          <w:sz w:val="24"/>
          <w:lang w:eastAsia="zh-CN"/>
        </w:rPr>
        <w:t>东官河</w:t>
      </w:r>
      <w:r>
        <w:rPr>
          <w:rFonts w:hint="default" w:ascii="Times New Roman" w:hAnsi="Times New Roman" w:eastAsia="宋体" w:cs="Times New Roman"/>
          <w:color w:val="auto"/>
          <w:sz w:val="24"/>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lang w:val="en-US"/>
        </w:rPr>
      </w:pPr>
      <w:r>
        <w:rPr>
          <w:rFonts w:hint="default" w:ascii="Times New Roman" w:hAnsi="Times New Roman" w:eastAsia="宋体" w:cs="Times New Roman"/>
          <w:color w:val="auto"/>
          <w:sz w:val="24"/>
          <w:lang w:eastAsia="zh-CN"/>
        </w:rPr>
        <w:t>东官河地处朝阳北票市东官营镇，属国家生态建设重点工程区。该河贯穿全镇南北，是东官镇重要河流之一，与大黑山国家森林公园毗邻，不仅肩负着巩固国家流域生态治理成果，引领生态景观型河道修复工程的先行示范的作用，同时肩负着完善区域门户形象，健全生态功能，强化防洪安全的使命。东官河位于辽宁朝阳北票市西北部。北与大黑山特别行政管理区相连，途经东山嘴村、小巴沟村、炮手营子村、东官营村、八里营村、海丰村，南至五间房村，贯穿全镇南北。G305国道、S209省道纵贯全镇，与河道毗邻。东官营河属于大凌河水系，项目区总面积2.28km</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color w:val="auto"/>
          <w:sz w:val="24"/>
          <w:lang w:eastAsia="zh-CN"/>
        </w:rPr>
        <w:t>，治理区域范围长24.5km，最宽部分为110m，最窄部分为30m，平均宽度53m，治理面积1.30km</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color w:val="auto"/>
          <w:sz w:val="24"/>
          <w:lang w:val="en-US" w:eastAsia="zh-CN"/>
        </w:rPr>
        <w:t>。</w:t>
      </w:r>
    </w:p>
    <w:p>
      <w:pPr>
        <w:spacing w:line="360" w:lineRule="auto"/>
        <w:ind w:firstLine="480" w:firstLineChars="200"/>
        <w:rPr>
          <w:rFonts w:hint="default" w:ascii="Times New Roman" w:hAnsi="Times New Roman" w:eastAsia="宋体" w:cs="Times New Roman"/>
          <w:color w:val="auto"/>
          <w:sz w:val="24"/>
        </w:rPr>
        <w:sectPr>
          <w:pgSz w:w="11906" w:h="16838"/>
          <w:pgMar w:top="1417" w:right="1418" w:bottom="1417" w:left="1417"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61"/>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pict>
          <v:shape id="_x0000_s2760" o:spid="_x0000_s2760" o:spt="3" type="#_x0000_t3" style="position:absolute;left:0pt;margin-left:266.5pt;margin-top:146.75pt;height:9pt;width:11pt;z-index:251716608;mso-width-relative:page;mso-height-relative:page;" fillcolor="#FFFF00" filled="t" stroked="t" coordsize="21600,21600">
            <v:path/>
            <v:fill on="t" color2="#FFFFFF" focussize="0,0"/>
            <v:stroke/>
            <v:imagedata o:title=""/>
            <o:lock v:ext="edit" aspectratio="f"/>
          </v:shape>
        </w:pict>
      </w:r>
      <w:r>
        <w:rPr>
          <w:rFonts w:hint="default" w:ascii="Times New Roman" w:hAnsi="Times New Roman" w:eastAsia="宋体" w:cs="Times New Roman"/>
          <w:color w:val="auto"/>
        </w:rPr>
        <w:pict>
          <v:shape id="自选图形 2909" o:spid="_x0000_s2759" o:spt="61" type="#_x0000_t61" style="position:absolute;left:0pt;flip:y;margin-left:306.2pt;margin-top:195.6pt;height:22.65pt;width:50.8pt;z-index:251715584;mso-width-relative:page;mso-height-relative:page;" fillcolor="#FFFFFF" filled="t" stroked="t" coordsize="21600,21600" adj="-11734,58315">
            <v:path/>
            <v:fill on="t" color2="#FFFFFF" focussize="0,0"/>
            <v:stroke color="#000000" joinstyle="miter"/>
            <v:imagedata o:title=""/>
            <o:lock v:ext="edit" aspectratio="f"/>
            <v:textbox inset="0mm,0mm,0mm,0mm">
              <w:txbxContent>
                <w:p>
                  <w:p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本项目</w:t>
                  </w:r>
                </w:p>
              </w:txbxContent>
            </v:textbox>
          </v:shape>
        </w:pict>
      </w:r>
      <w:r>
        <w:rPr>
          <w:rFonts w:hint="default" w:ascii="Times New Roman" w:hAnsi="Times New Roman" w:eastAsia="宋体" w:cs="Times New Roman"/>
          <w:color w:val="auto"/>
          <w:lang w:eastAsia="zh-CN"/>
        </w:rPr>
        <w:drawing>
          <wp:inline distT="0" distB="0" distL="114300" distR="114300">
            <wp:extent cx="6074410" cy="4826000"/>
            <wp:effectExtent l="0" t="0" r="6350" b="5080"/>
            <wp:docPr id="63" name="图片 63" descr="16341135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1634113569(1)"/>
                    <pic:cNvPicPr>
                      <a:picLocks noChangeAspect="1"/>
                    </pic:cNvPicPr>
                  </pic:nvPicPr>
                  <pic:blipFill>
                    <a:blip r:embed="rId37"/>
                    <a:stretch>
                      <a:fillRect/>
                    </a:stretch>
                  </pic:blipFill>
                  <pic:spPr>
                    <a:xfrm>
                      <a:off x="0" y="0"/>
                      <a:ext cx="6074410" cy="4826000"/>
                    </a:xfrm>
                    <a:prstGeom prst="rect">
                      <a:avLst/>
                    </a:prstGeom>
                  </pic:spPr>
                </pic:pic>
              </a:graphicData>
            </a:graphic>
          </wp:inline>
        </w:drawing>
      </w:r>
    </w:p>
    <w:p>
      <w:pPr>
        <w:rPr>
          <w:rFonts w:hint="default" w:ascii="Times New Roman" w:hAnsi="Times New Roman" w:eastAsia="宋体" w:cs="Times New Roman"/>
          <w:color w:val="auto"/>
          <w:lang w:eastAsia="zh-CN"/>
        </w:rPr>
      </w:pPr>
    </w:p>
    <w:p>
      <w:pPr>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图4.1-2  北票市地表水系图</w:t>
      </w:r>
    </w:p>
    <w:p>
      <w:pPr>
        <w:bidi w:val="0"/>
        <w:rPr>
          <w:rFonts w:hint="default"/>
          <w:lang w:eastAsia="zh-CN"/>
        </w:rPr>
        <w:sectPr>
          <w:pgSz w:w="16838" w:h="11906" w:orient="landscape"/>
          <w:pgMar w:top="1474" w:right="1474" w:bottom="1418" w:left="1474"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73"/>
        <w:spacing w:beforeLines="50" w:line="360" w:lineRule="auto"/>
        <w:rPr>
          <w:rFonts w:hint="default" w:ascii="Times New Roman" w:hAnsi="Times New Roman" w:eastAsia="宋体" w:cs="Times New Roman"/>
          <w:color w:val="auto"/>
          <w:sz w:val="28"/>
          <w:szCs w:val="28"/>
        </w:rPr>
      </w:pPr>
      <w:bookmarkStart w:id="191" w:name="_Toc440874810"/>
      <w:bookmarkStart w:id="192" w:name="_Toc10837"/>
      <w:bookmarkStart w:id="193" w:name="_Toc441053102"/>
      <w:r>
        <w:rPr>
          <w:rFonts w:hint="default" w:ascii="Times New Roman" w:hAnsi="Times New Roman" w:eastAsia="宋体" w:cs="Times New Roman"/>
          <w:color w:val="auto"/>
          <w:sz w:val="28"/>
          <w:szCs w:val="28"/>
        </w:rPr>
        <w:t>4.1.4地形、地貌</w:t>
      </w:r>
      <w:bookmarkEnd w:id="191"/>
      <w:bookmarkEnd w:id="192"/>
      <w:bookmarkEnd w:id="19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工作区位于辽宁省西部低山丘陵区，总体地势为北西高，南东低。努鲁儿虎山山脉的大青山脉呈北东向展布于工作区西北边界，与内蒙古自治区敖汉旗、奈曼旗相接，主峰大青山海拔1153.7m。其丘陵山地绝对标高多在300~900m之间。丘陵山区基岩出露面积占工作区70%以上。由于地层岩性，地质构造及各种营力联合作用，形成了西北部峰峦叠嶂，中部低山广布，东南部丘陵起伏的地貌形态，大凌河及其支流河谷呈条带状，树枝状有规律的展布。按形态和成因类型将工作区划分为四种成因类型和六种成因形态类型，现分述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（1）构造剥蚀地形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1）尖顶状、圆顶状中低山</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分布于工作区西北部的努鲁儿虎山、大青山、大黑山、楼子山一带，海拔高度800~1000m，最高峰大青山主峰海拔高度达1153.7m，相对切割深度约500多米，山顶呈尖顶状、圆顶状，山脊线呈锯齿状或波状，山势陡峭，呈陡坡或凸坡，坡角在30~40°，个别达到60°，山间峡谷多呈“V”字形。少数呈“U”字形。岩性为石英岩、火山岩、灰岩、花岗岩、片麻岩、石英二长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2）尖顶状低山</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分布于工作区西部、西北部松岭山、凤凰山、桃花吐山一带，大致呈北东~南西向展布，海拔高度一般在600~800m，相对切割深度在200~500m，山顶多呈尖顶状，少数为圆顶状，山脊线呈锯齿状，山坡呈直陡坡或凸坡，坡角15~30°左右，个别达45°，岩性由石英岩、灰岩、火山岩、砂砾岩、砂页岩组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（2）剥蚀地形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剥蚀地形主要为丘陵，本区分布面积最大。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丘陵主要分布于工作区东南部，东北部及西南部，一般海拔高度小于500m，相对切割深度100~300m，以圆顶状为主，少数为尖顶状、平台状、长梁状，坡角一般小于20°，由砂页岩、砾岩、火山岩等组成。此外丘间比较开阔，往往形成丘间洼地，可见少数基岩冲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（3）剥蚀堆积地形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1）坡洪积扇裙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主要分布于山前或呈条带状分布于河谷的两侧，一般呈不对称分布。坡洪积扇相连起来往往组成扇裙，分布高程变化较大，总的规律是由西北至东南由高变低。扇裙前缘到后缘一般1~2km，个别达5km，向河谷低地倾斜，近山处坡角在5~7°，远山处3~5°。前缘与一、二级阶地河漫滩或山间谷地呈陡坎相接，坎高5~10m，个别达20m，局部呈过渡关系。其上冲沟发育，切割深度变化较大，中部最深可达27m，西北部、东南部较浅，长度一般200~500m，由中、上更新统地层构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2）山间谷地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呈长条状、树枝状分布于山间河谷之中，分布于工作区东南部，一般上游窄，下游宽，长5~20km不等，多向附近河流方向延伸，宽0.5~2.0km，自沟头向河谷沟口处倾斜，谷源有陡坎，横剖面呈“U”字型，地面坡度3~8°，其上多发育季节性河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（4）堆积地形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区内堆积地形为河谷平原，分布于大凌河及其支流河谷，由一、二级阶地、河漫滩组成，平原表面较为开阔平坦，由两侧向河谷微倾。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二级阶地：发育在木头城子~十二台营子、章吉营子，金岭寺亦有零星分布，宽度变化较大，断续分布，由0.5~1km到数十米。河流两侧不对称，前缘与一级阶地陡坎相接，坎高4~6m，后缘与坡洪积扇呈过渡关系，与基岩界线清楚，阶地面较平坦，微向河谷倾斜，坡角1~3°，其上发育小冲沟，由上更新统下部冲洪积物组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一级阶地：最发育地段为大凌河河谷，其支谷较差，宽0.5~2km，个别宽达4~5km，窄处只有几十米或根本不发育，两侧不对称，阶地前缘与河漫滩、河床多呈陡坎相接，坎高0.5~3.5m，个别为缓坡相接，后缘与二级阶地、坡洪积扇或基岩接触，阶地面平坦，微向河谷倾斜，坡角约1~2°。</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河漫滩：呈条带状不对称发育在河床两侧，局部见有河心滩，宽度变化大，尤其支流河谷更甚，一般0.5~1km，支流上游较窄，小于0.5km，其上起伏不平，前缘与河床呈过渡关系或以0.5m陡坎相接，后缘与一级阶地，坡洪积扇裙、基岩接触。</w:t>
      </w:r>
    </w:p>
    <w:p>
      <w:pPr>
        <w:spacing w:line="360" w:lineRule="auto"/>
        <w:ind w:firstLine="480" w:firstLineChars="200"/>
        <w:rPr>
          <w:rFonts w:hint="default" w:ascii="Times New Roman" w:hAnsi="Times New Roman" w:eastAsia="宋体" w:cs="Times New Roman"/>
          <w:color w:val="auto"/>
          <w:sz w:val="24"/>
        </w:rPr>
      </w:pPr>
    </w:p>
    <w:p>
      <w:pPr>
        <w:spacing w:line="360" w:lineRule="auto"/>
        <w:jc w:val="center"/>
        <w:rPr>
          <w:rFonts w:hint="default" w:ascii="Times New Roman" w:hAnsi="Times New Roman" w:eastAsia="宋体" w:cs="Times New Roman"/>
          <w:color w:val="auto"/>
          <w:sz w:val="24"/>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rPr>
      </w:pPr>
      <w:r>
        <w:rPr>
          <w:rFonts w:hint="default" w:ascii="Times New Roman" w:hAnsi="Times New Roman" w:eastAsia="宋体" w:cs="Times New Roman"/>
          <w:b/>
          <w:color w:val="auto"/>
        </w:rPr>
        <w:pict>
          <v:shape id="自选图形 2474" o:spid="_x0000_s2494" o:spt="62" type="#_x0000_t62" style="position:absolute;left:0pt;margin-left:230.7pt;margin-top:89.1pt;height:22.05pt;width:85.95pt;z-index:251691008;mso-width-relative:page;mso-height-relative:page;" coordsize="21600,21600" adj="-1005,38106">
            <v:path/>
            <v:fill focussize="0,0"/>
            <v:stroke joinstyle="miter"/>
            <v:imagedata o:title=""/>
            <o:lock v:ext="edit"/>
            <v:textbox>
              <w:txbxContent>
                <w:p>
                  <w:r>
                    <w:rPr>
                      <w:rFonts w:hint="eastAsia"/>
                    </w:rPr>
                    <w:t>本项目所在地</w:t>
                  </w:r>
                </w:p>
              </w:txbxContent>
            </v:textbox>
          </v:shape>
        </w:pict>
      </w:r>
      <w:r>
        <w:rPr>
          <w:rFonts w:hint="default" w:ascii="Times New Roman" w:hAnsi="Times New Roman" w:eastAsia="宋体" w:cs="Times New Roman"/>
          <w:b/>
          <w:color w:val="auto"/>
        </w:rPr>
        <w:pict>
          <v:rect id="矩形 2475" o:spid="_x0000_s2495" o:spt="1" style="position:absolute;left:0pt;margin-left:220.1pt;margin-top:126.95pt;height:7.15pt;width:7.15pt;z-index:251689984;mso-width-relative:page;mso-height-relative:page;" fillcolor="#FF0000" filled="t" coordsize="21600,21600">
            <v:path/>
            <v:fill on="t" focussize="0,0"/>
            <v:stroke/>
            <v:imagedata o:title=""/>
            <o:lock v:ext="edit"/>
          </v:rect>
        </w:pict>
      </w:r>
      <w:r>
        <w:rPr>
          <w:rFonts w:hint="default" w:ascii="Times New Roman" w:hAnsi="Times New Roman" w:eastAsia="宋体" w:cs="Times New Roman"/>
          <w:b/>
          <w:color w:val="auto"/>
        </w:rPr>
        <w:drawing>
          <wp:anchor distT="0" distB="0" distL="114300" distR="114300" simplePos="0" relativeHeight="251688960" behindDoc="0" locked="0" layoutInCell="1" allowOverlap="1">
            <wp:simplePos x="0" y="0"/>
            <wp:positionH relativeFrom="column">
              <wp:posOffset>16510</wp:posOffset>
            </wp:positionH>
            <wp:positionV relativeFrom="paragraph">
              <wp:posOffset>7620</wp:posOffset>
            </wp:positionV>
            <wp:extent cx="808990" cy="3239135"/>
            <wp:effectExtent l="0" t="0" r="13970" b="6985"/>
            <wp:wrapNone/>
            <wp:docPr id="1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0"/>
                    <pic:cNvPicPr>
                      <a:picLocks noChangeAspect="1"/>
                    </pic:cNvPicPr>
                  </pic:nvPicPr>
                  <pic:blipFill>
                    <a:blip r:embed="rId38"/>
                    <a:stretch>
                      <a:fillRect/>
                    </a:stretch>
                  </pic:blipFill>
                  <pic:spPr>
                    <a:xfrm>
                      <a:off x="0" y="0"/>
                      <a:ext cx="808990" cy="3239135"/>
                    </a:xfrm>
                    <a:prstGeom prst="rect">
                      <a:avLst/>
                    </a:prstGeom>
                    <a:noFill/>
                    <a:ln>
                      <a:noFill/>
                    </a:ln>
                  </pic:spPr>
                </pic:pic>
              </a:graphicData>
            </a:graphic>
          </wp:anchor>
        </w:drawing>
      </w:r>
      <w:r>
        <w:rPr>
          <w:rFonts w:hint="default" w:ascii="Times New Roman" w:hAnsi="Times New Roman" w:eastAsia="宋体" w:cs="Times New Roman"/>
          <w:b/>
          <w:color w:val="auto"/>
        </w:rPr>
        <w:drawing>
          <wp:inline distT="0" distB="0" distL="114300" distR="114300">
            <wp:extent cx="5278755" cy="3251200"/>
            <wp:effectExtent l="0" t="0" r="9525" b="10160"/>
            <wp:docPr id="16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6"/>
                    <pic:cNvPicPr>
                      <a:picLocks noChangeAspect="1"/>
                    </pic:cNvPicPr>
                  </pic:nvPicPr>
                  <pic:blipFill>
                    <a:blip r:embed="rId39"/>
                    <a:stretch>
                      <a:fillRect/>
                    </a:stretch>
                  </pic:blipFill>
                  <pic:spPr>
                    <a:xfrm>
                      <a:off x="0" y="0"/>
                      <a:ext cx="5278755" cy="32512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color w:val="auto"/>
          <w:sz w:val="24"/>
          <w:szCs w:val="24"/>
        </w:rPr>
        <w:t>图</w:t>
      </w:r>
      <w:r>
        <w:rPr>
          <w:rFonts w:hint="default" w:ascii="Times New Roman" w:hAnsi="Times New Roman" w:eastAsia="宋体" w:cs="Times New Roman"/>
          <w:b/>
          <w:color w:val="auto"/>
          <w:sz w:val="24"/>
          <w:szCs w:val="24"/>
          <w:lang w:val="en-US" w:eastAsia="zh-CN"/>
        </w:rPr>
        <w:t>4.1-3</w:t>
      </w:r>
      <w:r>
        <w:rPr>
          <w:rFonts w:hint="default" w:ascii="Times New Roman" w:hAnsi="Times New Roman" w:eastAsia="宋体" w:cs="Times New Roman"/>
          <w:b/>
          <w:color w:val="auto"/>
          <w:sz w:val="24"/>
          <w:szCs w:val="24"/>
        </w:rPr>
        <w:t xml:space="preserve">  区域地貌简图</w:t>
      </w:r>
    </w:p>
    <w:p>
      <w:pPr>
        <w:pStyle w:val="73"/>
        <w:spacing w:beforeLines="50" w:line="360" w:lineRule="auto"/>
        <w:rPr>
          <w:rFonts w:hint="default" w:ascii="Times New Roman" w:hAnsi="Times New Roman" w:eastAsia="宋体" w:cs="Times New Roman"/>
          <w:color w:val="auto"/>
          <w:sz w:val="28"/>
          <w:szCs w:val="28"/>
          <w:lang w:val="en-US" w:eastAsia="zh-CN"/>
        </w:rPr>
      </w:pPr>
      <w:bookmarkStart w:id="194" w:name="_Toc22448"/>
      <w:bookmarkStart w:id="195" w:name="_Toc440874811"/>
      <w:bookmarkStart w:id="196" w:name="_Toc441053103"/>
      <w:r>
        <w:rPr>
          <w:rFonts w:hint="default" w:ascii="Times New Roman" w:hAnsi="Times New Roman" w:eastAsia="宋体" w:cs="Times New Roman"/>
          <w:color w:val="auto"/>
          <w:sz w:val="28"/>
          <w:szCs w:val="28"/>
          <w:lang w:val="en-US" w:eastAsia="zh-CN"/>
        </w:rPr>
        <w:t>4.1.5</w:t>
      </w:r>
      <w:r>
        <w:rPr>
          <w:rFonts w:hint="default" w:ascii="Times New Roman" w:hAnsi="Times New Roman" w:eastAsia="宋体" w:cs="Times New Roman"/>
          <w:color w:val="auto"/>
          <w:sz w:val="28"/>
          <w:szCs w:val="28"/>
        </w:rPr>
        <w:t>区域地质与构造</w:t>
      </w:r>
      <w:bookmarkEnd w:id="194"/>
    </w:p>
    <w:p>
      <w:pPr>
        <w:keepNext w:val="0"/>
        <w:keepLines w:val="0"/>
        <w:pageBreakBefore w:val="0"/>
        <w:widowControl w:val="0"/>
        <w:kinsoku/>
        <w:wordWrap/>
        <w:overflowPunct/>
        <w:topLinePunct w:val="0"/>
        <w:autoSpaceDE/>
        <w:autoSpaceDN/>
        <w:bidi w:val="0"/>
        <w:adjustRightInd/>
        <w:snapToGrid/>
        <w:spacing w:line="360" w:lineRule="auto"/>
        <w:ind w:firstLine="424" w:firstLineChars="177"/>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北票市地处内蒙古和燕山地槽两大地质单元之间，地层有古老的太古界建平群、震旦亚界、古生界和第四系地层。太古界建平群大部分是经过强烈变质的片麻岩、石英岩类，占全市面积的1/3。主要分布在西部和北部各乡镇。中生代的两个构造盆地，即北票—哈尔脑盆地和金岭寺—羊山盆地，成陆相沉积，岩石组成主要有砂岩、页岩和部分火山熔岩、安山岩、玄武岩和石灰岩等，占全市面积的2/3。北票煤田产于中生界地层，集中分布在北票市周围。砂页岩主要分布在东部和南部，石灰岩和白云岩分布在北票市区的周围。</w:t>
      </w:r>
    </w:p>
    <w:p>
      <w:pPr>
        <w:keepNext w:val="0"/>
        <w:keepLines w:val="0"/>
        <w:pageBreakBefore w:val="0"/>
        <w:widowControl w:val="0"/>
        <w:kinsoku/>
        <w:wordWrap/>
        <w:overflowPunct/>
        <w:topLinePunct w:val="0"/>
        <w:autoSpaceDE/>
        <w:autoSpaceDN/>
        <w:bidi w:val="0"/>
        <w:adjustRightInd/>
        <w:snapToGrid/>
        <w:spacing w:line="360" w:lineRule="auto"/>
        <w:ind w:firstLine="460" w:firstLineChars="192"/>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（1）前第四纪地层</w:t>
      </w:r>
    </w:p>
    <w:p>
      <w:pPr>
        <w:keepNext w:val="0"/>
        <w:keepLines w:val="0"/>
        <w:pageBreakBefore w:val="0"/>
        <w:widowControl w:val="0"/>
        <w:kinsoku/>
        <w:wordWrap/>
        <w:overflowPunct/>
        <w:topLinePunct w:val="0"/>
        <w:autoSpaceDE/>
        <w:autoSpaceDN/>
        <w:bidi w:val="0"/>
        <w:adjustRightInd/>
        <w:snapToGrid/>
        <w:spacing w:line="360" w:lineRule="auto"/>
        <w:ind w:firstLine="460" w:firstLineChars="192"/>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工作区前第四纪地层出露较为齐全，且分布面积较广，太古宇、元古宇、古生界、中生届地层均有不同程度的出露。以中生届地层分布最为广泛，岩性以中基性熔岩及火山碎屑岩、砾岩、砂岩为主。太古宇建平群以片麻岩为主，分布于西北部；元古宇长城系和蓟县系出露较为齐全，岩性以石英砂岩、白云岩、燧石条带白云岩为主，分布在工作区西部及中部；古生界小面积出露于大凌河两侧，岩性为白云质灰岩、砾岩、砂岩等。</w:t>
      </w:r>
    </w:p>
    <w:p>
      <w:pPr>
        <w:keepNext w:val="0"/>
        <w:keepLines w:val="0"/>
        <w:pageBreakBefore w:val="0"/>
        <w:widowControl w:val="0"/>
        <w:kinsoku/>
        <w:wordWrap/>
        <w:overflowPunct/>
        <w:topLinePunct w:val="0"/>
        <w:autoSpaceDE/>
        <w:autoSpaceDN/>
        <w:bidi w:val="0"/>
        <w:adjustRightInd/>
        <w:snapToGrid/>
        <w:spacing w:line="360" w:lineRule="auto"/>
        <w:ind w:firstLine="460" w:firstLineChars="192"/>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（2）第四纪（Q）地层</w:t>
      </w:r>
    </w:p>
    <w:p>
      <w:pPr>
        <w:keepNext w:val="0"/>
        <w:keepLines w:val="0"/>
        <w:pageBreakBefore w:val="0"/>
        <w:widowControl w:val="0"/>
        <w:kinsoku/>
        <w:wordWrap/>
        <w:overflowPunct/>
        <w:topLinePunct w:val="0"/>
        <w:autoSpaceDE/>
        <w:autoSpaceDN/>
        <w:bidi w:val="0"/>
        <w:adjustRightInd/>
        <w:snapToGrid/>
        <w:spacing w:line="360" w:lineRule="auto"/>
        <w:ind w:firstLine="460" w:firstLineChars="192"/>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工作区第四系主要分布于河谷平原、山间谷地及山前坡洪积扇裙区，地层出露比较齐全，时代齐全，成因类型比较复杂。</w:t>
      </w:r>
    </w:p>
    <w:p>
      <w:pPr>
        <w:keepNext w:val="0"/>
        <w:keepLines w:val="0"/>
        <w:pageBreakBefore w:val="0"/>
        <w:widowControl w:val="0"/>
        <w:kinsoku/>
        <w:wordWrap/>
        <w:overflowPunct/>
        <w:topLinePunct w:val="0"/>
        <w:autoSpaceDE/>
        <w:autoSpaceDN/>
        <w:bidi w:val="0"/>
        <w:adjustRightInd/>
        <w:snapToGrid/>
        <w:spacing w:line="360" w:lineRule="auto"/>
        <w:ind w:firstLine="460" w:firstLineChars="192"/>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（3）侵入岩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bCs/>
          <w:color w:val="auto"/>
          <w:sz w:val="24"/>
        </w:rPr>
        <w:t>工作区侵入岩多期次侵入，从太古宙~元古宙的鞍山旋回至中生代的燕山旋回侵入岩体分四期不同程度出露。其中华力西晚期在本区活动强烈，分布面积广，岩体规模大，其它期侵入岩相对规模较小。</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drawing>
          <wp:inline distT="0" distB="0" distL="114300" distR="114300">
            <wp:extent cx="5292090" cy="3025140"/>
            <wp:effectExtent l="0" t="0" r="11430" b="7620"/>
            <wp:docPr id="16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27"/>
                    <pic:cNvPicPr>
                      <a:picLocks noChangeAspect="1"/>
                    </pic:cNvPicPr>
                  </pic:nvPicPr>
                  <pic:blipFill>
                    <a:blip r:embed="rId40"/>
                    <a:stretch>
                      <a:fillRect/>
                    </a:stretch>
                  </pic:blipFill>
                  <pic:spPr>
                    <a:xfrm>
                      <a:off x="0" y="0"/>
                      <a:ext cx="5292090" cy="30251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图</w:t>
      </w:r>
      <w:r>
        <w:rPr>
          <w:rFonts w:hint="default" w:ascii="Times New Roman" w:hAnsi="Times New Roman" w:eastAsia="宋体" w:cs="Times New Roman"/>
          <w:b/>
          <w:color w:val="auto"/>
          <w:sz w:val="24"/>
          <w:szCs w:val="24"/>
          <w:lang w:val="en-US" w:eastAsia="zh-CN"/>
        </w:rPr>
        <w:t>4.1-4</w:t>
      </w:r>
      <w:r>
        <w:rPr>
          <w:rFonts w:hint="default" w:ascii="Times New Roman" w:hAnsi="Times New Roman" w:eastAsia="宋体" w:cs="Times New Roman"/>
          <w:b/>
          <w:color w:val="auto"/>
          <w:sz w:val="24"/>
          <w:szCs w:val="24"/>
        </w:rPr>
        <w:t xml:space="preserve"> 区域第四系综合柱状图</w:t>
      </w:r>
    </w:p>
    <w:p>
      <w:pPr>
        <w:pStyle w:val="73"/>
        <w:spacing w:beforeLines="50" w:line="360" w:lineRule="auto"/>
        <w:rPr>
          <w:rFonts w:hint="default" w:ascii="Times New Roman" w:hAnsi="Times New Roman" w:eastAsia="宋体" w:cs="Times New Roman"/>
          <w:color w:val="auto"/>
          <w:sz w:val="28"/>
          <w:szCs w:val="28"/>
          <w:lang w:val="en-US" w:eastAsia="zh-CN"/>
        </w:rPr>
      </w:pPr>
      <w:bookmarkStart w:id="197" w:name="_Toc6636"/>
      <w:r>
        <w:rPr>
          <w:rFonts w:hint="default" w:ascii="Times New Roman" w:hAnsi="Times New Roman" w:eastAsia="宋体" w:cs="Times New Roman"/>
          <w:color w:val="auto"/>
          <w:sz w:val="28"/>
          <w:szCs w:val="28"/>
          <w:lang w:val="en-US" w:eastAsia="zh-CN"/>
        </w:rPr>
        <w:t>4.1.6植被、生物多样性</w:t>
      </w:r>
      <w:bookmarkEnd w:id="195"/>
      <w:bookmarkEnd w:id="196"/>
      <w:bookmarkEnd w:id="197"/>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 xml:space="preserve">北票市境内植被为半干旱暖温带落叶阔叶林带，属华北植物区与蒙古草原相毗邻的边缘部分，向北过渡到干旱草原带，有较多的蒙古区系植物侵入。由于长期的人为干扰，原始植被破坏殆尽，现状植被主要是天然次生林、多带次生林和人工林，及其半生的地被物，植被类型主要为针叶林、真阔混交林、灌丛等。主要树种以刺槐、油松、山杏为主，国槐、马尾松、侧柏、小叶杨、馒头柳、圆头柳等也有分布。灌区主要有自然生长的荆条及人工栽植的沙棘、小叶锦鸡等。农作物主要有玉米、谷子等。野生草种以狗尾草、马蔺草、蒲公英、燕麦草、披碱草等为主，牧草有沙大旺、紫花苜蓿等。 </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区内土壤成土母质为黄土或红土层及各类母岩的风华物，区内地带性土壤类型以褐土为主要土类，非地带性土壤类型主要为冲积土，分布于谷地平原地带，土层深厚，肥力较高，土质疏松，粒状结构，多具有返潮、性暖，肥效大，宜种性广等特点。土壤表层pH质约为6.5—7.7。土壤肥力适中。林草覆盖率30%左右。该区域内无珍稀、濒危野生动植物，植被覆盖率40%左右。</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项目所在区为落叶阔叶林带。植被主要为针叶林，针阔混交林、灌丛；主要树种以刺槐、油松、山杏为主，国槐、马尾松、侧柏、小叶杨也有分布，草本植物主要有黄白草、野古草、隐子草、蒿类等；区内果树主要有苹果、梨、桃、李、杏等。</w:t>
      </w:r>
    </w:p>
    <w:p>
      <w:pPr>
        <w:keepNext/>
        <w:keepLines/>
        <w:tabs>
          <w:tab w:val="left" w:pos="432"/>
        </w:tabs>
        <w:spacing w:beforeLines="50" w:line="360" w:lineRule="auto"/>
        <w:outlineLvl w:val="1"/>
        <w:rPr>
          <w:rFonts w:hint="default" w:ascii="Times New Roman" w:hAnsi="Times New Roman" w:eastAsia="宋体" w:cs="Times New Roman"/>
          <w:color w:val="auto"/>
          <w:sz w:val="28"/>
          <w:szCs w:val="28"/>
          <w:highlight w:val="none"/>
        </w:rPr>
      </w:pPr>
      <w:bookmarkStart w:id="198" w:name="_Toc17511"/>
      <w:r>
        <w:rPr>
          <w:rFonts w:hint="default" w:ascii="Times New Roman" w:hAnsi="Times New Roman" w:eastAsia="宋体" w:cs="Times New Roman"/>
          <w:b/>
          <w:color w:val="auto"/>
          <w:sz w:val="28"/>
          <w:highlight w:val="none"/>
        </w:rPr>
        <w:t>4.2环境质量现状调查与评价</w:t>
      </w:r>
      <w:bookmarkEnd w:id="198"/>
    </w:p>
    <w:p>
      <w:pPr>
        <w:spacing w:beforeLines="50" w:line="360" w:lineRule="auto"/>
        <w:outlineLvl w:val="2"/>
        <w:rPr>
          <w:rFonts w:hint="default" w:ascii="Times New Roman" w:hAnsi="Times New Roman" w:eastAsia="宋体" w:cs="Times New Roman"/>
          <w:b/>
          <w:color w:val="auto"/>
          <w:sz w:val="28"/>
          <w:szCs w:val="28"/>
        </w:rPr>
      </w:pPr>
      <w:bookmarkStart w:id="199" w:name="_Toc476639446"/>
      <w:bookmarkStart w:id="200" w:name="_Toc476553961"/>
      <w:bookmarkStart w:id="201" w:name="_Toc476225013"/>
      <w:bookmarkStart w:id="202" w:name="_Toc478038835"/>
      <w:bookmarkStart w:id="203" w:name="_Toc478394793"/>
      <w:r>
        <w:rPr>
          <w:rFonts w:hint="default" w:ascii="Times New Roman" w:hAnsi="Times New Roman" w:eastAsia="宋体" w:cs="Times New Roman"/>
          <w:b/>
          <w:color w:val="auto"/>
          <w:sz w:val="28"/>
          <w:szCs w:val="28"/>
        </w:rPr>
        <w:t>4.2.1环境空气质量现状调查与评价</w:t>
      </w:r>
      <w:bookmarkEnd w:id="199"/>
      <w:bookmarkEnd w:id="200"/>
      <w:bookmarkEnd w:id="201"/>
      <w:bookmarkEnd w:id="202"/>
      <w:bookmarkEnd w:id="203"/>
    </w:p>
    <w:p>
      <w:pPr>
        <w:spacing w:beforeLines="50" w:line="360" w:lineRule="auto"/>
        <w:ind w:firstLine="480" w:firstLineChars="200"/>
        <w:rPr>
          <w:rFonts w:hint="default" w:ascii="Times New Roman" w:hAnsi="Times New Roman" w:eastAsia="宋体" w:cs="Times New Roman"/>
          <w:color w:val="auto"/>
          <w:sz w:val="24"/>
        </w:rPr>
      </w:pPr>
      <w:bookmarkStart w:id="204" w:name="_Toc478394794"/>
      <w:bookmarkStart w:id="205" w:name="_Toc476225019"/>
      <w:bookmarkStart w:id="206" w:name="_Toc478038836"/>
      <w:bookmarkStart w:id="207" w:name="_Toc476639447"/>
      <w:bookmarkStart w:id="208" w:name="_Toc476553962"/>
      <w:bookmarkStart w:id="209" w:name="_Toc400617552"/>
      <w:bookmarkStart w:id="210" w:name="_Toc82148561"/>
      <w:bookmarkStart w:id="211" w:name="_Toc6997250"/>
      <w:bookmarkStart w:id="212" w:name="_Toc447592067"/>
      <w:bookmarkStart w:id="213" w:name="_Toc515960839"/>
      <w:bookmarkStart w:id="214" w:name="_Toc239233124"/>
      <w:bookmarkStart w:id="215" w:name="_Toc355284883"/>
      <w:r>
        <w:rPr>
          <w:rFonts w:hint="default" w:ascii="Times New Roman" w:hAnsi="Times New Roman" w:eastAsia="宋体" w:cs="Times New Roman"/>
          <w:color w:val="auto"/>
          <w:sz w:val="24"/>
        </w:rPr>
        <w:t>（1）</w:t>
      </w:r>
      <w:r>
        <w:rPr>
          <w:rFonts w:hint="default" w:ascii="Times New Roman" w:hAnsi="Times New Roman" w:eastAsia="宋体" w:cs="Times New Roman"/>
          <w:color w:val="auto"/>
          <w:sz w:val="24"/>
          <w:lang w:eastAsia="zh-CN"/>
        </w:rPr>
        <w:t>区域达标判定</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本项目位于</w:t>
      </w:r>
      <w:r>
        <w:rPr>
          <w:rFonts w:hint="default" w:ascii="Times New Roman" w:hAnsi="Times New Roman" w:eastAsia="宋体" w:cs="Times New Roman"/>
          <w:bCs/>
          <w:color w:val="auto"/>
          <w:sz w:val="24"/>
        </w:rPr>
        <w:t>朝阳北票</w:t>
      </w:r>
      <w:r>
        <w:rPr>
          <w:rFonts w:hint="eastAsia" w:ascii="Times New Roman" w:hAnsi="Times New Roman" w:eastAsia="宋体" w:cs="Times New Roman"/>
          <w:bCs/>
          <w:color w:val="auto"/>
          <w:sz w:val="24"/>
          <w:lang w:eastAsia="zh-CN"/>
        </w:rPr>
        <w:t>市</w:t>
      </w:r>
      <w:r>
        <w:rPr>
          <w:rFonts w:hint="default" w:ascii="Times New Roman" w:hAnsi="Times New Roman" w:eastAsia="宋体" w:cs="Times New Roman"/>
          <w:color w:val="auto"/>
          <w:sz w:val="24"/>
        </w:rPr>
        <w:t>，执行《环境空气质量标准》（GB3095-2012）中二级标准及修改单，根据朝阳市生态环境局公布的朝阳市2020年空气质量状况，朝阳市环境空气质量现状见表</w:t>
      </w:r>
      <w:r>
        <w:rPr>
          <w:rFonts w:hint="default" w:ascii="Times New Roman" w:hAnsi="Times New Roman" w:eastAsia="宋体" w:cs="Times New Roman"/>
          <w:color w:val="auto"/>
          <w:sz w:val="24"/>
          <w:lang w:val="en-US" w:eastAsia="zh-CN"/>
        </w:rPr>
        <w:t>4.2-1</w:t>
      </w:r>
      <w:r>
        <w:rPr>
          <w:rFonts w:hint="default" w:ascii="Times New Roman" w:hAnsi="Times New Roman" w:eastAsia="宋体" w:cs="Times New Roman"/>
          <w:color w:val="auto"/>
          <w:sz w:val="24"/>
        </w:rPr>
        <w:t>。</w:t>
      </w:r>
    </w:p>
    <w:p>
      <w:pPr>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w:t>
      </w:r>
      <w:r>
        <w:rPr>
          <w:rFonts w:hint="default" w:ascii="Times New Roman" w:hAnsi="Times New Roman" w:eastAsia="宋体" w:cs="Times New Roman"/>
          <w:color w:val="auto"/>
          <w:sz w:val="24"/>
          <w:lang w:val="en-US" w:eastAsia="zh-CN"/>
        </w:rPr>
        <w:t>4.2-1</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 xml:space="preserve"> 区域环境空气质量现状</w:t>
      </w:r>
    </w:p>
    <w:tbl>
      <w:tblPr>
        <w:tblStyle w:val="51"/>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8"/>
        <w:gridCol w:w="3105"/>
        <w:gridCol w:w="1901"/>
        <w:gridCol w:w="1870"/>
        <w:gridCol w:w="13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6"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污染物</w:t>
            </w:r>
          </w:p>
        </w:tc>
        <w:tc>
          <w:tcPr>
            <w:tcW w:w="1672"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年评价指标</w:t>
            </w:r>
          </w:p>
        </w:tc>
        <w:tc>
          <w:tcPr>
            <w:tcW w:w="1024" w:type="pct"/>
            <w:noWrap w:val="0"/>
            <w:vAlign w:val="center"/>
          </w:tcPr>
          <w:p>
            <w:pPr>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现状浓度μg/m</w:t>
            </w:r>
            <w:r>
              <w:rPr>
                <w:rFonts w:hint="default" w:ascii="Times New Roman" w:hAnsi="Times New Roman" w:eastAsia="宋体" w:cs="Times New Roman"/>
                <w:bCs/>
                <w:color w:val="auto"/>
                <w:kern w:val="0"/>
                <w:szCs w:val="21"/>
                <w:vertAlign w:val="superscript"/>
              </w:rPr>
              <w:t>3</w:t>
            </w:r>
          </w:p>
        </w:tc>
        <w:tc>
          <w:tcPr>
            <w:tcW w:w="1007" w:type="pct"/>
            <w:noWrap w:val="0"/>
            <w:vAlign w:val="center"/>
          </w:tcPr>
          <w:p>
            <w:pPr>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标准值μg/m</w:t>
            </w:r>
            <w:r>
              <w:rPr>
                <w:rFonts w:hint="default" w:ascii="Times New Roman" w:hAnsi="Times New Roman" w:eastAsia="宋体" w:cs="Times New Roman"/>
                <w:bCs/>
                <w:color w:val="auto"/>
                <w:kern w:val="0"/>
                <w:szCs w:val="21"/>
                <w:vertAlign w:val="superscript"/>
              </w:rPr>
              <w:t>3</w:t>
            </w:r>
          </w:p>
        </w:tc>
        <w:tc>
          <w:tcPr>
            <w:tcW w:w="709"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6"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PM</w:t>
            </w:r>
            <w:r>
              <w:rPr>
                <w:rFonts w:hint="default" w:ascii="Times New Roman" w:hAnsi="Times New Roman" w:eastAsia="宋体" w:cs="Times New Roman"/>
                <w:bCs/>
                <w:color w:val="auto"/>
                <w:kern w:val="0"/>
                <w:sz w:val="21"/>
                <w:szCs w:val="21"/>
                <w:vertAlign w:val="subscript"/>
              </w:rPr>
              <w:t>2.5</w:t>
            </w:r>
          </w:p>
        </w:tc>
        <w:tc>
          <w:tcPr>
            <w:tcW w:w="1672"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年平均质量浓度</w:t>
            </w:r>
          </w:p>
        </w:tc>
        <w:tc>
          <w:tcPr>
            <w:tcW w:w="1024" w:type="pct"/>
            <w:noWrap w:val="0"/>
            <w:vAlign w:val="center"/>
          </w:tcPr>
          <w:p>
            <w:pPr>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35</w:t>
            </w:r>
          </w:p>
        </w:tc>
        <w:tc>
          <w:tcPr>
            <w:tcW w:w="1007" w:type="pct"/>
            <w:noWrap w:val="0"/>
            <w:vAlign w:val="center"/>
          </w:tcPr>
          <w:p>
            <w:pPr>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35</w:t>
            </w:r>
          </w:p>
        </w:tc>
        <w:tc>
          <w:tcPr>
            <w:tcW w:w="709"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6"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PM</w:t>
            </w:r>
            <w:r>
              <w:rPr>
                <w:rFonts w:hint="default" w:ascii="Times New Roman" w:hAnsi="Times New Roman" w:eastAsia="宋体" w:cs="Times New Roman"/>
                <w:bCs/>
                <w:color w:val="auto"/>
                <w:kern w:val="0"/>
                <w:sz w:val="21"/>
                <w:szCs w:val="21"/>
                <w:vertAlign w:val="subscript"/>
              </w:rPr>
              <w:t>10</w:t>
            </w:r>
          </w:p>
        </w:tc>
        <w:tc>
          <w:tcPr>
            <w:tcW w:w="1672"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年平均质量浓度</w:t>
            </w:r>
          </w:p>
        </w:tc>
        <w:tc>
          <w:tcPr>
            <w:tcW w:w="1024" w:type="pct"/>
            <w:noWrap w:val="0"/>
            <w:vAlign w:val="center"/>
          </w:tcPr>
          <w:p>
            <w:pPr>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66</w:t>
            </w:r>
          </w:p>
        </w:tc>
        <w:tc>
          <w:tcPr>
            <w:tcW w:w="1007" w:type="pct"/>
            <w:noWrap w:val="0"/>
            <w:vAlign w:val="center"/>
          </w:tcPr>
          <w:p>
            <w:pPr>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70</w:t>
            </w:r>
          </w:p>
        </w:tc>
        <w:tc>
          <w:tcPr>
            <w:tcW w:w="709"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6"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SO</w:t>
            </w:r>
            <w:r>
              <w:rPr>
                <w:rFonts w:hint="default" w:ascii="Times New Roman" w:hAnsi="Times New Roman" w:eastAsia="宋体" w:cs="Times New Roman"/>
                <w:bCs/>
                <w:color w:val="auto"/>
                <w:kern w:val="0"/>
                <w:sz w:val="21"/>
                <w:szCs w:val="21"/>
                <w:vertAlign w:val="subscript"/>
              </w:rPr>
              <w:t>2</w:t>
            </w:r>
          </w:p>
        </w:tc>
        <w:tc>
          <w:tcPr>
            <w:tcW w:w="1672"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年平均质量浓度</w:t>
            </w:r>
          </w:p>
        </w:tc>
        <w:tc>
          <w:tcPr>
            <w:tcW w:w="1024" w:type="pct"/>
            <w:noWrap w:val="0"/>
            <w:vAlign w:val="center"/>
          </w:tcPr>
          <w:p>
            <w:pPr>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15</w:t>
            </w:r>
          </w:p>
        </w:tc>
        <w:tc>
          <w:tcPr>
            <w:tcW w:w="1007" w:type="pct"/>
            <w:noWrap w:val="0"/>
            <w:vAlign w:val="center"/>
          </w:tcPr>
          <w:p>
            <w:pPr>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60</w:t>
            </w:r>
          </w:p>
        </w:tc>
        <w:tc>
          <w:tcPr>
            <w:tcW w:w="709"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6"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NO</w:t>
            </w:r>
            <w:r>
              <w:rPr>
                <w:rFonts w:hint="default" w:ascii="Times New Roman" w:hAnsi="Times New Roman" w:eastAsia="宋体" w:cs="Times New Roman"/>
                <w:bCs/>
                <w:color w:val="auto"/>
                <w:kern w:val="0"/>
                <w:sz w:val="21"/>
                <w:szCs w:val="21"/>
                <w:vertAlign w:val="subscript"/>
              </w:rPr>
              <w:t>2</w:t>
            </w:r>
          </w:p>
        </w:tc>
        <w:tc>
          <w:tcPr>
            <w:tcW w:w="1672"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年平均质量浓度</w:t>
            </w:r>
          </w:p>
        </w:tc>
        <w:tc>
          <w:tcPr>
            <w:tcW w:w="1024" w:type="pct"/>
            <w:noWrap w:val="0"/>
            <w:vAlign w:val="center"/>
          </w:tcPr>
          <w:p>
            <w:pPr>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21</w:t>
            </w:r>
          </w:p>
        </w:tc>
        <w:tc>
          <w:tcPr>
            <w:tcW w:w="1007" w:type="pct"/>
            <w:noWrap w:val="0"/>
            <w:vAlign w:val="center"/>
          </w:tcPr>
          <w:p>
            <w:pPr>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40</w:t>
            </w:r>
          </w:p>
        </w:tc>
        <w:tc>
          <w:tcPr>
            <w:tcW w:w="709"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6"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CO</w:t>
            </w:r>
          </w:p>
        </w:tc>
        <w:tc>
          <w:tcPr>
            <w:tcW w:w="1672"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百分位浓度</w:t>
            </w:r>
          </w:p>
        </w:tc>
        <w:tc>
          <w:tcPr>
            <w:tcW w:w="1024" w:type="pct"/>
            <w:noWrap w:val="0"/>
            <w:vAlign w:val="center"/>
          </w:tcPr>
          <w:p>
            <w:pPr>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1.8mg/m</w:t>
            </w:r>
            <w:r>
              <w:rPr>
                <w:rFonts w:hint="default" w:ascii="Times New Roman" w:hAnsi="Times New Roman" w:eastAsia="宋体" w:cs="Times New Roman"/>
                <w:bCs/>
                <w:color w:val="auto"/>
                <w:kern w:val="0"/>
                <w:szCs w:val="21"/>
                <w:vertAlign w:val="superscript"/>
              </w:rPr>
              <w:t>3</w:t>
            </w:r>
          </w:p>
        </w:tc>
        <w:tc>
          <w:tcPr>
            <w:tcW w:w="1007" w:type="pct"/>
            <w:noWrap w:val="0"/>
            <w:vAlign w:val="center"/>
          </w:tcPr>
          <w:p>
            <w:pPr>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4mg/m</w:t>
            </w:r>
            <w:r>
              <w:rPr>
                <w:rFonts w:hint="default" w:ascii="Times New Roman" w:hAnsi="Times New Roman" w:eastAsia="宋体" w:cs="Times New Roman"/>
                <w:bCs/>
                <w:color w:val="auto"/>
                <w:kern w:val="0"/>
                <w:szCs w:val="21"/>
                <w:vertAlign w:val="superscript"/>
              </w:rPr>
              <w:t>3</w:t>
            </w:r>
          </w:p>
        </w:tc>
        <w:tc>
          <w:tcPr>
            <w:tcW w:w="709"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6"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O</w:t>
            </w:r>
            <w:r>
              <w:rPr>
                <w:rFonts w:hint="default" w:ascii="Times New Roman" w:hAnsi="Times New Roman" w:eastAsia="宋体" w:cs="Times New Roman"/>
                <w:bCs/>
                <w:color w:val="auto"/>
                <w:kern w:val="0"/>
                <w:sz w:val="21"/>
                <w:szCs w:val="21"/>
                <w:vertAlign w:val="subscript"/>
              </w:rPr>
              <w:t>3</w:t>
            </w:r>
          </w:p>
        </w:tc>
        <w:tc>
          <w:tcPr>
            <w:tcW w:w="1672"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日最大8小时百分位浓度</w:t>
            </w:r>
          </w:p>
        </w:tc>
        <w:tc>
          <w:tcPr>
            <w:tcW w:w="1024" w:type="pct"/>
            <w:noWrap w:val="0"/>
            <w:vAlign w:val="center"/>
          </w:tcPr>
          <w:p>
            <w:pPr>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154</w:t>
            </w:r>
          </w:p>
        </w:tc>
        <w:tc>
          <w:tcPr>
            <w:tcW w:w="1007" w:type="pct"/>
            <w:noWrap w:val="0"/>
            <w:vAlign w:val="center"/>
          </w:tcPr>
          <w:p>
            <w:pPr>
              <w:jc w:val="center"/>
              <w:rPr>
                <w:rFonts w:hint="default" w:ascii="Times New Roman" w:hAnsi="Times New Roman" w:eastAsia="宋体" w:cs="Times New Roman"/>
                <w:bCs/>
                <w:color w:val="auto"/>
                <w:kern w:val="0"/>
                <w:szCs w:val="21"/>
              </w:rPr>
            </w:pPr>
            <w:r>
              <w:rPr>
                <w:rFonts w:hint="default" w:ascii="Times New Roman" w:hAnsi="Times New Roman" w:eastAsia="宋体" w:cs="Times New Roman"/>
                <w:bCs/>
                <w:color w:val="auto"/>
                <w:kern w:val="0"/>
                <w:szCs w:val="21"/>
              </w:rPr>
              <w:t>160</w:t>
            </w:r>
          </w:p>
        </w:tc>
        <w:tc>
          <w:tcPr>
            <w:tcW w:w="709" w:type="pct"/>
            <w:noWrap w:val="0"/>
            <w:vAlign w:val="center"/>
          </w:tcPr>
          <w:p>
            <w:pPr>
              <w:pStyle w:val="61"/>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达标</w:t>
            </w:r>
          </w:p>
        </w:tc>
      </w:tr>
    </w:tbl>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从上表可知，项目所在区域的6项指标均符合《环境空气质量标准》（GB3095-2012）中二级标准及修改单。</w:t>
      </w:r>
    </w:p>
    <w:p>
      <w:pPr>
        <w:spacing w:beforeLines="5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（2）其他污染物</w:t>
      </w:r>
    </w:p>
    <w:p>
      <w:pPr>
        <w:spacing w:line="360" w:lineRule="auto"/>
        <w:ind w:firstLine="480" w:firstLineChars="200"/>
        <w:jc w:val="left"/>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b w:val="0"/>
          <w:bCs/>
          <w:color w:val="auto"/>
          <w:kern w:val="0"/>
          <w:sz w:val="24"/>
          <w:szCs w:val="24"/>
          <w:highlight w:val="none"/>
          <w:vertAlign w:val="baseline"/>
          <w:lang w:val="en-US" w:eastAsia="zh-CN"/>
        </w:rPr>
        <w:t>特征污染物总悬浮颗粒物采用</w:t>
      </w:r>
      <w:r>
        <w:rPr>
          <w:rFonts w:hint="default" w:ascii="Times New Roman" w:hAnsi="Times New Roman" w:eastAsia="宋体" w:cs="Times New Roman"/>
          <w:color w:val="auto"/>
          <w:sz w:val="24"/>
          <w:szCs w:val="24"/>
          <w:highlight w:val="none"/>
        </w:rPr>
        <w:t>辽宁中环祥瑞工程技术有限公司于20</w:t>
      </w:r>
      <w:r>
        <w:rPr>
          <w:rFonts w:hint="default" w:ascii="Times New Roman" w:hAnsi="Times New Roman" w:eastAsia="宋体" w:cs="Times New Roman"/>
          <w:color w:val="auto"/>
          <w:sz w:val="24"/>
          <w:szCs w:val="24"/>
          <w:highlight w:val="none"/>
          <w:lang w:val="en-US" w:eastAsia="zh-CN"/>
        </w:rPr>
        <w:t>21</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11月22日—11月28日</w:t>
      </w:r>
      <w:r>
        <w:rPr>
          <w:rFonts w:hint="default" w:ascii="Times New Roman" w:hAnsi="Times New Roman" w:eastAsia="宋体" w:cs="Times New Roman"/>
          <w:color w:val="auto"/>
          <w:sz w:val="24"/>
          <w:szCs w:val="24"/>
          <w:highlight w:val="none"/>
        </w:rPr>
        <w:t>对</w:t>
      </w:r>
      <w:r>
        <w:rPr>
          <w:rFonts w:hint="default" w:ascii="Times New Roman" w:hAnsi="Times New Roman" w:eastAsia="宋体" w:cs="Times New Roman"/>
          <w:color w:val="auto"/>
          <w:sz w:val="24"/>
          <w:szCs w:val="24"/>
          <w:highlight w:val="none"/>
          <w:lang w:eastAsia="zh-CN"/>
        </w:rPr>
        <w:t>北票市冶通矿业有限公司年产</w:t>
      </w:r>
      <w:r>
        <w:rPr>
          <w:rFonts w:hint="default" w:ascii="Times New Roman" w:hAnsi="Times New Roman" w:eastAsia="宋体" w:cs="Times New Roman"/>
          <w:color w:val="auto"/>
          <w:sz w:val="24"/>
          <w:szCs w:val="24"/>
          <w:highlight w:val="none"/>
          <w:lang w:val="en-US" w:eastAsia="zh-CN"/>
        </w:rPr>
        <w:t>50万吨铁精粉</w:t>
      </w:r>
      <w:r>
        <w:rPr>
          <w:rFonts w:hint="default" w:ascii="Times New Roman" w:hAnsi="Times New Roman" w:eastAsia="宋体" w:cs="Times New Roman"/>
          <w:color w:val="auto"/>
          <w:sz w:val="24"/>
          <w:szCs w:val="24"/>
          <w:highlight w:val="none"/>
        </w:rPr>
        <w:t>建设项目的监测数据</w:t>
      </w:r>
      <w:r>
        <w:rPr>
          <w:rFonts w:hint="default" w:ascii="Times New Roman" w:hAnsi="Times New Roman" w:eastAsia="宋体" w:cs="Times New Roman"/>
          <w:color w:val="auto"/>
          <w:sz w:val="24"/>
          <w:szCs w:val="24"/>
          <w:highlight w:val="none"/>
          <w:lang w:eastAsia="zh-CN"/>
        </w:rPr>
        <w:t>。</w:t>
      </w:r>
    </w:p>
    <w:p>
      <w:pPr>
        <w:spacing w:beforeLines="50" w:line="480" w:lineRule="exact"/>
        <w:rPr>
          <w:rFonts w:hint="default" w:ascii="Times New Roman" w:hAnsi="Times New Roman" w:eastAsia="宋体" w:cs="Times New Roman"/>
          <w:color w:val="auto"/>
          <w:sz w:val="24"/>
          <w:highlight w:val="none"/>
          <w:lang w:val="en-US"/>
        </w:rPr>
      </w:pPr>
      <w:r>
        <w:rPr>
          <w:rFonts w:hint="default" w:ascii="Times New Roman" w:hAnsi="Times New Roman" w:eastAsia="宋体" w:cs="Times New Roman"/>
          <w:color w:val="auto"/>
          <w:sz w:val="24"/>
          <w:highlight w:val="none"/>
        </w:rPr>
        <w:t>表</w:t>
      </w:r>
      <w:r>
        <w:rPr>
          <w:rFonts w:hint="default" w:ascii="Times New Roman" w:hAnsi="Times New Roman" w:eastAsia="宋体" w:cs="Times New Roman"/>
          <w:color w:val="auto"/>
          <w:sz w:val="24"/>
          <w:highlight w:val="none"/>
          <w:lang w:val="en-US" w:eastAsia="zh-CN"/>
        </w:rPr>
        <w:t>4.2-</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 xml:space="preserve">  </w:t>
      </w:r>
      <w:r>
        <w:rPr>
          <w:rFonts w:hint="default" w:ascii="Times New Roman" w:hAnsi="Times New Roman" w:eastAsia="宋体"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 xml:space="preserve"> </w:t>
      </w:r>
      <w:r>
        <w:rPr>
          <w:rFonts w:hint="default" w:ascii="Times New Roman" w:hAnsi="Times New Roman" w:eastAsia="宋体" w:cs="Times New Roman"/>
          <w:color w:val="auto"/>
          <w:sz w:val="24"/>
          <w:highlight w:val="none"/>
          <w:lang w:val="en-US" w:eastAsia="zh-CN"/>
        </w:rPr>
        <w:t>其它污染物补充监测点位基本信息</w:t>
      </w:r>
    </w:p>
    <w:tbl>
      <w:tblPr>
        <w:tblStyle w:val="52"/>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4"/>
        <w:gridCol w:w="1351"/>
        <w:gridCol w:w="1300"/>
        <w:gridCol w:w="1220"/>
        <w:gridCol w:w="1449"/>
        <w:gridCol w:w="1275"/>
        <w:gridCol w:w="132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4" w:type="dxa"/>
            <w:vMerge w:val="restar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监测点名称</w:t>
            </w:r>
          </w:p>
        </w:tc>
        <w:tc>
          <w:tcPr>
            <w:tcW w:w="2651" w:type="dxa"/>
            <w:gridSpan w:val="2"/>
            <w:tcBorders>
              <w:tl2br w:val="nil"/>
              <w:tr2bl w:val="nil"/>
            </w:tcBorders>
            <w:noWrap w:val="0"/>
            <w:vAlign w:val="center"/>
          </w:tcPr>
          <w:p>
            <w:pPr>
              <w:jc w:val="center"/>
              <w:rPr>
                <w:rFonts w:hint="default" w:ascii="Times New Roman" w:hAnsi="Times New Roman" w:eastAsia="宋体" w:cs="Times New Roman"/>
                <w:b w:val="0"/>
                <w:bCs/>
                <w:color w:val="auto"/>
                <w:sz w:val="21"/>
                <w:szCs w:val="21"/>
                <w:highlight w:val="none"/>
                <w:vertAlign w:val="baseline"/>
              </w:rPr>
            </w:pPr>
            <w:r>
              <w:rPr>
                <w:rFonts w:hint="default" w:ascii="Times New Roman" w:hAnsi="Times New Roman" w:eastAsia="宋体" w:cs="Times New Roman"/>
                <w:b w:val="0"/>
                <w:bCs/>
                <w:color w:val="auto"/>
                <w:sz w:val="21"/>
                <w:szCs w:val="21"/>
                <w:highlight w:val="none"/>
              </w:rPr>
              <w:t>监测点位坐标m</w:t>
            </w:r>
          </w:p>
        </w:tc>
        <w:tc>
          <w:tcPr>
            <w:tcW w:w="1220" w:type="dxa"/>
            <w:vMerge w:val="restar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检测因子</w:t>
            </w:r>
          </w:p>
        </w:tc>
        <w:tc>
          <w:tcPr>
            <w:tcW w:w="1449" w:type="dxa"/>
            <w:vMerge w:val="restar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监测时段</w:t>
            </w:r>
          </w:p>
        </w:tc>
        <w:tc>
          <w:tcPr>
            <w:tcW w:w="1275" w:type="dxa"/>
            <w:vMerge w:val="restar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相对厂址方位</w:t>
            </w:r>
          </w:p>
        </w:tc>
        <w:tc>
          <w:tcPr>
            <w:tcW w:w="1328" w:type="dxa"/>
            <w:vMerge w:val="restar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相对厂址距离m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4" w:type="dxa"/>
            <w:vMerge w:val="continue"/>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rPr>
            </w:pPr>
          </w:p>
        </w:tc>
        <w:tc>
          <w:tcPr>
            <w:tcW w:w="1351" w:type="dxa"/>
            <w:tcBorders>
              <w:tl2br w:val="nil"/>
              <w:tr2bl w:val="nil"/>
            </w:tcBorders>
            <w:noWrap w:val="0"/>
            <w:vAlign w:val="center"/>
          </w:tcPr>
          <w:p>
            <w:pPr>
              <w:jc w:val="center"/>
              <w:rPr>
                <w:rFonts w:hint="default" w:ascii="Times New Roman" w:hAnsi="Times New Roman" w:eastAsia="宋体" w:cs="Times New Roman"/>
                <w:b w:val="0"/>
                <w:bCs/>
                <w:color w:val="auto"/>
                <w:sz w:val="21"/>
                <w:szCs w:val="21"/>
                <w:highlight w:val="none"/>
                <w:vertAlign w:val="baseline"/>
              </w:rPr>
            </w:pPr>
            <w:r>
              <w:rPr>
                <w:rFonts w:hint="default" w:ascii="Times New Roman" w:hAnsi="Times New Roman" w:eastAsia="宋体" w:cs="Times New Roman"/>
                <w:b w:val="0"/>
                <w:bCs/>
                <w:color w:val="auto"/>
                <w:sz w:val="21"/>
                <w:szCs w:val="21"/>
                <w:highlight w:val="none"/>
              </w:rPr>
              <w:t>X</w:t>
            </w:r>
          </w:p>
        </w:tc>
        <w:tc>
          <w:tcPr>
            <w:tcW w:w="1300" w:type="dxa"/>
            <w:tcBorders>
              <w:tl2br w:val="nil"/>
              <w:tr2bl w:val="nil"/>
            </w:tcBorders>
            <w:noWrap w:val="0"/>
            <w:vAlign w:val="center"/>
          </w:tcPr>
          <w:p>
            <w:pPr>
              <w:jc w:val="center"/>
              <w:rPr>
                <w:rFonts w:hint="default" w:ascii="Times New Roman" w:hAnsi="Times New Roman" w:eastAsia="宋体" w:cs="Times New Roman"/>
                <w:b w:val="0"/>
                <w:bCs/>
                <w:color w:val="auto"/>
                <w:sz w:val="21"/>
                <w:szCs w:val="21"/>
                <w:highlight w:val="none"/>
                <w:vertAlign w:val="baseline"/>
              </w:rPr>
            </w:pPr>
            <w:r>
              <w:rPr>
                <w:rFonts w:hint="default" w:ascii="Times New Roman" w:hAnsi="Times New Roman" w:eastAsia="宋体" w:cs="Times New Roman"/>
                <w:b w:val="0"/>
                <w:bCs/>
                <w:color w:val="auto"/>
                <w:sz w:val="21"/>
                <w:szCs w:val="21"/>
                <w:highlight w:val="none"/>
              </w:rPr>
              <w:t>Y</w:t>
            </w:r>
          </w:p>
        </w:tc>
        <w:tc>
          <w:tcPr>
            <w:tcW w:w="1220" w:type="dxa"/>
            <w:vMerge w:val="continue"/>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rPr>
            </w:pPr>
          </w:p>
        </w:tc>
        <w:tc>
          <w:tcPr>
            <w:tcW w:w="1449" w:type="dxa"/>
            <w:vMerge w:val="continue"/>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rPr>
            </w:pPr>
          </w:p>
        </w:tc>
        <w:tc>
          <w:tcPr>
            <w:tcW w:w="1275" w:type="dxa"/>
            <w:vMerge w:val="continue"/>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rPr>
            </w:pPr>
          </w:p>
        </w:tc>
        <w:tc>
          <w:tcPr>
            <w:tcW w:w="1328" w:type="dxa"/>
            <w:vMerge w:val="continue"/>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4" w:type="dxa"/>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项目所在地</w:t>
            </w:r>
          </w:p>
        </w:tc>
        <w:tc>
          <w:tcPr>
            <w:tcW w:w="1351" w:type="dxa"/>
            <w:tcBorders>
              <w:tl2br w:val="nil"/>
              <w:tr2bl w:val="nil"/>
            </w:tcBorders>
            <w:noWrap w:val="0"/>
            <w:vAlign w:val="center"/>
          </w:tcPr>
          <w:p>
            <w:pPr>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120.593491</w:t>
            </w:r>
          </w:p>
        </w:tc>
        <w:tc>
          <w:tcPr>
            <w:tcW w:w="1300" w:type="dxa"/>
            <w:tcBorders>
              <w:tl2br w:val="nil"/>
              <w:tr2bl w:val="nil"/>
            </w:tcBorders>
            <w:noWrap w:val="0"/>
            <w:vAlign w:val="center"/>
          </w:tcPr>
          <w:p>
            <w:pPr>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41.976912</w:t>
            </w:r>
          </w:p>
        </w:tc>
        <w:tc>
          <w:tcPr>
            <w:tcW w:w="1220" w:type="dxa"/>
            <w:vMerge w:val="restar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总悬浮颗粒物</w:t>
            </w:r>
          </w:p>
        </w:tc>
        <w:tc>
          <w:tcPr>
            <w:tcW w:w="1449" w:type="dxa"/>
            <w:vMerge w:val="restart"/>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lang w:val="en-US"/>
              </w:rPr>
            </w:pPr>
            <w:r>
              <w:rPr>
                <w:rFonts w:hint="default" w:ascii="Times New Roman" w:hAnsi="Times New Roman" w:eastAsia="宋体" w:cs="Times New Roman"/>
                <w:b w:val="0"/>
                <w:bCs/>
                <w:color w:val="auto"/>
                <w:sz w:val="21"/>
                <w:szCs w:val="21"/>
                <w:highlight w:val="none"/>
                <w:lang w:val="en-US" w:eastAsia="zh-CN"/>
              </w:rPr>
              <w:t>日平均，连续7天</w:t>
            </w:r>
          </w:p>
        </w:tc>
        <w:tc>
          <w:tcPr>
            <w:tcW w:w="1275" w:type="dxa"/>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w:t>
            </w:r>
          </w:p>
        </w:tc>
        <w:tc>
          <w:tcPr>
            <w:tcW w:w="1328" w:type="dxa"/>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4" w:type="dxa"/>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lang w:val="en-US" w:eastAsia="zh-CN"/>
              </w:rPr>
              <w:t>下风向</w:t>
            </w:r>
          </w:p>
        </w:tc>
        <w:tc>
          <w:tcPr>
            <w:tcW w:w="13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120.602117</w:t>
            </w:r>
          </w:p>
        </w:tc>
        <w:tc>
          <w:tcPr>
            <w:tcW w:w="13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41.990119</w:t>
            </w:r>
          </w:p>
        </w:tc>
        <w:tc>
          <w:tcPr>
            <w:tcW w:w="1220" w:type="dxa"/>
            <w:vMerge w:val="continue"/>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rPr>
            </w:pPr>
          </w:p>
        </w:tc>
        <w:tc>
          <w:tcPr>
            <w:tcW w:w="1449" w:type="dxa"/>
            <w:vMerge w:val="continue"/>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rPr>
            </w:pPr>
          </w:p>
        </w:tc>
        <w:tc>
          <w:tcPr>
            <w:tcW w:w="1275" w:type="dxa"/>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东北</w:t>
            </w:r>
          </w:p>
        </w:tc>
        <w:tc>
          <w:tcPr>
            <w:tcW w:w="1328" w:type="dxa"/>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lang w:val="en-US" w:eastAsia="zh-CN"/>
              </w:rPr>
              <w:t>1477</w:t>
            </w:r>
          </w:p>
        </w:tc>
      </w:tr>
    </w:tbl>
    <w:p>
      <w:pPr>
        <w:spacing w:line="360" w:lineRule="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color w:val="auto"/>
          <w:szCs w:val="21"/>
          <w:highlight w:val="none"/>
        </w:rPr>
        <w:t>备注：监测点位坐标取距离项目厂址中心点的最近点位置。</w:t>
      </w:r>
    </w:p>
    <w:p>
      <w:pPr>
        <w:spacing w:beforeLines="50" w:line="480" w:lineRule="exact"/>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表4.3-</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 xml:space="preserve">                 其它污染物环境质量监测结果表</w:t>
      </w:r>
    </w:p>
    <w:tbl>
      <w:tblPr>
        <w:tblStyle w:val="52"/>
        <w:tblW w:w="5001"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5"/>
        <w:gridCol w:w="821"/>
        <w:gridCol w:w="860"/>
        <w:gridCol w:w="1021"/>
        <w:gridCol w:w="750"/>
        <w:gridCol w:w="898"/>
        <w:gridCol w:w="1126"/>
        <w:gridCol w:w="946"/>
        <w:gridCol w:w="751"/>
        <w:gridCol w:w="75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5" w:type="dxa"/>
            <w:vMerge w:val="restart"/>
            <w:tcBorders>
              <w:tl2br w:val="nil"/>
              <w:tr2bl w:val="nil"/>
            </w:tcBorders>
            <w:noWrap w:val="0"/>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点位名称</w:t>
            </w:r>
          </w:p>
        </w:tc>
        <w:tc>
          <w:tcPr>
            <w:tcW w:w="1681" w:type="dxa"/>
            <w:gridSpan w:val="2"/>
            <w:tcBorders>
              <w:tl2br w:val="nil"/>
              <w:tr2bl w:val="nil"/>
            </w:tcBorders>
            <w:noWrap w:val="0"/>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监测点位坐标m</w:t>
            </w:r>
          </w:p>
        </w:tc>
        <w:tc>
          <w:tcPr>
            <w:tcW w:w="1021" w:type="dxa"/>
            <w:vMerge w:val="restart"/>
            <w:tcBorders>
              <w:tl2br w:val="nil"/>
              <w:tr2bl w:val="nil"/>
            </w:tcBorders>
            <w:noWrap w:val="0"/>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污染物</w:t>
            </w:r>
          </w:p>
        </w:tc>
        <w:tc>
          <w:tcPr>
            <w:tcW w:w="750" w:type="dxa"/>
            <w:vMerge w:val="restart"/>
            <w:tcBorders>
              <w:tl2br w:val="nil"/>
              <w:tr2bl w:val="nil"/>
            </w:tcBorders>
            <w:noWrap w:val="0"/>
            <w:vAlign w:val="center"/>
          </w:tcPr>
          <w:p>
            <w:pPr>
              <w:jc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lang w:val="en-US" w:eastAsia="zh-CN"/>
              </w:rPr>
              <w:t>平均时间</w:t>
            </w:r>
          </w:p>
        </w:tc>
        <w:tc>
          <w:tcPr>
            <w:tcW w:w="898" w:type="dxa"/>
            <w:vMerge w:val="restart"/>
            <w:tcBorders>
              <w:tl2br w:val="nil"/>
              <w:tr2bl w:val="nil"/>
            </w:tcBorders>
            <w:noWrap w:val="0"/>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评价标准</w:t>
            </w:r>
          </w:p>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kern w:val="0"/>
                <w:szCs w:val="21"/>
                <w:highlight w:val="none"/>
              </w:rPr>
              <w:t>μg/m</w:t>
            </w:r>
            <w:r>
              <w:rPr>
                <w:rFonts w:hint="default" w:ascii="Times New Roman" w:hAnsi="Times New Roman" w:eastAsia="宋体" w:cs="Times New Roman"/>
                <w:bCs/>
                <w:color w:val="auto"/>
                <w:kern w:val="0"/>
                <w:szCs w:val="21"/>
                <w:highlight w:val="none"/>
                <w:vertAlign w:val="superscript"/>
              </w:rPr>
              <w:t>3</w:t>
            </w:r>
          </w:p>
        </w:tc>
        <w:tc>
          <w:tcPr>
            <w:tcW w:w="1126" w:type="dxa"/>
            <w:vMerge w:val="restart"/>
            <w:tcBorders>
              <w:tl2br w:val="nil"/>
              <w:tr2bl w:val="nil"/>
            </w:tcBorders>
            <w:noWrap w:val="0"/>
            <w:vAlign w:val="center"/>
          </w:tcPr>
          <w:p>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监测</w:t>
            </w:r>
            <w:r>
              <w:rPr>
                <w:rFonts w:hint="default" w:ascii="Times New Roman" w:hAnsi="Times New Roman" w:eastAsia="宋体" w:cs="Times New Roman"/>
                <w:bCs/>
                <w:color w:val="auto"/>
                <w:szCs w:val="21"/>
                <w:highlight w:val="none"/>
              </w:rPr>
              <w:t>浓度</w:t>
            </w:r>
            <w:r>
              <w:rPr>
                <w:rFonts w:hint="default" w:ascii="Times New Roman" w:hAnsi="Times New Roman" w:eastAsia="宋体" w:cs="Times New Roman"/>
                <w:bCs/>
                <w:color w:val="auto"/>
                <w:szCs w:val="21"/>
                <w:highlight w:val="none"/>
                <w:lang w:val="en-US" w:eastAsia="zh-CN"/>
              </w:rPr>
              <w:t>范围</w:t>
            </w:r>
          </w:p>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kern w:val="0"/>
                <w:szCs w:val="21"/>
                <w:highlight w:val="none"/>
              </w:rPr>
              <w:t>μg/m</w:t>
            </w:r>
            <w:r>
              <w:rPr>
                <w:rFonts w:hint="default" w:ascii="Times New Roman" w:hAnsi="Times New Roman" w:eastAsia="宋体" w:cs="Times New Roman"/>
                <w:bCs/>
                <w:color w:val="auto"/>
                <w:kern w:val="0"/>
                <w:szCs w:val="21"/>
                <w:highlight w:val="none"/>
                <w:vertAlign w:val="superscript"/>
              </w:rPr>
              <w:t>3</w:t>
            </w:r>
          </w:p>
        </w:tc>
        <w:tc>
          <w:tcPr>
            <w:tcW w:w="946" w:type="dxa"/>
            <w:vMerge w:val="restart"/>
            <w:tcBorders>
              <w:tl2br w:val="nil"/>
              <w:tr2bl w:val="nil"/>
            </w:tcBorders>
            <w:noWrap w:val="0"/>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最大浓度占标率</w:t>
            </w:r>
          </w:p>
        </w:tc>
        <w:tc>
          <w:tcPr>
            <w:tcW w:w="751" w:type="dxa"/>
            <w:vMerge w:val="restart"/>
            <w:tcBorders>
              <w:tl2br w:val="nil"/>
              <w:tr2bl w:val="nil"/>
            </w:tcBorders>
            <w:noWrap w:val="0"/>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超标率%</w:t>
            </w:r>
          </w:p>
        </w:tc>
        <w:tc>
          <w:tcPr>
            <w:tcW w:w="751" w:type="dxa"/>
            <w:vMerge w:val="restart"/>
            <w:tcBorders>
              <w:tl2br w:val="nil"/>
              <w:tr2bl w:val="nil"/>
            </w:tcBorders>
            <w:noWrap w:val="0"/>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达标情况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5" w:type="dxa"/>
            <w:vMerge w:val="continue"/>
            <w:tcBorders>
              <w:tl2br w:val="nil"/>
              <w:tr2bl w:val="nil"/>
            </w:tcBorders>
            <w:noWrap w:val="0"/>
            <w:vAlign w:val="center"/>
          </w:tcPr>
          <w:p>
            <w:pPr>
              <w:rPr>
                <w:rFonts w:hint="default" w:ascii="Times New Roman" w:hAnsi="Times New Roman" w:eastAsia="宋体" w:cs="Times New Roman"/>
                <w:bCs/>
                <w:color w:val="auto"/>
                <w:szCs w:val="21"/>
                <w:highlight w:val="none"/>
              </w:rPr>
            </w:pPr>
          </w:p>
        </w:tc>
        <w:tc>
          <w:tcPr>
            <w:tcW w:w="821" w:type="dxa"/>
            <w:tcBorders>
              <w:tl2br w:val="nil"/>
              <w:tr2bl w:val="nil"/>
            </w:tcBorders>
            <w:noWrap w:val="0"/>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X</w:t>
            </w:r>
          </w:p>
        </w:tc>
        <w:tc>
          <w:tcPr>
            <w:tcW w:w="860" w:type="dxa"/>
            <w:tcBorders>
              <w:tl2br w:val="nil"/>
              <w:tr2bl w:val="nil"/>
            </w:tcBorders>
            <w:noWrap w:val="0"/>
            <w:vAlign w:val="center"/>
          </w:tcPr>
          <w:p>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Y</w:t>
            </w:r>
          </w:p>
        </w:tc>
        <w:tc>
          <w:tcPr>
            <w:tcW w:w="1021" w:type="dxa"/>
            <w:vMerge w:val="continue"/>
            <w:tcBorders>
              <w:tl2br w:val="nil"/>
              <w:tr2bl w:val="nil"/>
            </w:tcBorders>
            <w:noWrap w:val="0"/>
            <w:vAlign w:val="center"/>
          </w:tcPr>
          <w:p>
            <w:pPr>
              <w:rPr>
                <w:rFonts w:hint="default" w:ascii="Times New Roman" w:hAnsi="Times New Roman" w:eastAsia="宋体" w:cs="Times New Roman"/>
                <w:bCs/>
                <w:color w:val="auto"/>
                <w:szCs w:val="21"/>
                <w:highlight w:val="none"/>
              </w:rPr>
            </w:pPr>
          </w:p>
        </w:tc>
        <w:tc>
          <w:tcPr>
            <w:tcW w:w="750" w:type="dxa"/>
            <w:vMerge w:val="continue"/>
            <w:tcBorders>
              <w:tl2br w:val="nil"/>
              <w:tr2bl w:val="nil"/>
            </w:tcBorders>
            <w:noWrap w:val="0"/>
            <w:vAlign w:val="center"/>
          </w:tcPr>
          <w:p>
            <w:pPr>
              <w:rPr>
                <w:rFonts w:hint="default" w:ascii="Times New Roman" w:hAnsi="Times New Roman" w:eastAsia="宋体" w:cs="Times New Roman"/>
                <w:bCs/>
                <w:color w:val="auto"/>
                <w:szCs w:val="21"/>
                <w:highlight w:val="none"/>
              </w:rPr>
            </w:pPr>
          </w:p>
        </w:tc>
        <w:tc>
          <w:tcPr>
            <w:tcW w:w="898" w:type="dxa"/>
            <w:vMerge w:val="continue"/>
            <w:tcBorders>
              <w:tl2br w:val="nil"/>
              <w:tr2bl w:val="nil"/>
            </w:tcBorders>
            <w:noWrap w:val="0"/>
            <w:vAlign w:val="center"/>
          </w:tcPr>
          <w:p>
            <w:pPr>
              <w:rPr>
                <w:rFonts w:hint="default" w:ascii="Times New Roman" w:hAnsi="Times New Roman" w:eastAsia="宋体" w:cs="Times New Roman"/>
                <w:bCs/>
                <w:color w:val="auto"/>
                <w:szCs w:val="21"/>
                <w:highlight w:val="none"/>
              </w:rPr>
            </w:pPr>
          </w:p>
        </w:tc>
        <w:tc>
          <w:tcPr>
            <w:tcW w:w="1126" w:type="dxa"/>
            <w:vMerge w:val="continue"/>
            <w:tcBorders>
              <w:tl2br w:val="nil"/>
              <w:tr2bl w:val="nil"/>
            </w:tcBorders>
            <w:noWrap w:val="0"/>
            <w:vAlign w:val="center"/>
          </w:tcPr>
          <w:p>
            <w:pPr>
              <w:rPr>
                <w:rFonts w:hint="default" w:ascii="Times New Roman" w:hAnsi="Times New Roman" w:eastAsia="宋体" w:cs="Times New Roman"/>
                <w:bCs/>
                <w:color w:val="auto"/>
                <w:szCs w:val="21"/>
                <w:highlight w:val="none"/>
              </w:rPr>
            </w:pPr>
          </w:p>
        </w:tc>
        <w:tc>
          <w:tcPr>
            <w:tcW w:w="946" w:type="dxa"/>
            <w:vMerge w:val="continue"/>
            <w:tcBorders>
              <w:tl2br w:val="nil"/>
              <w:tr2bl w:val="nil"/>
            </w:tcBorders>
            <w:noWrap w:val="0"/>
            <w:vAlign w:val="center"/>
          </w:tcPr>
          <w:p>
            <w:pPr>
              <w:rPr>
                <w:rFonts w:hint="default" w:ascii="Times New Roman" w:hAnsi="Times New Roman" w:eastAsia="宋体" w:cs="Times New Roman"/>
                <w:bCs/>
                <w:color w:val="auto"/>
                <w:szCs w:val="21"/>
                <w:highlight w:val="none"/>
              </w:rPr>
            </w:pPr>
          </w:p>
        </w:tc>
        <w:tc>
          <w:tcPr>
            <w:tcW w:w="751" w:type="dxa"/>
            <w:vMerge w:val="continue"/>
            <w:tcBorders>
              <w:tl2br w:val="nil"/>
              <w:tr2bl w:val="nil"/>
            </w:tcBorders>
            <w:noWrap w:val="0"/>
            <w:vAlign w:val="center"/>
          </w:tcPr>
          <w:p>
            <w:pPr>
              <w:rPr>
                <w:rFonts w:hint="default" w:ascii="Times New Roman" w:hAnsi="Times New Roman" w:eastAsia="宋体" w:cs="Times New Roman"/>
                <w:bCs/>
                <w:color w:val="auto"/>
                <w:szCs w:val="21"/>
                <w:highlight w:val="none"/>
              </w:rPr>
            </w:pPr>
          </w:p>
        </w:tc>
        <w:tc>
          <w:tcPr>
            <w:tcW w:w="751" w:type="dxa"/>
            <w:vMerge w:val="continue"/>
            <w:tcBorders>
              <w:tl2br w:val="nil"/>
              <w:tr2bl w:val="nil"/>
            </w:tcBorders>
            <w:noWrap w:val="0"/>
            <w:vAlign w:val="center"/>
          </w:tcPr>
          <w:p>
            <w:pPr>
              <w:rPr>
                <w:rFonts w:hint="default" w:ascii="Times New Roman" w:hAnsi="Times New Roman" w:eastAsia="宋体" w:cs="Times New Roman"/>
                <w:bCs/>
                <w:color w:val="auto"/>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5" w:type="dxa"/>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sz w:val="21"/>
                <w:szCs w:val="21"/>
                <w:highlight w:val="none"/>
                <w:vertAlign w:val="baseline"/>
                <w:lang w:val="en-US" w:eastAsia="zh-CN"/>
              </w:rPr>
              <w:t>项目所在地</w:t>
            </w:r>
          </w:p>
        </w:tc>
        <w:tc>
          <w:tcPr>
            <w:tcW w:w="821" w:type="dxa"/>
            <w:tcBorders>
              <w:tl2br w:val="nil"/>
              <w:tr2bl w:val="nil"/>
            </w:tcBorders>
            <w:noWrap w:val="0"/>
            <w:vAlign w:val="center"/>
          </w:tcPr>
          <w:p>
            <w:pPr>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lang w:val="en-US" w:eastAsia="zh-CN"/>
              </w:rPr>
              <w:t>120.593491</w:t>
            </w:r>
          </w:p>
        </w:tc>
        <w:tc>
          <w:tcPr>
            <w:tcW w:w="860" w:type="dxa"/>
            <w:tcBorders>
              <w:tl2br w:val="nil"/>
              <w:tr2bl w:val="nil"/>
            </w:tcBorders>
            <w:noWrap w:val="0"/>
            <w:vAlign w:val="center"/>
          </w:tcPr>
          <w:p>
            <w:pPr>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lang w:val="en-US" w:eastAsia="zh-CN"/>
              </w:rPr>
              <w:t>41.976912</w:t>
            </w:r>
          </w:p>
        </w:tc>
        <w:tc>
          <w:tcPr>
            <w:tcW w:w="1021"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vertAlign w:val="baseline"/>
                <w:lang w:val="en-US" w:eastAsia="zh-CN"/>
              </w:rPr>
              <w:t>总悬浮颗粒物</w:t>
            </w:r>
          </w:p>
        </w:tc>
        <w:tc>
          <w:tcPr>
            <w:tcW w:w="750" w:type="dxa"/>
            <w:tcBorders>
              <w:tl2br w:val="nil"/>
              <w:tr2bl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Cs w:val="21"/>
                <w:highlight w:val="none"/>
                <w:lang w:eastAsia="zh-CN"/>
              </w:rPr>
              <w:t>日均值</w:t>
            </w:r>
          </w:p>
        </w:tc>
        <w:tc>
          <w:tcPr>
            <w:tcW w:w="898" w:type="dxa"/>
            <w:tcBorders>
              <w:tl2br w:val="nil"/>
              <w:tr2bl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Cs w:val="21"/>
                <w:highlight w:val="none"/>
                <w:lang w:val="en-US" w:eastAsia="zh-CN"/>
              </w:rPr>
              <w:t>300</w:t>
            </w:r>
          </w:p>
        </w:tc>
        <w:tc>
          <w:tcPr>
            <w:tcW w:w="1126" w:type="dxa"/>
            <w:tcBorders>
              <w:tl2br w:val="nil"/>
              <w:tr2bl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Cs w:val="21"/>
                <w:highlight w:val="none"/>
                <w:lang w:val="en-US" w:eastAsia="zh-CN"/>
              </w:rPr>
              <w:t>119-131</w:t>
            </w:r>
          </w:p>
        </w:tc>
        <w:tc>
          <w:tcPr>
            <w:tcW w:w="946" w:type="dxa"/>
            <w:tcBorders>
              <w:tl2br w:val="nil"/>
              <w:tr2bl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Cs w:val="21"/>
                <w:highlight w:val="none"/>
                <w:lang w:val="en-US" w:eastAsia="zh-CN"/>
              </w:rPr>
              <w:t>0.44</w:t>
            </w:r>
          </w:p>
        </w:tc>
        <w:tc>
          <w:tcPr>
            <w:tcW w:w="751" w:type="dxa"/>
            <w:tcBorders>
              <w:tl2br w:val="nil"/>
              <w:tr2bl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Cs w:val="21"/>
                <w:highlight w:val="none"/>
              </w:rPr>
              <w:t>0</w:t>
            </w:r>
          </w:p>
        </w:tc>
        <w:tc>
          <w:tcPr>
            <w:tcW w:w="751" w:type="dxa"/>
            <w:tcBorders>
              <w:tl2br w:val="nil"/>
              <w:tr2bl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Cs w:val="21"/>
                <w:highlight w:val="none"/>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65" w:type="dxa"/>
            <w:tcBorders>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sz w:val="21"/>
                <w:szCs w:val="21"/>
                <w:highlight w:val="none"/>
                <w:lang w:val="en-US" w:eastAsia="zh-CN"/>
              </w:rPr>
              <w:t>下风向</w:t>
            </w:r>
          </w:p>
        </w:tc>
        <w:tc>
          <w:tcPr>
            <w:tcW w:w="8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lang w:val="en-US" w:eastAsia="zh-CN"/>
              </w:rPr>
              <w:t>120.602117</w:t>
            </w:r>
          </w:p>
        </w:tc>
        <w:tc>
          <w:tcPr>
            <w:tcW w:w="8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lang w:val="en-US" w:eastAsia="zh-CN"/>
              </w:rPr>
              <w:t>41.990119</w:t>
            </w:r>
          </w:p>
        </w:tc>
        <w:tc>
          <w:tcPr>
            <w:tcW w:w="1021" w:type="dxa"/>
            <w:tcBorders>
              <w:tl2br w:val="nil"/>
              <w:tr2bl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vertAlign w:val="baseline"/>
                <w:lang w:val="en-US" w:eastAsia="zh-CN"/>
              </w:rPr>
              <w:t>总悬浮颗粒物</w:t>
            </w:r>
          </w:p>
        </w:tc>
        <w:tc>
          <w:tcPr>
            <w:tcW w:w="750" w:type="dxa"/>
            <w:tcBorders>
              <w:tl2br w:val="nil"/>
              <w:tr2bl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Cs w:val="21"/>
                <w:highlight w:val="none"/>
                <w:lang w:eastAsia="zh-CN"/>
              </w:rPr>
              <w:t>日均值</w:t>
            </w:r>
          </w:p>
        </w:tc>
        <w:tc>
          <w:tcPr>
            <w:tcW w:w="898" w:type="dxa"/>
            <w:tcBorders>
              <w:tl2br w:val="nil"/>
              <w:tr2bl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Cs w:val="21"/>
                <w:highlight w:val="none"/>
                <w:lang w:val="en-US" w:eastAsia="zh-CN"/>
              </w:rPr>
              <w:t>300</w:t>
            </w:r>
          </w:p>
        </w:tc>
        <w:tc>
          <w:tcPr>
            <w:tcW w:w="1126" w:type="dxa"/>
            <w:tcBorders>
              <w:tl2br w:val="nil"/>
              <w:tr2bl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Cs w:val="21"/>
                <w:highlight w:val="none"/>
                <w:lang w:val="en-US" w:eastAsia="zh-CN"/>
              </w:rPr>
              <w:t>119-130</w:t>
            </w:r>
          </w:p>
        </w:tc>
        <w:tc>
          <w:tcPr>
            <w:tcW w:w="946" w:type="dxa"/>
            <w:tcBorders>
              <w:tl2br w:val="nil"/>
              <w:tr2bl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Cs w:val="21"/>
                <w:highlight w:val="none"/>
                <w:lang w:val="en-US" w:eastAsia="zh-CN"/>
              </w:rPr>
              <w:t>0.44</w:t>
            </w:r>
          </w:p>
        </w:tc>
        <w:tc>
          <w:tcPr>
            <w:tcW w:w="751" w:type="dxa"/>
            <w:tcBorders>
              <w:tl2br w:val="nil"/>
              <w:tr2bl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Cs w:val="21"/>
                <w:highlight w:val="none"/>
              </w:rPr>
              <w:t>0</w:t>
            </w:r>
          </w:p>
        </w:tc>
        <w:tc>
          <w:tcPr>
            <w:tcW w:w="751" w:type="dxa"/>
            <w:tcBorders>
              <w:tl2br w:val="nil"/>
              <w:tr2bl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Cs w:val="21"/>
                <w:highlight w:val="none"/>
              </w:rPr>
              <w:t>达标</w:t>
            </w:r>
          </w:p>
        </w:tc>
      </w:tr>
    </w:tbl>
    <w:p>
      <w:pPr>
        <w:spacing w:line="360" w:lineRule="auto"/>
        <w:ind w:firstLine="420" w:firstLineChars="200"/>
        <w:rPr>
          <w:rFonts w:hint="default" w:ascii="Times New Roman" w:hAnsi="Times New Roman" w:eastAsia="宋体" w:cs="Times New Roman"/>
          <w:bCs/>
          <w:color w:val="auto"/>
          <w:sz w:val="24"/>
          <w:highlight w:val="none"/>
        </w:rPr>
      </w:pPr>
      <w:r>
        <w:rPr>
          <w:rFonts w:hint="default" w:ascii="Times New Roman" w:hAnsi="Times New Roman" w:eastAsia="宋体" w:cs="Times New Roman"/>
          <w:color w:val="auto"/>
          <w:szCs w:val="21"/>
          <w:highlight w:val="none"/>
        </w:rPr>
        <w:t>备注：监测点位坐标取距离项目厂址中心点的最近点位置。</w:t>
      </w:r>
    </w:p>
    <w:p>
      <w:pPr>
        <w:spacing w:line="360" w:lineRule="auto"/>
        <w:ind w:firstLine="480" w:firstLineChars="20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由监测数据可知，项目区域</w:t>
      </w:r>
      <w:r>
        <w:rPr>
          <w:rFonts w:hint="default" w:ascii="Times New Roman" w:hAnsi="Times New Roman" w:eastAsia="宋体" w:cs="Times New Roman"/>
          <w:b w:val="0"/>
          <w:bCs/>
          <w:color w:val="auto"/>
          <w:kern w:val="0"/>
          <w:sz w:val="24"/>
          <w:szCs w:val="24"/>
          <w:highlight w:val="none"/>
          <w:vertAlign w:val="baseline"/>
          <w:lang w:val="en-US" w:eastAsia="zh-CN"/>
        </w:rPr>
        <w:t>总悬浮颗粒物</w:t>
      </w:r>
      <w:r>
        <w:rPr>
          <w:rFonts w:hint="default" w:ascii="Times New Roman" w:hAnsi="Times New Roman" w:eastAsia="宋体" w:cs="Times New Roman"/>
          <w:bCs/>
          <w:color w:val="auto"/>
          <w:sz w:val="24"/>
          <w:highlight w:val="none"/>
        </w:rPr>
        <w:t>符合标准。</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监测期间气象条件见表4.2-</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w:t>
      </w:r>
    </w:p>
    <w:p>
      <w:pPr>
        <w:spacing w:beforeLines="50" w:line="480" w:lineRule="exact"/>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w:t>表4.2-</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监测期间气象条件</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05"/>
        <w:gridCol w:w="1080"/>
        <w:gridCol w:w="1280"/>
        <w:gridCol w:w="1320"/>
        <w:gridCol w:w="1580"/>
        <w:gridCol w:w="182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05"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采样日期</w:t>
            </w:r>
          </w:p>
        </w:tc>
        <w:tc>
          <w:tcPr>
            <w:tcW w:w="108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天气</w:t>
            </w:r>
          </w:p>
        </w:tc>
        <w:tc>
          <w:tcPr>
            <w:tcW w:w="128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气温</w:t>
            </w:r>
            <w:r>
              <w:rPr>
                <w:rFonts w:hint="default" w:ascii="Times New Roman" w:hAnsi="Times New Roman" w:eastAsia="宋体" w:cs="Times New Roman"/>
                <w:color w:val="auto"/>
                <w:kern w:val="0"/>
                <w:sz w:val="21"/>
                <w:szCs w:val="21"/>
                <w:highlight w:val="none"/>
                <w:lang w:bidi="ar"/>
              </w:rPr>
              <w:t xml:space="preserve"> ℃</w:t>
            </w:r>
          </w:p>
        </w:tc>
        <w:tc>
          <w:tcPr>
            <w:tcW w:w="132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气压(</w:t>
            </w:r>
            <w:r>
              <w:rPr>
                <w:rFonts w:hint="default" w:ascii="Times New Roman" w:hAnsi="Times New Roman" w:eastAsia="宋体" w:cs="Times New Roman"/>
                <w:color w:val="auto"/>
                <w:kern w:val="0"/>
                <w:sz w:val="21"/>
                <w:szCs w:val="21"/>
                <w:highlight w:val="none"/>
                <w:lang w:bidi="ar"/>
              </w:rPr>
              <w:t>kPa</w:t>
            </w:r>
            <w:r>
              <w:rPr>
                <w:rFonts w:hint="default" w:ascii="Times New Roman" w:hAnsi="Times New Roman" w:eastAsia="宋体" w:cs="Times New Roman"/>
                <w:color w:val="auto"/>
                <w:kern w:val="0"/>
                <w:sz w:val="21"/>
                <w:szCs w:val="21"/>
                <w:highlight w:val="none"/>
                <w:lang w:val="en-US" w:eastAsia="zh-CN" w:bidi="ar"/>
              </w:rPr>
              <w:t>)</w:t>
            </w:r>
          </w:p>
        </w:tc>
        <w:tc>
          <w:tcPr>
            <w:tcW w:w="158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风向</w:t>
            </w:r>
          </w:p>
        </w:tc>
        <w:tc>
          <w:tcPr>
            <w:tcW w:w="1822"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风速（m/s）</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05" w:type="dxa"/>
            <w:noWrap w:val="0"/>
            <w:vAlign w:val="center"/>
          </w:tcPr>
          <w:p>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2021年11月22日-11月28日</w:t>
            </w:r>
          </w:p>
        </w:tc>
        <w:tc>
          <w:tcPr>
            <w:tcW w:w="108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晴</w:t>
            </w:r>
          </w:p>
        </w:tc>
        <w:tc>
          <w:tcPr>
            <w:tcW w:w="128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-0.8-5.6</w:t>
            </w:r>
          </w:p>
        </w:tc>
        <w:tc>
          <w:tcPr>
            <w:tcW w:w="132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99.4-99.9</w:t>
            </w:r>
          </w:p>
        </w:tc>
        <w:tc>
          <w:tcPr>
            <w:tcW w:w="158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南/西南/东南/东北/北</w:t>
            </w:r>
          </w:p>
        </w:tc>
        <w:tc>
          <w:tcPr>
            <w:tcW w:w="1822"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1.1-2.4</w:t>
            </w:r>
          </w:p>
        </w:tc>
      </w:tr>
    </w:tbl>
    <w:p>
      <w:pPr>
        <w:spacing w:beforeLines="50" w:line="480" w:lineRule="exact"/>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环境空气检测项目及分析方法见表4.2-</w:t>
      </w: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w:t>
      </w:r>
    </w:p>
    <w:p>
      <w:pPr>
        <w:spacing w:beforeLines="50" w:line="48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表4.2-</w:t>
      </w:r>
      <w:r>
        <w:rPr>
          <w:rFonts w:hint="eastAsia" w:ascii="Times New Roman" w:hAnsi="Times New Roman" w:eastAsia="宋体" w:cs="Times New Roman"/>
          <w:color w:val="auto"/>
          <w:sz w:val="24"/>
          <w:highlight w:val="none"/>
          <w:lang w:val="en-US" w:eastAsia="zh-CN"/>
        </w:rPr>
        <w:t xml:space="preserve">4  </w:t>
      </w:r>
      <w:r>
        <w:rPr>
          <w:rFonts w:hint="default" w:ascii="Times New Roman" w:hAnsi="Times New Roman" w:eastAsia="宋体" w:cs="Times New Roman"/>
          <w:color w:val="auto"/>
          <w:sz w:val="24"/>
          <w:highlight w:val="none"/>
        </w:rPr>
        <w:t xml:space="preserve">                  环境空气检测项目及分析方法</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6"/>
        <w:gridCol w:w="1171"/>
        <w:gridCol w:w="2063"/>
        <w:gridCol w:w="1333"/>
        <w:gridCol w:w="2264"/>
        <w:gridCol w:w="174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7"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107"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检测项目</w:t>
            </w:r>
          </w:p>
        </w:tc>
        <w:tc>
          <w:tcPr>
            <w:tcW w:w="1950"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分析方法及标准号</w:t>
            </w:r>
          </w:p>
        </w:tc>
        <w:tc>
          <w:tcPr>
            <w:tcW w:w="12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检出限</w:t>
            </w:r>
          </w:p>
        </w:tc>
        <w:tc>
          <w:tcPr>
            <w:tcW w:w="2140"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仪器名称及型号</w:t>
            </w:r>
          </w:p>
        </w:tc>
        <w:tc>
          <w:tcPr>
            <w:tcW w:w="1644"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设备编号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7" w:type="dxa"/>
            <w:vMerge w:val="restart"/>
            <w:noWrap w:val="0"/>
            <w:vAlign w:val="center"/>
          </w:tcPr>
          <w:p>
            <w:pPr>
              <w:spacing w:line="24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107" w:type="dxa"/>
            <w:vMerge w:val="restart"/>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总悬浮颗粒物</w:t>
            </w:r>
          </w:p>
          <w:p>
            <w:pPr>
              <w:jc w:val="center"/>
              <w:rPr>
                <w:rFonts w:hint="default" w:ascii="Times New Roman" w:hAnsi="Times New Roman" w:eastAsia="宋体" w:cs="Times New Roman"/>
                <w:color w:val="auto"/>
                <w:kern w:val="2"/>
                <w:sz w:val="21"/>
                <w:szCs w:val="21"/>
                <w:highlight w:val="none"/>
                <w:lang w:val="en-US" w:eastAsia="zh-CN" w:bidi="ar-SA"/>
              </w:rPr>
            </w:pPr>
          </w:p>
        </w:tc>
        <w:tc>
          <w:tcPr>
            <w:tcW w:w="1950" w:type="dxa"/>
            <w:vMerge w:val="restart"/>
            <w:noWrap w:val="0"/>
            <w:vAlign w:val="center"/>
          </w:tcPr>
          <w:p>
            <w:pPr>
              <w:spacing w:line="24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 总悬浮颗粒物的测定</w:t>
            </w:r>
          </w:p>
          <w:p>
            <w:pPr>
              <w:spacing w:line="24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重量法</w:t>
            </w:r>
          </w:p>
          <w:p>
            <w:pPr>
              <w:spacing w:line="24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 xml:space="preserve"> GB/T 15432-1995</w:t>
            </w:r>
            <w:r>
              <w:rPr>
                <w:rFonts w:hint="default" w:ascii="Times New Roman" w:hAnsi="Times New Roman" w:eastAsia="宋体" w:cs="Times New Roman"/>
                <w:color w:val="auto"/>
                <w:sz w:val="21"/>
                <w:szCs w:val="21"/>
                <w:highlight w:val="none"/>
                <w:lang w:val="en-US" w:eastAsia="zh-CN"/>
              </w:rPr>
              <w:t>及修改单</w:t>
            </w:r>
          </w:p>
        </w:tc>
        <w:tc>
          <w:tcPr>
            <w:tcW w:w="1260" w:type="dxa"/>
            <w:vMerge w:val="restart"/>
            <w:noWrap w:val="0"/>
            <w:vAlign w:val="center"/>
          </w:tcPr>
          <w:p>
            <w:pPr>
              <w:spacing w:line="240" w:lineRule="exact"/>
              <w:jc w:val="center"/>
              <w:rPr>
                <w:rFonts w:hint="default" w:ascii="Times New Roman" w:hAnsi="Times New Roman" w:eastAsia="宋体" w:cs="Times New Roman"/>
                <w:color w:val="auto"/>
                <w:sz w:val="21"/>
                <w:szCs w:val="21"/>
                <w:highlight w:val="none"/>
              </w:rPr>
            </w:pPr>
          </w:p>
          <w:p>
            <w:pPr>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0.001mg/m</w:t>
            </w:r>
            <w:r>
              <w:rPr>
                <w:rFonts w:hint="default" w:ascii="Times New Roman" w:hAnsi="Times New Roman" w:eastAsia="宋体" w:cs="Times New Roman"/>
                <w:color w:val="auto"/>
                <w:sz w:val="21"/>
                <w:szCs w:val="21"/>
                <w:highlight w:val="none"/>
                <w:vertAlign w:val="superscript"/>
              </w:rPr>
              <w:t>3</w:t>
            </w:r>
          </w:p>
          <w:p>
            <w:pPr>
              <w:spacing w:line="240" w:lineRule="exact"/>
              <w:jc w:val="both"/>
              <w:rPr>
                <w:rFonts w:hint="default" w:ascii="Times New Roman" w:hAnsi="Times New Roman" w:eastAsia="宋体" w:cs="Times New Roman"/>
                <w:color w:val="auto"/>
                <w:sz w:val="21"/>
                <w:szCs w:val="21"/>
                <w:highlight w:val="none"/>
                <w:lang w:val="en-US" w:eastAsia="zh-CN"/>
              </w:rPr>
            </w:pPr>
          </w:p>
        </w:tc>
        <w:tc>
          <w:tcPr>
            <w:tcW w:w="2140" w:type="dxa"/>
            <w:noWrap w:val="0"/>
            <w:vAlign w:val="center"/>
          </w:tcPr>
          <w:p>
            <w:pPr>
              <w:pStyle w:val="36"/>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综合大气采样器</w:t>
            </w:r>
            <w:r>
              <w:rPr>
                <w:rFonts w:hint="default" w:ascii="Times New Roman" w:hAnsi="Times New Roman" w:eastAsia="宋体" w:cs="Times New Roman"/>
                <w:color w:val="auto"/>
                <w:sz w:val="21"/>
                <w:szCs w:val="21"/>
                <w:highlight w:val="none"/>
                <w:lang w:val="en-US" w:eastAsia="zh-CN"/>
              </w:rPr>
              <w:t>2030</w:t>
            </w:r>
          </w:p>
        </w:tc>
        <w:tc>
          <w:tcPr>
            <w:tcW w:w="1644" w:type="dxa"/>
            <w:noWrap w:val="0"/>
            <w:vAlign w:val="center"/>
          </w:tcPr>
          <w:p>
            <w:pPr>
              <w:pStyle w:val="36"/>
              <w:jc w:val="center"/>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LNZH-YQ-026</w:t>
            </w:r>
          </w:p>
          <w:p>
            <w:pPr>
              <w:pStyle w:val="36"/>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LNZH-YQ-027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7" w:type="dxa"/>
            <w:vMerge w:val="continue"/>
            <w:noWrap w:val="0"/>
            <w:vAlign w:val="center"/>
          </w:tcPr>
          <w:p>
            <w:pPr>
              <w:spacing w:line="240" w:lineRule="exact"/>
              <w:jc w:val="center"/>
              <w:rPr>
                <w:rFonts w:hint="default" w:ascii="Times New Roman" w:hAnsi="Times New Roman" w:eastAsia="宋体" w:cs="Times New Roman"/>
                <w:color w:val="auto"/>
                <w:sz w:val="21"/>
                <w:szCs w:val="21"/>
                <w:highlight w:val="none"/>
                <w:lang w:val="en-US" w:eastAsia="zh-CN"/>
              </w:rPr>
            </w:pPr>
          </w:p>
        </w:tc>
        <w:tc>
          <w:tcPr>
            <w:tcW w:w="1107" w:type="dxa"/>
            <w:vMerge w:val="continue"/>
            <w:noWrap w:val="0"/>
            <w:vAlign w:val="center"/>
          </w:tcPr>
          <w:p>
            <w:pPr>
              <w:widowControl/>
              <w:adjustRightInd w:val="0"/>
              <w:snapToGrid w:val="0"/>
              <w:jc w:val="center"/>
              <w:rPr>
                <w:rFonts w:hint="default" w:ascii="Times New Roman" w:hAnsi="Times New Roman" w:eastAsia="宋体" w:cs="Times New Roman"/>
                <w:color w:val="auto"/>
                <w:sz w:val="21"/>
                <w:szCs w:val="21"/>
                <w:highlight w:val="none"/>
                <w:lang w:eastAsia="zh-CN"/>
              </w:rPr>
            </w:pPr>
          </w:p>
        </w:tc>
        <w:tc>
          <w:tcPr>
            <w:tcW w:w="1950" w:type="dxa"/>
            <w:vMerge w:val="continue"/>
            <w:noWrap w:val="0"/>
            <w:vAlign w:val="center"/>
          </w:tcPr>
          <w:p>
            <w:pPr>
              <w:spacing w:line="240" w:lineRule="exact"/>
              <w:jc w:val="center"/>
              <w:rPr>
                <w:rFonts w:hint="default" w:ascii="Times New Roman" w:hAnsi="Times New Roman" w:eastAsia="宋体" w:cs="Times New Roman"/>
                <w:color w:val="auto"/>
                <w:sz w:val="21"/>
                <w:szCs w:val="21"/>
                <w:highlight w:val="none"/>
              </w:rPr>
            </w:pPr>
          </w:p>
        </w:tc>
        <w:tc>
          <w:tcPr>
            <w:tcW w:w="1260" w:type="dxa"/>
            <w:vMerge w:val="continue"/>
            <w:noWrap w:val="0"/>
            <w:vAlign w:val="center"/>
          </w:tcPr>
          <w:p>
            <w:pPr>
              <w:spacing w:line="240" w:lineRule="exact"/>
              <w:jc w:val="center"/>
              <w:rPr>
                <w:rFonts w:hint="default" w:ascii="Times New Roman" w:hAnsi="Times New Roman" w:eastAsia="宋体" w:cs="Times New Roman"/>
                <w:color w:val="auto"/>
                <w:sz w:val="21"/>
                <w:szCs w:val="21"/>
                <w:highlight w:val="none"/>
              </w:rPr>
            </w:pPr>
          </w:p>
        </w:tc>
        <w:tc>
          <w:tcPr>
            <w:tcW w:w="2140" w:type="dxa"/>
            <w:noWrap w:val="0"/>
            <w:vAlign w:val="center"/>
          </w:tcPr>
          <w:p>
            <w:pPr>
              <w:spacing w:line="24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电子天平</w:t>
            </w:r>
          </w:p>
          <w:p>
            <w:pPr>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FA2004A</w:t>
            </w:r>
          </w:p>
        </w:tc>
        <w:tc>
          <w:tcPr>
            <w:tcW w:w="1644" w:type="dxa"/>
            <w:noWrap w:val="0"/>
            <w:vAlign w:val="center"/>
          </w:tcPr>
          <w:p>
            <w:pPr>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LNZH-YQ-014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84" w:type="dxa"/>
            <w:gridSpan w:val="2"/>
            <w:noWrap w:val="0"/>
            <w:vAlign w:val="center"/>
          </w:tcPr>
          <w:p>
            <w:pPr>
              <w:widowControl/>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监测频次</w:t>
            </w:r>
          </w:p>
        </w:tc>
        <w:tc>
          <w:tcPr>
            <w:tcW w:w="6994" w:type="dxa"/>
            <w:gridSpan w:val="4"/>
            <w:noWrap w:val="0"/>
            <w:vAlign w:val="center"/>
          </w:tcPr>
          <w:p>
            <w:pPr>
              <w:spacing w:line="240" w:lineRule="exact"/>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总悬浮颗粒物：日平均，连续7天。</w:t>
            </w:r>
          </w:p>
        </w:tc>
      </w:tr>
    </w:tbl>
    <w:p>
      <w:pPr>
        <w:spacing w:beforeLines="50" w:line="360" w:lineRule="auto"/>
        <w:outlineLvl w:val="2"/>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4.2.2地表水环境质量现状调查与评价</w:t>
      </w:r>
      <w:bookmarkEnd w:id="204"/>
      <w:bookmarkEnd w:id="205"/>
      <w:bookmarkEnd w:id="206"/>
      <w:bookmarkEnd w:id="207"/>
      <w:bookmarkEnd w:id="208"/>
    </w:p>
    <w:p>
      <w:pPr>
        <w:pStyle w:val="16"/>
        <w:spacing w:line="360" w:lineRule="auto"/>
        <w:ind w:firstLine="480" w:firstLineChars="200"/>
        <w:rPr>
          <w:rFonts w:hint="default" w:ascii="Times New Roman" w:hAnsi="Times New Roman" w:eastAsia="宋体" w:cs="Times New Roman"/>
          <w:color w:val="auto"/>
          <w:sz w:val="24"/>
        </w:rPr>
      </w:pPr>
      <w:bookmarkStart w:id="216" w:name="_Toc478038837"/>
      <w:bookmarkStart w:id="217" w:name="_Toc476225024"/>
      <w:bookmarkStart w:id="218" w:name="_Toc476639448"/>
      <w:bookmarkStart w:id="219" w:name="_Toc478394795"/>
      <w:bookmarkStart w:id="220" w:name="_Toc476553963"/>
      <w:r>
        <w:rPr>
          <w:rFonts w:hint="default" w:ascii="Times New Roman" w:hAnsi="Times New Roman" w:eastAsia="宋体" w:cs="Times New Roman"/>
          <w:color w:val="auto"/>
          <w:sz w:val="24"/>
        </w:rPr>
        <w:t>本项目</w:t>
      </w:r>
      <w:r>
        <w:rPr>
          <w:rFonts w:hint="default" w:ascii="Times New Roman" w:hAnsi="Times New Roman" w:eastAsia="宋体" w:cs="Times New Roman"/>
          <w:color w:val="auto"/>
          <w:sz w:val="24"/>
          <w:lang w:val="en-US" w:eastAsia="zh-CN"/>
        </w:rPr>
        <w:t>地表水引用辽宁中环祥瑞工程技术有限公司于2021年8月4日对北票</w:t>
      </w:r>
      <w:r>
        <w:rPr>
          <w:rFonts w:hint="eastAsia" w:ascii="Times New Roman" w:hAnsi="Times New Roman" w:eastAsia="宋体" w:cs="Times New Roman"/>
          <w:color w:val="auto"/>
          <w:sz w:val="24"/>
          <w:lang w:val="en-US" w:eastAsia="zh-CN"/>
        </w:rPr>
        <w:t>东官河</w:t>
      </w:r>
      <w:r>
        <w:rPr>
          <w:rFonts w:hint="default" w:ascii="Times New Roman" w:hAnsi="Times New Roman" w:eastAsia="宋体" w:cs="Times New Roman"/>
          <w:color w:val="auto"/>
          <w:sz w:val="24"/>
          <w:lang w:val="en-US" w:eastAsia="zh-CN"/>
        </w:rPr>
        <w:t>例行监测数据</w:t>
      </w:r>
      <w:r>
        <w:rPr>
          <w:rFonts w:hint="default" w:ascii="Times New Roman" w:hAnsi="Times New Roman" w:eastAsia="宋体" w:cs="Times New Roman"/>
          <w:color w:val="auto"/>
          <w:sz w:val="24"/>
        </w:rPr>
        <w:t>。</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(1)监测项目：pH、COD、氨氮、溶解氧、总磷、硫化物、石油类、氟化物、挥发酚、</w:t>
      </w:r>
      <w:r>
        <w:rPr>
          <w:rFonts w:hint="default" w:ascii="Times New Roman" w:hAnsi="Times New Roman" w:eastAsia="宋体" w:cs="Times New Roman"/>
          <w:color w:val="auto"/>
          <w:sz w:val="24"/>
          <w:lang w:eastAsia="zh-CN"/>
        </w:rPr>
        <w:t>氰化物</w:t>
      </w:r>
      <w:r>
        <w:rPr>
          <w:rFonts w:hint="default" w:ascii="Times New Roman" w:hAnsi="Times New Roman" w:eastAsia="宋体" w:cs="Times New Roman"/>
          <w:color w:val="auto"/>
          <w:sz w:val="24"/>
        </w:rPr>
        <w:t>，共1</w:t>
      </w:r>
      <w:r>
        <w:rPr>
          <w:rFonts w:hint="default" w:ascii="Times New Roman" w:hAnsi="Times New Roman" w:eastAsia="宋体" w:cs="Times New Roman"/>
          <w:color w:val="auto"/>
          <w:sz w:val="24"/>
          <w:lang w:val="en-US" w:eastAsia="zh-CN"/>
        </w:rPr>
        <w:t>0</w:t>
      </w:r>
      <w:r>
        <w:rPr>
          <w:rFonts w:hint="default" w:ascii="Times New Roman" w:hAnsi="Times New Roman" w:eastAsia="宋体" w:cs="Times New Roman"/>
          <w:color w:val="auto"/>
          <w:sz w:val="24"/>
        </w:rPr>
        <w:t>项。</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(2)监测点位：</w:t>
      </w:r>
      <w:r>
        <w:rPr>
          <w:rFonts w:hint="eastAsia" w:ascii="Times New Roman" w:hAnsi="Times New Roman" w:eastAsia="宋体" w:cs="Times New Roman"/>
          <w:color w:val="auto"/>
          <w:sz w:val="24"/>
          <w:lang w:eastAsia="zh-CN"/>
        </w:rPr>
        <w:t>施可丰</w:t>
      </w:r>
      <w:r>
        <w:rPr>
          <w:rFonts w:hint="default" w:ascii="Times New Roman" w:hAnsi="Times New Roman" w:eastAsia="宋体" w:cs="Times New Roman"/>
          <w:color w:val="auto"/>
          <w:sz w:val="24"/>
        </w:rPr>
        <w:t>产业园上游500m</w:t>
      </w:r>
      <w:r>
        <w:rPr>
          <w:rFonts w:hint="default" w:ascii="Times New Roman" w:hAnsi="Times New Roman" w:eastAsia="宋体" w:cs="Times New Roman"/>
          <w:color w:val="auto"/>
          <w:sz w:val="24"/>
          <w:lang w:eastAsia="zh-CN"/>
        </w:rPr>
        <w:t>、下游3000m</w:t>
      </w:r>
      <w:r>
        <w:rPr>
          <w:rFonts w:hint="default" w:ascii="Times New Roman" w:hAnsi="Times New Roman" w:eastAsia="宋体" w:cs="Times New Roman"/>
          <w:color w:val="auto"/>
          <w:sz w:val="24"/>
          <w:shd w:val="clear" w:color="auto" w:fill="auto"/>
        </w:rPr>
        <w:t>。</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(3)监测频率：</w:t>
      </w:r>
      <w:r>
        <w:rPr>
          <w:rFonts w:hint="default" w:ascii="Times New Roman" w:hAnsi="Times New Roman" w:eastAsia="宋体" w:cs="Times New Roman"/>
          <w:color w:val="auto"/>
          <w:sz w:val="24"/>
          <w:shd w:val="clear" w:color="auto" w:fill="auto"/>
        </w:rPr>
        <w:t>20</w:t>
      </w:r>
      <w:r>
        <w:rPr>
          <w:rFonts w:hint="default" w:ascii="Times New Roman" w:hAnsi="Times New Roman" w:eastAsia="宋体" w:cs="Times New Roman"/>
          <w:color w:val="auto"/>
          <w:sz w:val="24"/>
          <w:shd w:val="clear" w:color="auto" w:fill="auto"/>
          <w:lang w:val="en-US" w:eastAsia="zh-CN"/>
        </w:rPr>
        <w:t>21</w:t>
      </w:r>
      <w:r>
        <w:rPr>
          <w:rFonts w:hint="default" w:ascii="Times New Roman" w:hAnsi="Times New Roman" w:eastAsia="宋体" w:cs="Times New Roman"/>
          <w:color w:val="auto"/>
          <w:sz w:val="24"/>
          <w:shd w:val="clear" w:color="auto" w:fill="auto"/>
        </w:rPr>
        <w:t>年</w:t>
      </w:r>
      <w:r>
        <w:rPr>
          <w:rFonts w:hint="default" w:ascii="Times New Roman" w:hAnsi="Times New Roman" w:eastAsia="宋体" w:cs="Times New Roman"/>
          <w:color w:val="auto"/>
          <w:sz w:val="24"/>
          <w:shd w:val="clear" w:color="auto" w:fill="auto"/>
          <w:lang w:val="en-US" w:eastAsia="zh-CN"/>
        </w:rPr>
        <w:t>8</w:t>
      </w:r>
      <w:r>
        <w:rPr>
          <w:rFonts w:hint="default" w:ascii="Times New Roman" w:hAnsi="Times New Roman" w:eastAsia="宋体" w:cs="Times New Roman"/>
          <w:color w:val="auto"/>
          <w:sz w:val="24"/>
          <w:shd w:val="clear" w:color="auto" w:fill="auto"/>
        </w:rPr>
        <w:t>月</w:t>
      </w:r>
      <w:r>
        <w:rPr>
          <w:rFonts w:hint="default" w:ascii="Times New Roman" w:hAnsi="Times New Roman" w:eastAsia="宋体" w:cs="Times New Roman"/>
          <w:color w:val="auto"/>
          <w:sz w:val="24"/>
          <w:shd w:val="clear" w:color="auto" w:fill="auto"/>
          <w:lang w:val="en-US" w:eastAsia="zh-CN"/>
        </w:rPr>
        <w:t>4</w:t>
      </w:r>
      <w:r>
        <w:rPr>
          <w:rFonts w:hint="default" w:ascii="Times New Roman" w:hAnsi="Times New Roman" w:eastAsia="宋体" w:cs="Times New Roman"/>
          <w:color w:val="auto"/>
          <w:sz w:val="24"/>
          <w:shd w:val="clear" w:color="auto" w:fill="auto"/>
        </w:rPr>
        <w:t>日，每天一次</w:t>
      </w:r>
      <w:r>
        <w:rPr>
          <w:rFonts w:hint="default" w:ascii="Times New Roman" w:hAnsi="Times New Roman" w:eastAsia="宋体" w:cs="Times New Roman"/>
          <w:color w:val="auto"/>
          <w:sz w:val="24"/>
        </w:rPr>
        <w:t>。</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(4)监测方法：按环境监测技术规范进行。</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(5)监测统计结果见表</w:t>
      </w:r>
      <w:r>
        <w:rPr>
          <w:rFonts w:hint="default" w:ascii="Times New Roman" w:hAnsi="Times New Roman" w:eastAsia="宋体" w:cs="Times New Roman"/>
          <w:color w:val="auto"/>
          <w:sz w:val="24"/>
          <w:lang w:val="en-US" w:eastAsia="zh-CN"/>
        </w:rPr>
        <w:t>4.2-</w:t>
      </w:r>
      <w:r>
        <w:rPr>
          <w:rFonts w:hint="eastAsia"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rPr>
        <w:t>。</w:t>
      </w:r>
    </w:p>
    <w:p>
      <w:pPr>
        <w:spacing w:beforeLines="50" w:line="480" w:lineRule="exact"/>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w:t>
      </w:r>
      <w:r>
        <w:rPr>
          <w:rFonts w:hint="default" w:ascii="Times New Roman" w:hAnsi="Times New Roman" w:eastAsia="宋体" w:cs="Times New Roman"/>
          <w:color w:val="auto"/>
          <w:sz w:val="24"/>
          <w:lang w:val="en-US" w:eastAsia="zh-CN"/>
        </w:rPr>
        <w:t>4.2-</w:t>
      </w:r>
      <w:r>
        <w:rPr>
          <w:rFonts w:hint="eastAsia"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 xml:space="preserve">  地表水监测数据统计表</w:t>
      </w:r>
    </w:p>
    <w:tbl>
      <w:tblPr>
        <w:tblStyle w:val="52"/>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7"/>
        <w:gridCol w:w="1696"/>
        <w:gridCol w:w="1440"/>
        <w:gridCol w:w="1977"/>
        <w:gridCol w:w="2254"/>
        <w:gridCol w:w="123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7" w:type="dxa"/>
            <w:vMerge w:val="restart"/>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序号</w:t>
            </w:r>
          </w:p>
        </w:tc>
        <w:tc>
          <w:tcPr>
            <w:tcW w:w="1696" w:type="dxa"/>
            <w:vMerge w:val="restart"/>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检测项目</w:t>
            </w:r>
          </w:p>
        </w:tc>
        <w:tc>
          <w:tcPr>
            <w:tcW w:w="1440" w:type="dxa"/>
            <w:vMerge w:val="restart"/>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采样日期</w:t>
            </w:r>
          </w:p>
        </w:tc>
        <w:tc>
          <w:tcPr>
            <w:tcW w:w="4231" w:type="dxa"/>
            <w:gridSpan w:val="2"/>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检测结果</w:t>
            </w:r>
          </w:p>
        </w:tc>
        <w:tc>
          <w:tcPr>
            <w:tcW w:w="1234" w:type="dxa"/>
            <w:vMerge w:val="restart"/>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单位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7" w:type="dxa"/>
            <w:vMerge w:val="continue"/>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rPr>
            </w:pPr>
          </w:p>
        </w:tc>
        <w:tc>
          <w:tcPr>
            <w:tcW w:w="1696" w:type="dxa"/>
            <w:vMerge w:val="continue"/>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rPr>
            </w:pPr>
          </w:p>
        </w:tc>
        <w:tc>
          <w:tcPr>
            <w:tcW w:w="1440" w:type="dxa"/>
            <w:vMerge w:val="continue"/>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977"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产业园上游500m</w:t>
            </w:r>
          </w:p>
        </w:tc>
        <w:tc>
          <w:tcPr>
            <w:tcW w:w="2254"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产业园下游3000m</w:t>
            </w:r>
          </w:p>
        </w:tc>
        <w:tc>
          <w:tcPr>
            <w:tcW w:w="1234" w:type="dxa"/>
            <w:vMerge w:val="continue"/>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7"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1696"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PH</w:t>
            </w:r>
          </w:p>
        </w:tc>
        <w:tc>
          <w:tcPr>
            <w:tcW w:w="1440"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2021.8.4</w:t>
            </w:r>
          </w:p>
        </w:tc>
        <w:tc>
          <w:tcPr>
            <w:tcW w:w="1977"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7.5</w:t>
            </w:r>
          </w:p>
        </w:tc>
        <w:tc>
          <w:tcPr>
            <w:tcW w:w="2254"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7.5</w:t>
            </w:r>
          </w:p>
        </w:tc>
        <w:tc>
          <w:tcPr>
            <w:tcW w:w="1234"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无量纲</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7"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1696"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氨氮</w:t>
            </w:r>
          </w:p>
        </w:tc>
        <w:tc>
          <w:tcPr>
            <w:tcW w:w="1440"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2021.8.4</w:t>
            </w:r>
          </w:p>
        </w:tc>
        <w:tc>
          <w:tcPr>
            <w:tcW w:w="1977"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0.614</w:t>
            </w:r>
          </w:p>
        </w:tc>
        <w:tc>
          <w:tcPr>
            <w:tcW w:w="2254"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0.225</w:t>
            </w:r>
          </w:p>
        </w:tc>
        <w:tc>
          <w:tcPr>
            <w:tcW w:w="1234"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7"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c>
          <w:tcPr>
            <w:tcW w:w="1696"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化学需氧量</w:t>
            </w:r>
          </w:p>
        </w:tc>
        <w:tc>
          <w:tcPr>
            <w:tcW w:w="1440"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2021.8.4</w:t>
            </w:r>
          </w:p>
        </w:tc>
        <w:tc>
          <w:tcPr>
            <w:tcW w:w="1977"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18</w:t>
            </w:r>
          </w:p>
        </w:tc>
        <w:tc>
          <w:tcPr>
            <w:tcW w:w="2254"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c>
          <w:tcPr>
            <w:tcW w:w="1234"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7"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w:t>
            </w:r>
          </w:p>
        </w:tc>
        <w:tc>
          <w:tcPr>
            <w:tcW w:w="1696"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总磷</w:t>
            </w:r>
          </w:p>
        </w:tc>
        <w:tc>
          <w:tcPr>
            <w:tcW w:w="1440"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2021.8.4</w:t>
            </w:r>
          </w:p>
        </w:tc>
        <w:tc>
          <w:tcPr>
            <w:tcW w:w="1977"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0.19</w:t>
            </w:r>
          </w:p>
        </w:tc>
        <w:tc>
          <w:tcPr>
            <w:tcW w:w="2254"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0.09</w:t>
            </w:r>
          </w:p>
        </w:tc>
        <w:tc>
          <w:tcPr>
            <w:tcW w:w="1234"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7"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w:t>
            </w:r>
          </w:p>
        </w:tc>
        <w:tc>
          <w:tcPr>
            <w:tcW w:w="1696"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溶解氧</w:t>
            </w:r>
          </w:p>
        </w:tc>
        <w:tc>
          <w:tcPr>
            <w:tcW w:w="1440"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2021.8.4</w:t>
            </w:r>
          </w:p>
        </w:tc>
        <w:tc>
          <w:tcPr>
            <w:tcW w:w="1977"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7.1</w:t>
            </w:r>
          </w:p>
        </w:tc>
        <w:tc>
          <w:tcPr>
            <w:tcW w:w="2254"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6.5</w:t>
            </w:r>
          </w:p>
        </w:tc>
        <w:tc>
          <w:tcPr>
            <w:tcW w:w="1234"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7"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w:t>
            </w:r>
          </w:p>
        </w:tc>
        <w:tc>
          <w:tcPr>
            <w:tcW w:w="1696"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石油类</w:t>
            </w:r>
          </w:p>
        </w:tc>
        <w:tc>
          <w:tcPr>
            <w:tcW w:w="1440"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2021.8.4</w:t>
            </w:r>
          </w:p>
        </w:tc>
        <w:tc>
          <w:tcPr>
            <w:tcW w:w="1977"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0.01</w:t>
            </w:r>
          </w:p>
        </w:tc>
        <w:tc>
          <w:tcPr>
            <w:tcW w:w="2254"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0.01</w:t>
            </w:r>
          </w:p>
        </w:tc>
        <w:tc>
          <w:tcPr>
            <w:tcW w:w="1234"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7"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w:t>
            </w:r>
          </w:p>
        </w:tc>
        <w:tc>
          <w:tcPr>
            <w:tcW w:w="1696"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挥发酚</w:t>
            </w:r>
          </w:p>
        </w:tc>
        <w:tc>
          <w:tcPr>
            <w:tcW w:w="1440"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2021.8.4</w:t>
            </w:r>
          </w:p>
        </w:tc>
        <w:tc>
          <w:tcPr>
            <w:tcW w:w="1977"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&lt;0.0003</w:t>
            </w:r>
          </w:p>
        </w:tc>
        <w:tc>
          <w:tcPr>
            <w:tcW w:w="2254"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0.0603</w:t>
            </w:r>
          </w:p>
        </w:tc>
        <w:tc>
          <w:tcPr>
            <w:tcW w:w="1234"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7"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w:t>
            </w:r>
          </w:p>
        </w:tc>
        <w:tc>
          <w:tcPr>
            <w:tcW w:w="1696"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氟化物</w:t>
            </w:r>
          </w:p>
        </w:tc>
        <w:tc>
          <w:tcPr>
            <w:tcW w:w="1440"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2021.8.4</w:t>
            </w:r>
          </w:p>
        </w:tc>
        <w:tc>
          <w:tcPr>
            <w:tcW w:w="1977"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0.65</w:t>
            </w:r>
          </w:p>
        </w:tc>
        <w:tc>
          <w:tcPr>
            <w:tcW w:w="2254"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0.46</w:t>
            </w:r>
          </w:p>
        </w:tc>
        <w:tc>
          <w:tcPr>
            <w:tcW w:w="1234"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7"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9</w:t>
            </w:r>
          </w:p>
        </w:tc>
        <w:tc>
          <w:tcPr>
            <w:tcW w:w="1696"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硫化物</w:t>
            </w:r>
          </w:p>
        </w:tc>
        <w:tc>
          <w:tcPr>
            <w:tcW w:w="1440"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2021.8.4</w:t>
            </w:r>
          </w:p>
        </w:tc>
        <w:tc>
          <w:tcPr>
            <w:tcW w:w="1977"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&lt;0.005</w:t>
            </w:r>
          </w:p>
        </w:tc>
        <w:tc>
          <w:tcPr>
            <w:tcW w:w="2254"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&lt;0.005</w:t>
            </w:r>
          </w:p>
        </w:tc>
        <w:tc>
          <w:tcPr>
            <w:tcW w:w="1234"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7"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w:t>
            </w:r>
          </w:p>
        </w:tc>
        <w:tc>
          <w:tcPr>
            <w:tcW w:w="1696"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氰化物</w:t>
            </w:r>
          </w:p>
        </w:tc>
        <w:tc>
          <w:tcPr>
            <w:tcW w:w="1440"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2021.8.4</w:t>
            </w:r>
          </w:p>
        </w:tc>
        <w:tc>
          <w:tcPr>
            <w:tcW w:w="1977"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0.004</w:t>
            </w:r>
          </w:p>
        </w:tc>
        <w:tc>
          <w:tcPr>
            <w:tcW w:w="2254"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&lt;0.004</w:t>
            </w:r>
          </w:p>
        </w:tc>
        <w:tc>
          <w:tcPr>
            <w:tcW w:w="1234" w:type="dxa"/>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mg/L</w:t>
            </w:r>
          </w:p>
        </w:tc>
      </w:tr>
    </w:tbl>
    <w:p>
      <w:pPr>
        <w:pStyle w:val="1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 xml:space="preserve">由上表可知，东官河各监测断面各监测因子均满足《地表水环境质量标准》（GB3838-2002）IV类标准。 </w:t>
      </w:r>
    </w:p>
    <w:p>
      <w:pPr>
        <w:spacing w:beforeLines="50" w:line="360" w:lineRule="auto"/>
        <w:outlineLvl w:val="2"/>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color w:val="auto"/>
          <w:sz w:val="28"/>
          <w:szCs w:val="28"/>
          <w:highlight w:val="none"/>
        </w:rPr>
        <w:t>4.2.3声环境质量现状调查与评价</w:t>
      </w:r>
      <w:bookmarkEnd w:id="216"/>
      <w:bookmarkEnd w:id="217"/>
      <w:bookmarkEnd w:id="218"/>
      <w:bookmarkEnd w:id="219"/>
      <w:bookmarkEnd w:id="220"/>
    </w:p>
    <w:p>
      <w:pPr>
        <w:adjustRightIn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（1）监测布点与监测项目</w:t>
      </w:r>
    </w:p>
    <w:p>
      <w:pPr>
        <w:adjustRightIn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在</w:t>
      </w:r>
      <w:r>
        <w:rPr>
          <w:rFonts w:hint="default" w:ascii="Times New Roman" w:hAnsi="Times New Roman" w:eastAsia="宋体" w:cs="Times New Roman"/>
          <w:color w:val="auto"/>
          <w:sz w:val="24"/>
          <w:lang w:eastAsia="zh-CN"/>
        </w:rPr>
        <w:t>整个</w:t>
      </w:r>
      <w:r>
        <w:rPr>
          <w:rFonts w:hint="default" w:ascii="Times New Roman" w:hAnsi="Times New Roman" w:eastAsia="宋体" w:cs="Times New Roman"/>
          <w:color w:val="auto"/>
          <w:sz w:val="24"/>
        </w:rPr>
        <w:t>厂区东、南、西、北厂界各布设了1个点位，监测因子为：等效连续A声级。</w:t>
      </w:r>
    </w:p>
    <w:p>
      <w:pPr>
        <w:adjustRightIn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（2）监测时间和频率</w:t>
      </w:r>
    </w:p>
    <w:p>
      <w:pPr>
        <w:adjustRightIn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辽宁中环祥瑞工程技术有限公司于2021年</w:t>
      </w:r>
      <w:r>
        <w:rPr>
          <w:rFonts w:hint="default" w:ascii="Times New Roman" w:hAnsi="Times New Roman" w:eastAsia="宋体" w:cs="Times New Roman"/>
          <w:color w:val="auto"/>
          <w:sz w:val="24"/>
          <w:lang w:val="en-US" w:eastAsia="zh-CN"/>
        </w:rPr>
        <w:t>11</w:t>
      </w:r>
      <w:r>
        <w:rPr>
          <w:rFonts w:hint="default" w:ascii="Times New Roman" w:hAnsi="Times New Roman" w:eastAsia="宋体" w:cs="Times New Roman"/>
          <w:color w:val="auto"/>
          <w:sz w:val="24"/>
        </w:rPr>
        <w:t>月</w:t>
      </w:r>
      <w:r>
        <w:rPr>
          <w:rFonts w:hint="default" w:ascii="Times New Roman" w:hAnsi="Times New Roman" w:eastAsia="宋体" w:cs="Times New Roman"/>
          <w:color w:val="auto"/>
          <w:sz w:val="24"/>
          <w:lang w:val="en-US" w:eastAsia="zh-CN"/>
        </w:rPr>
        <w:t>24</w:t>
      </w:r>
      <w:r>
        <w:rPr>
          <w:rFonts w:hint="default" w:ascii="Times New Roman" w:hAnsi="Times New Roman" w:eastAsia="宋体" w:cs="Times New Roman"/>
          <w:color w:val="auto"/>
          <w:sz w:val="24"/>
        </w:rPr>
        <w:t>日~</w:t>
      </w:r>
      <w:r>
        <w:rPr>
          <w:rFonts w:hint="default" w:ascii="Times New Roman" w:hAnsi="Times New Roman" w:eastAsia="宋体" w:cs="Times New Roman"/>
          <w:color w:val="auto"/>
          <w:sz w:val="24"/>
          <w:lang w:val="en-US" w:eastAsia="zh-CN"/>
        </w:rPr>
        <w:t>25</w:t>
      </w:r>
      <w:r>
        <w:rPr>
          <w:rFonts w:hint="default" w:ascii="Times New Roman" w:hAnsi="Times New Roman" w:eastAsia="宋体" w:cs="Times New Roman"/>
          <w:color w:val="auto"/>
          <w:sz w:val="24"/>
        </w:rPr>
        <w:t>日对场地四周进行监测，连续监测两天，每天1次，昼间10:00，夜间22:00。</w:t>
      </w:r>
    </w:p>
    <w:p>
      <w:pPr>
        <w:adjustRightIn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（3）分析方法</w:t>
      </w:r>
    </w:p>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使用符合规定的噪声测量仪，并按照《声环境质量标准》（GB3096-2008）等国家有关标准进行监测。</w:t>
      </w:r>
    </w:p>
    <w:p>
      <w:pPr>
        <w:spacing w:beforeLines="50" w:line="480" w:lineRule="exact"/>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表4.2-</w:t>
      </w:r>
      <w:r>
        <w:rPr>
          <w:rFonts w:hint="eastAsia" w:ascii="Times New Roman" w:hAnsi="Times New Roman" w:eastAsia="宋体" w:cs="Times New Roman"/>
          <w:color w:val="auto"/>
          <w:sz w:val="24"/>
          <w:lang w:val="en-US" w:eastAsia="zh-CN"/>
        </w:rPr>
        <w:t>6</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噪声检测项目及分析方法</w:t>
      </w:r>
    </w:p>
    <w:tbl>
      <w:tblPr>
        <w:tblStyle w:val="51"/>
        <w:tblW w:w="928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0"/>
        <w:gridCol w:w="1131"/>
        <w:gridCol w:w="2616"/>
        <w:gridCol w:w="2775"/>
        <w:gridCol w:w="203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0"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序号</w:t>
            </w:r>
          </w:p>
        </w:tc>
        <w:tc>
          <w:tcPr>
            <w:tcW w:w="1131"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检测项目</w:t>
            </w:r>
          </w:p>
        </w:tc>
        <w:tc>
          <w:tcPr>
            <w:tcW w:w="2616"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分析方法及标准号</w:t>
            </w:r>
          </w:p>
        </w:tc>
        <w:tc>
          <w:tcPr>
            <w:tcW w:w="2775" w:type="dxa"/>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噪声仪器名称型号及编号</w:t>
            </w:r>
          </w:p>
        </w:tc>
        <w:tc>
          <w:tcPr>
            <w:tcW w:w="2035" w:type="dxa"/>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仪器型号及编号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0" w:type="dxa"/>
            <w:vMerge w:val="restart"/>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1131" w:type="dxa"/>
            <w:vMerge w:val="restart"/>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环境噪声</w:t>
            </w:r>
          </w:p>
        </w:tc>
        <w:tc>
          <w:tcPr>
            <w:tcW w:w="2616" w:type="dxa"/>
            <w:vMerge w:val="restart"/>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声环境质量标准</w:t>
            </w:r>
          </w:p>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GB 3096-2008</w:t>
            </w:r>
          </w:p>
        </w:tc>
        <w:tc>
          <w:tcPr>
            <w:tcW w:w="2775" w:type="dxa"/>
            <w:tcBorders>
              <w:tl2br w:val="nil"/>
              <w:tr2bl w:val="nil"/>
            </w:tcBorders>
            <w:noWrap/>
            <w:vAlign w:val="center"/>
          </w:tcPr>
          <w:p>
            <w:pPr>
              <w:widowControl/>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多功能声级计AWA5688</w:t>
            </w:r>
          </w:p>
        </w:tc>
        <w:tc>
          <w:tcPr>
            <w:tcW w:w="2035" w:type="dxa"/>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LNZH-YQ-</w:t>
            </w:r>
            <w:r>
              <w:rPr>
                <w:rFonts w:hint="default" w:ascii="Times New Roman" w:hAnsi="Times New Roman" w:eastAsia="宋体" w:cs="Times New Roman"/>
                <w:color w:val="auto"/>
                <w:szCs w:val="21"/>
                <w:lang w:val="en-US" w:eastAsia="zh-CN"/>
              </w:rPr>
              <w:t>062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0" w:type="dxa"/>
            <w:vMerge w:val="continue"/>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p>
        </w:tc>
        <w:tc>
          <w:tcPr>
            <w:tcW w:w="1131" w:type="dxa"/>
            <w:vMerge w:val="continue"/>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p>
        </w:tc>
        <w:tc>
          <w:tcPr>
            <w:tcW w:w="2616" w:type="dxa"/>
            <w:vMerge w:val="continue"/>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p>
        </w:tc>
        <w:tc>
          <w:tcPr>
            <w:tcW w:w="2775" w:type="dxa"/>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声级校准器AWA6221B</w:t>
            </w:r>
          </w:p>
        </w:tc>
        <w:tc>
          <w:tcPr>
            <w:tcW w:w="2035" w:type="dxa"/>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LNZH-YQ-1</w:t>
            </w:r>
            <w:r>
              <w:rPr>
                <w:rFonts w:hint="default" w:ascii="Times New Roman" w:hAnsi="Times New Roman" w:eastAsia="宋体" w:cs="Times New Roman"/>
                <w:color w:val="auto"/>
                <w:szCs w:val="21"/>
                <w:lang w:val="en-US" w:eastAsia="zh-CN"/>
              </w:rPr>
              <w:t>26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1" w:type="dxa"/>
            <w:gridSpan w:val="2"/>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监测频次</w:t>
            </w:r>
          </w:p>
        </w:tc>
        <w:tc>
          <w:tcPr>
            <w:tcW w:w="7426" w:type="dxa"/>
            <w:gridSpan w:val="3"/>
            <w:tcBorders>
              <w:tl2br w:val="nil"/>
              <w:tr2bl w:val="nil"/>
            </w:tcBorders>
            <w:noWrap/>
            <w:vAlign w:val="center"/>
          </w:tcPr>
          <w:p>
            <w:pPr>
              <w:widowControl/>
              <w:textAlignment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Cs w:val="21"/>
              </w:rPr>
              <w:t>连续监测2天，昼夜各1次</w:t>
            </w:r>
            <w:r>
              <w:rPr>
                <w:rFonts w:hint="default" w:ascii="Times New Roman" w:hAnsi="Times New Roman" w:eastAsia="宋体" w:cs="Times New Roman"/>
                <w:color w:val="auto"/>
                <w:kern w:val="0"/>
                <w:szCs w:val="21"/>
              </w:rPr>
              <w:t>。</w:t>
            </w:r>
          </w:p>
        </w:tc>
      </w:tr>
    </w:tbl>
    <w:p>
      <w:pPr>
        <w:adjustRightIn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（4）监测结果与评价</w:t>
      </w:r>
    </w:p>
    <w:p>
      <w:pPr>
        <w:adjustRightIn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噪声监测结果见表4.2-</w:t>
      </w:r>
      <w:r>
        <w:rPr>
          <w:rFonts w:hint="eastAsia" w:ascii="Times New Roman" w:hAnsi="Times New Roman" w:eastAsia="宋体" w:cs="Times New Roman"/>
          <w:color w:val="auto"/>
          <w:sz w:val="24"/>
          <w:lang w:val="en-US" w:eastAsia="zh-CN"/>
        </w:rPr>
        <w:t>7</w:t>
      </w:r>
      <w:r>
        <w:rPr>
          <w:rFonts w:hint="default" w:ascii="Times New Roman" w:hAnsi="Times New Roman" w:eastAsia="宋体" w:cs="Times New Roman"/>
          <w:color w:val="auto"/>
          <w:sz w:val="24"/>
        </w:rPr>
        <w:t>。</w:t>
      </w:r>
    </w:p>
    <w:p>
      <w:pPr>
        <w:spacing w:beforeLines="50" w:line="480" w:lineRule="exact"/>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表4.2-</w:t>
      </w:r>
      <w:r>
        <w:rPr>
          <w:rFonts w:hint="eastAsia" w:ascii="Times New Roman" w:hAnsi="Times New Roman" w:eastAsia="宋体" w:cs="Times New Roman"/>
          <w:color w:val="auto"/>
          <w:sz w:val="24"/>
          <w:lang w:val="en-US" w:eastAsia="zh-CN"/>
        </w:rPr>
        <w:t>7</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 xml:space="preserve"> 噪声监测结果及评价               单位：dB（A）</w:t>
      </w:r>
    </w:p>
    <w:tbl>
      <w:tblPr>
        <w:tblStyle w:val="51"/>
        <w:tblW w:w="928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4"/>
        <w:gridCol w:w="1463"/>
        <w:gridCol w:w="1237"/>
        <w:gridCol w:w="1013"/>
        <w:gridCol w:w="1275"/>
        <w:gridCol w:w="1068"/>
        <w:gridCol w:w="1125"/>
        <w:gridCol w:w="127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restart"/>
            <w:tcBorders>
              <w:tl2br w:val="nil"/>
              <w:tr2bl w:val="nil"/>
            </w:tcBorders>
            <w:noWrap/>
            <w:vAlign w:val="center"/>
          </w:tcPr>
          <w:p>
            <w:pPr>
              <w:widowControl/>
              <w:jc w:val="center"/>
              <w:textAlignment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采样时间</w:t>
            </w:r>
          </w:p>
        </w:tc>
        <w:tc>
          <w:tcPr>
            <w:tcW w:w="1463" w:type="dxa"/>
            <w:vMerge w:val="restart"/>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测点名称</w:t>
            </w:r>
          </w:p>
        </w:tc>
        <w:tc>
          <w:tcPr>
            <w:tcW w:w="6990" w:type="dxa"/>
            <w:gridSpan w:val="6"/>
            <w:tcBorders>
              <w:tl2br w:val="nil"/>
              <w:tr2bl w:val="nil"/>
            </w:tcBorders>
            <w:noWrap/>
            <w:vAlign w:val="center"/>
          </w:tcPr>
          <w:p>
            <w:pPr>
              <w:widowControl/>
              <w:jc w:val="center"/>
              <w:textAlignment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检测结果    单位：dB(A)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p>
        </w:tc>
        <w:tc>
          <w:tcPr>
            <w:tcW w:w="1463" w:type="dxa"/>
            <w:vMerge w:val="continue"/>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p>
        </w:tc>
        <w:tc>
          <w:tcPr>
            <w:tcW w:w="3525" w:type="dxa"/>
            <w:gridSpan w:val="3"/>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昼间</w:t>
            </w:r>
          </w:p>
        </w:tc>
        <w:tc>
          <w:tcPr>
            <w:tcW w:w="3465" w:type="dxa"/>
            <w:gridSpan w:val="3"/>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夜间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p>
        </w:tc>
        <w:tc>
          <w:tcPr>
            <w:tcW w:w="1463" w:type="dxa"/>
            <w:vMerge w:val="continue"/>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p>
        </w:tc>
        <w:tc>
          <w:tcPr>
            <w:tcW w:w="1237" w:type="dxa"/>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L</w:t>
            </w:r>
            <w:r>
              <w:rPr>
                <w:rFonts w:hint="default" w:ascii="Times New Roman" w:hAnsi="Times New Roman" w:eastAsia="宋体" w:cs="Times New Roman"/>
                <w:color w:val="auto"/>
                <w:szCs w:val="21"/>
                <w:vertAlign w:val="subscript"/>
              </w:rPr>
              <w:t>eq</w:t>
            </w:r>
          </w:p>
        </w:tc>
        <w:tc>
          <w:tcPr>
            <w:tcW w:w="1013" w:type="dxa"/>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标准</w:t>
            </w:r>
          </w:p>
        </w:tc>
        <w:tc>
          <w:tcPr>
            <w:tcW w:w="1275" w:type="dxa"/>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达标情况</w:t>
            </w:r>
          </w:p>
        </w:tc>
        <w:tc>
          <w:tcPr>
            <w:tcW w:w="1068" w:type="dxa"/>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L</w:t>
            </w:r>
            <w:r>
              <w:rPr>
                <w:rFonts w:hint="default" w:ascii="Times New Roman" w:hAnsi="Times New Roman" w:eastAsia="宋体" w:cs="Times New Roman"/>
                <w:color w:val="auto"/>
                <w:szCs w:val="21"/>
                <w:vertAlign w:val="subscript"/>
              </w:rPr>
              <w:t>eq</w:t>
            </w:r>
          </w:p>
        </w:tc>
        <w:tc>
          <w:tcPr>
            <w:tcW w:w="1125" w:type="dxa"/>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标准</w:t>
            </w:r>
          </w:p>
        </w:tc>
        <w:tc>
          <w:tcPr>
            <w:tcW w:w="1272" w:type="dxa"/>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restart"/>
            <w:tcBorders>
              <w:tl2br w:val="nil"/>
              <w:tr2bl w:val="nil"/>
            </w:tcBorders>
            <w:noWrap/>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2021.</w:t>
            </w:r>
            <w:r>
              <w:rPr>
                <w:rFonts w:hint="default" w:ascii="Times New Roman" w:hAnsi="Times New Roman" w:eastAsia="宋体" w:cs="Times New Roman"/>
                <w:color w:val="auto"/>
                <w:szCs w:val="21"/>
                <w:lang w:val="en-US" w:eastAsia="zh-CN"/>
              </w:rPr>
              <w:t>11.24</w:t>
            </w:r>
          </w:p>
        </w:tc>
        <w:tc>
          <w:tcPr>
            <w:tcW w:w="1463"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厂界东侧</w:t>
            </w:r>
          </w:p>
        </w:tc>
        <w:tc>
          <w:tcPr>
            <w:tcW w:w="1237" w:type="dxa"/>
            <w:tcBorders>
              <w:tl2br w:val="nil"/>
              <w:tr2bl w:val="nil"/>
            </w:tcBorders>
            <w:noWrap/>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47</w:t>
            </w:r>
          </w:p>
        </w:tc>
        <w:tc>
          <w:tcPr>
            <w:tcW w:w="1013" w:type="dxa"/>
            <w:tcBorders>
              <w:tl2br w:val="nil"/>
              <w:tr2bl w:val="nil"/>
            </w:tcBorders>
            <w:noWrap/>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55</w:t>
            </w:r>
          </w:p>
        </w:tc>
        <w:tc>
          <w:tcPr>
            <w:tcW w:w="1275"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c>
          <w:tcPr>
            <w:tcW w:w="1068" w:type="dxa"/>
            <w:tcBorders>
              <w:tl2br w:val="nil"/>
              <w:tr2bl w:val="nil"/>
            </w:tcBorders>
            <w:noWrap/>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35</w:t>
            </w:r>
          </w:p>
        </w:tc>
        <w:tc>
          <w:tcPr>
            <w:tcW w:w="1125" w:type="dxa"/>
            <w:tcBorders>
              <w:tl2br w:val="nil"/>
              <w:tr2bl w:val="nil"/>
            </w:tcBorders>
            <w:noWrap/>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45</w:t>
            </w:r>
          </w:p>
        </w:tc>
        <w:tc>
          <w:tcPr>
            <w:tcW w:w="1272"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p>
        </w:tc>
        <w:tc>
          <w:tcPr>
            <w:tcW w:w="1463"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厂界南侧</w:t>
            </w:r>
          </w:p>
        </w:tc>
        <w:tc>
          <w:tcPr>
            <w:tcW w:w="1237" w:type="dxa"/>
            <w:tcBorders>
              <w:tl2br w:val="nil"/>
              <w:tr2bl w:val="nil"/>
            </w:tcBorders>
            <w:noWrap/>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46</w:t>
            </w:r>
          </w:p>
        </w:tc>
        <w:tc>
          <w:tcPr>
            <w:tcW w:w="1013" w:type="dxa"/>
            <w:tcBorders>
              <w:tl2br w:val="nil"/>
              <w:tr2bl w:val="nil"/>
            </w:tcBorders>
            <w:noWrap/>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55</w:t>
            </w:r>
          </w:p>
        </w:tc>
        <w:tc>
          <w:tcPr>
            <w:tcW w:w="1275"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c>
          <w:tcPr>
            <w:tcW w:w="1068" w:type="dxa"/>
            <w:tcBorders>
              <w:tl2br w:val="nil"/>
              <w:tr2bl w:val="nil"/>
            </w:tcBorders>
            <w:noWrap/>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37</w:t>
            </w:r>
          </w:p>
        </w:tc>
        <w:tc>
          <w:tcPr>
            <w:tcW w:w="1125" w:type="dxa"/>
            <w:tcBorders>
              <w:tl2br w:val="nil"/>
              <w:tr2bl w:val="nil"/>
            </w:tcBorders>
            <w:noWrap/>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45</w:t>
            </w:r>
          </w:p>
        </w:tc>
        <w:tc>
          <w:tcPr>
            <w:tcW w:w="1272"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p>
        </w:tc>
        <w:tc>
          <w:tcPr>
            <w:tcW w:w="1463"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厂界西侧</w:t>
            </w:r>
          </w:p>
        </w:tc>
        <w:tc>
          <w:tcPr>
            <w:tcW w:w="1237" w:type="dxa"/>
            <w:tcBorders>
              <w:tl2br w:val="nil"/>
              <w:tr2bl w:val="nil"/>
            </w:tcBorders>
            <w:noWrap/>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48</w:t>
            </w:r>
          </w:p>
        </w:tc>
        <w:tc>
          <w:tcPr>
            <w:tcW w:w="1013" w:type="dxa"/>
            <w:tcBorders>
              <w:tl2br w:val="nil"/>
              <w:tr2bl w:val="nil"/>
            </w:tcBorders>
            <w:noWrap/>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55</w:t>
            </w:r>
          </w:p>
        </w:tc>
        <w:tc>
          <w:tcPr>
            <w:tcW w:w="1275"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c>
          <w:tcPr>
            <w:tcW w:w="1068" w:type="dxa"/>
            <w:tcBorders>
              <w:tl2br w:val="nil"/>
              <w:tr2bl w:val="nil"/>
            </w:tcBorders>
            <w:noWrap/>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38</w:t>
            </w:r>
          </w:p>
        </w:tc>
        <w:tc>
          <w:tcPr>
            <w:tcW w:w="1125" w:type="dxa"/>
            <w:tcBorders>
              <w:tl2br w:val="nil"/>
              <w:tr2bl w:val="nil"/>
            </w:tcBorders>
            <w:noWrap/>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45</w:t>
            </w:r>
          </w:p>
        </w:tc>
        <w:tc>
          <w:tcPr>
            <w:tcW w:w="1272"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p>
        </w:tc>
        <w:tc>
          <w:tcPr>
            <w:tcW w:w="1463"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厂界北侧</w:t>
            </w:r>
          </w:p>
        </w:tc>
        <w:tc>
          <w:tcPr>
            <w:tcW w:w="1237" w:type="dxa"/>
            <w:tcBorders>
              <w:tl2br w:val="nil"/>
              <w:tr2bl w:val="nil"/>
            </w:tcBorders>
            <w:noWrap/>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45</w:t>
            </w:r>
          </w:p>
        </w:tc>
        <w:tc>
          <w:tcPr>
            <w:tcW w:w="1013" w:type="dxa"/>
            <w:tcBorders>
              <w:tl2br w:val="nil"/>
              <w:tr2bl w:val="nil"/>
            </w:tcBorders>
            <w:noWrap/>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55</w:t>
            </w:r>
          </w:p>
        </w:tc>
        <w:tc>
          <w:tcPr>
            <w:tcW w:w="1275"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c>
          <w:tcPr>
            <w:tcW w:w="1068" w:type="dxa"/>
            <w:tcBorders>
              <w:tl2br w:val="nil"/>
              <w:tr2bl w:val="nil"/>
            </w:tcBorders>
            <w:noWrap/>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38</w:t>
            </w:r>
          </w:p>
        </w:tc>
        <w:tc>
          <w:tcPr>
            <w:tcW w:w="1125" w:type="dxa"/>
            <w:tcBorders>
              <w:tl2br w:val="nil"/>
              <w:tr2bl w:val="nil"/>
            </w:tcBorders>
            <w:noWrap/>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45</w:t>
            </w:r>
          </w:p>
        </w:tc>
        <w:tc>
          <w:tcPr>
            <w:tcW w:w="1272"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restart"/>
            <w:tcBorders>
              <w:tl2br w:val="nil"/>
              <w:tr2bl w:val="nil"/>
            </w:tcBorders>
            <w:noWrap/>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2021.</w:t>
            </w:r>
            <w:r>
              <w:rPr>
                <w:rFonts w:hint="default" w:ascii="Times New Roman" w:hAnsi="Times New Roman" w:eastAsia="宋体" w:cs="Times New Roman"/>
                <w:color w:val="auto"/>
                <w:szCs w:val="21"/>
                <w:lang w:val="en-US" w:eastAsia="zh-CN"/>
              </w:rPr>
              <w:t>11.25</w:t>
            </w:r>
          </w:p>
        </w:tc>
        <w:tc>
          <w:tcPr>
            <w:tcW w:w="1463"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厂界东侧</w:t>
            </w:r>
          </w:p>
        </w:tc>
        <w:tc>
          <w:tcPr>
            <w:tcW w:w="1237" w:type="dxa"/>
            <w:tcBorders>
              <w:tl2br w:val="nil"/>
              <w:tr2bl w:val="nil"/>
            </w:tcBorders>
            <w:noWrap/>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47</w:t>
            </w:r>
          </w:p>
        </w:tc>
        <w:tc>
          <w:tcPr>
            <w:tcW w:w="1013" w:type="dxa"/>
            <w:tcBorders>
              <w:tl2br w:val="nil"/>
              <w:tr2bl w:val="nil"/>
            </w:tcBorders>
            <w:noWrap/>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55</w:t>
            </w:r>
          </w:p>
        </w:tc>
        <w:tc>
          <w:tcPr>
            <w:tcW w:w="1275"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c>
          <w:tcPr>
            <w:tcW w:w="1068" w:type="dxa"/>
            <w:tcBorders>
              <w:tl2br w:val="nil"/>
              <w:tr2bl w:val="nil"/>
            </w:tcBorders>
            <w:noWrap/>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39</w:t>
            </w:r>
          </w:p>
        </w:tc>
        <w:tc>
          <w:tcPr>
            <w:tcW w:w="1125" w:type="dxa"/>
            <w:tcBorders>
              <w:tl2br w:val="nil"/>
              <w:tr2bl w:val="nil"/>
            </w:tcBorders>
            <w:noWrap/>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45</w:t>
            </w:r>
          </w:p>
        </w:tc>
        <w:tc>
          <w:tcPr>
            <w:tcW w:w="1272"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p>
        </w:tc>
        <w:tc>
          <w:tcPr>
            <w:tcW w:w="1463"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厂界南侧</w:t>
            </w:r>
          </w:p>
        </w:tc>
        <w:tc>
          <w:tcPr>
            <w:tcW w:w="1237" w:type="dxa"/>
            <w:tcBorders>
              <w:tl2br w:val="nil"/>
              <w:tr2bl w:val="nil"/>
            </w:tcBorders>
            <w:noWrap/>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48</w:t>
            </w:r>
          </w:p>
        </w:tc>
        <w:tc>
          <w:tcPr>
            <w:tcW w:w="1013" w:type="dxa"/>
            <w:tcBorders>
              <w:tl2br w:val="nil"/>
              <w:tr2bl w:val="nil"/>
            </w:tcBorders>
            <w:noWrap/>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55</w:t>
            </w:r>
          </w:p>
        </w:tc>
        <w:tc>
          <w:tcPr>
            <w:tcW w:w="1275"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c>
          <w:tcPr>
            <w:tcW w:w="1068" w:type="dxa"/>
            <w:tcBorders>
              <w:tl2br w:val="nil"/>
              <w:tr2bl w:val="nil"/>
            </w:tcBorders>
            <w:noWrap/>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37</w:t>
            </w:r>
          </w:p>
        </w:tc>
        <w:tc>
          <w:tcPr>
            <w:tcW w:w="1125" w:type="dxa"/>
            <w:tcBorders>
              <w:tl2br w:val="nil"/>
              <w:tr2bl w:val="nil"/>
            </w:tcBorders>
            <w:noWrap/>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45</w:t>
            </w:r>
          </w:p>
        </w:tc>
        <w:tc>
          <w:tcPr>
            <w:tcW w:w="1272"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p>
        </w:tc>
        <w:tc>
          <w:tcPr>
            <w:tcW w:w="1463"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厂界西侧</w:t>
            </w:r>
          </w:p>
        </w:tc>
        <w:tc>
          <w:tcPr>
            <w:tcW w:w="1237" w:type="dxa"/>
            <w:tcBorders>
              <w:tl2br w:val="nil"/>
              <w:tr2bl w:val="nil"/>
            </w:tcBorders>
            <w:noWrap/>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48</w:t>
            </w:r>
          </w:p>
        </w:tc>
        <w:tc>
          <w:tcPr>
            <w:tcW w:w="1013" w:type="dxa"/>
            <w:tcBorders>
              <w:tl2br w:val="nil"/>
              <w:tr2bl w:val="nil"/>
            </w:tcBorders>
            <w:noWrap/>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55</w:t>
            </w:r>
          </w:p>
        </w:tc>
        <w:tc>
          <w:tcPr>
            <w:tcW w:w="1275"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c>
          <w:tcPr>
            <w:tcW w:w="1068" w:type="dxa"/>
            <w:tcBorders>
              <w:tl2br w:val="nil"/>
              <w:tr2bl w:val="nil"/>
            </w:tcBorders>
            <w:noWrap/>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39</w:t>
            </w:r>
          </w:p>
        </w:tc>
        <w:tc>
          <w:tcPr>
            <w:tcW w:w="1125" w:type="dxa"/>
            <w:tcBorders>
              <w:tl2br w:val="nil"/>
              <w:tr2bl w:val="nil"/>
            </w:tcBorders>
            <w:noWrap/>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45</w:t>
            </w:r>
          </w:p>
        </w:tc>
        <w:tc>
          <w:tcPr>
            <w:tcW w:w="1272"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4" w:type="dxa"/>
            <w:vMerge w:val="continue"/>
            <w:tcBorders>
              <w:tl2br w:val="nil"/>
              <w:tr2bl w:val="nil"/>
            </w:tcBorders>
            <w:noWrap/>
            <w:vAlign w:val="center"/>
          </w:tcPr>
          <w:p>
            <w:pPr>
              <w:widowControl/>
              <w:jc w:val="center"/>
              <w:textAlignment w:val="center"/>
              <w:rPr>
                <w:rFonts w:hint="default" w:ascii="Times New Roman" w:hAnsi="Times New Roman" w:eastAsia="宋体" w:cs="Times New Roman"/>
                <w:color w:val="auto"/>
                <w:szCs w:val="21"/>
              </w:rPr>
            </w:pPr>
          </w:p>
        </w:tc>
        <w:tc>
          <w:tcPr>
            <w:tcW w:w="1463"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厂界北侧</w:t>
            </w:r>
          </w:p>
        </w:tc>
        <w:tc>
          <w:tcPr>
            <w:tcW w:w="1237" w:type="dxa"/>
            <w:tcBorders>
              <w:tl2br w:val="nil"/>
              <w:tr2bl w:val="nil"/>
            </w:tcBorders>
            <w:noWrap/>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48</w:t>
            </w:r>
          </w:p>
        </w:tc>
        <w:tc>
          <w:tcPr>
            <w:tcW w:w="1013" w:type="dxa"/>
            <w:tcBorders>
              <w:tl2br w:val="nil"/>
              <w:tr2bl w:val="nil"/>
            </w:tcBorders>
            <w:noWrap/>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55</w:t>
            </w:r>
          </w:p>
        </w:tc>
        <w:tc>
          <w:tcPr>
            <w:tcW w:w="1275"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c>
          <w:tcPr>
            <w:tcW w:w="1068" w:type="dxa"/>
            <w:tcBorders>
              <w:tl2br w:val="nil"/>
              <w:tr2bl w:val="nil"/>
            </w:tcBorders>
            <w:noWrap/>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38</w:t>
            </w:r>
          </w:p>
        </w:tc>
        <w:tc>
          <w:tcPr>
            <w:tcW w:w="1125" w:type="dxa"/>
            <w:tcBorders>
              <w:tl2br w:val="nil"/>
              <w:tr2bl w:val="nil"/>
            </w:tcBorders>
            <w:noWrap/>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45</w:t>
            </w:r>
          </w:p>
        </w:tc>
        <w:tc>
          <w:tcPr>
            <w:tcW w:w="1272" w:type="dxa"/>
            <w:tcBorders>
              <w:tl2br w:val="nil"/>
              <w:tr2bl w:val="nil"/>
            </w:tcBorders>
            <w:noWrap/>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r>
    </w:tbl>
    <w:p>
      <w:pPr>
        <w:snapToGrid w:val="0"/>
        <w:spacing w:line="360" w:lineRule="auto"/>
        <w:ind w:firstLine="480" w:firstLineChars="200"/>
        <w:rPr>
          <w:rFonts w:hint="default" w:ascii="Times New Roman" w:hAnsi="Times New Roman" w:eastAsia="宋体" w:cs="Times New Roman"/>
          <w:color w:val="auto"/>
          <w:sz w:val="24"/>
          <w:highlight w:val="yellow"/>
        </w:rPr>
      </w:pPr>
      <w:r>
        <w:rPr>
          <w:rFonts w:hint="default" w:ascii="Times New Roman" w:hAnsi="Times New Roman" w:eastAsia="宋体" w:cs="Times New Roman"/>
          <w:color w:val="auto"/>
          <w:sz w:val="24"/>
        </w:rPr>
        <w:t>由表4.4-</w:t>
      </w:r>
      <w:r>
        <w:rPr>
          <w:rFonts w:hint="eastAsia" w:ascii="Times New Roman" w:hAnsi="Times New Roman" w:eastAsia="宋体" w:cs="Times New Roman"/>
          <w:color w:val="auto"/>
          <w:sz w:val="24"/>
          <w:lang w:val="en-US" w:eastAsia="zh-CN"/>
        </w:rPr>
        <w:t>7</w:t>
      </w:r>
      <w:r>
        <w:rPr>
          <w:rFonts w:hint="default" w:ascii="Times New Roman" w:hAnsi="Times New Roman" w:eastAsia="宋体" w:cs="Times New Roman"/>
          <w:color w:val="auto"/>
          <w:sz w:val="24"/>
        </w:rPr>
        <w:t>可见，厂界四周各监测点位昼间、夜间最大噪声值均满足《声环境质量标准》（GB3096-2008）</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类标准要求。</w:t>
      </w:r>
    </w:p>
    <w:p>
      <w:pPr>
        <w:spacing w:beforeLines="50" w:line="360" w:lineRule="auto"/>
        <w:outlineLvl w:val="2"/>
        <w:rPr>
          <w:rFonts w:hint="default" w:ascii="Times New Roman" w:hAnsi="Times New Roman" w:eastAsia="宋体" w:cs="Times New Roman"/>
          <w:b/>
          <w:color w:val="auto"/>
          <w:sz w:val="28"/>
          <w:szCs w:val="28"/>
          <w:highlight w:val="none"/>
        </w:rPr>
      </w:pPr>
      <w:bookmarkStart w:id="221" w:name="_Toc1442"/>
      <w:r>
        <w:rPr>
          <w:rFonts w:hint="default" w:ascii="Times New Roman" w:hAnsi="Times New Roman" w:eastAsia="宋体" w:cs="Times New Roman"/>
          <w:b/>
          <w:color w:val="auto"/>
          <w:sz w:val="28"/>
          <w:szCs w:val="28"/>
          <w:highlight w:val="none"/>
        </w:rPr>
        <w:t>4.2.4地下水环境现状调查与评价</w:t>
      </w:r>
      <w:bookmarkEnd w:id="221"/>
    </w:p>
    <w:p>
      <w:pPr>
        <w:pStyle w:val="16"/>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szCs w:val="24"/>
          <w:highlight w:val="none"/>
          <w:lang w:eastAsia="zh-CN"/>
        </w:rPr>
        <w:t>北票市冶通矿业有限公司</w:t>
      </w:r>
      <w:r>
        <w:rPr>
          <w:rFonts w:hint="default" w:ascii="Times New Roman" w:hAnsi="Times New Roman" w:eastAsia="宋体" w:cs="Times New Roman"/>
          <w:color w:val="auto"/>
          <w:sz w:val="24"/>
          <w:szCs w:val="24"/>
          <w:lang w:val="en-US" w:eastAsia="zh-CN"/>
        </w:rPr>
        <w:t>委托</w:t>
      </w:r>
      <w:r>
        <w:rPr>
          <w:rFonts w:hint="default" w:ascii="Times New Roman" w:hAnsi="Times New Roman" w:eastAsia="宋体" w:cs="Times New Roman"/>
          <w:color w:val="auto"/>
          <w:sz w:val="24"/>
        </w:rPr>
        <w:t>辽宁中环祥瑞工程技术有限公司</w:t>
      </w:r>
      <w:r>
        <w:rPr>
          <w:rFonts w:hint="default" w:ascii="Times New Roman" w:hAnsi="Times New Roman" w:eastAsia="宋体" w:cs="Times New Roman"/>
          <w:color w:val="auto"/>
          <w:sz w:val="24"/>
          <w:szCs w:val="24"/>
          <w:lang w:val="en-US" w:eastAsia="zh-CN"/>
        </w:rPr>
        <w:t>对</w:t>
      </w:r>
      <w:r>
        <w:rPr>
          <w:rFonts w:hint="default" w:ascii="Times New Roman" w:hAnsi="Times New Roman" w:eastAsia="宋体" w:cs="Times New Roman"/>
          <w:color w:val="auto"/>
          <w:sz w:val="24"/>
          <w:szCs w:val="24"/>
          <w:highlight w:val="none"/>
          <w:lang w:eastAsia="zh-CN"/>
        </w:rPr>
        <w:t>北票市冶通矿业有限公司年产</w:t>
      </w:r>
      <w:r>
        <w:rPr>
          <w:rFonts w:hint="default" w:ascii="Times New Roman" w:hAnsi="Times New Roman" w:eastAsia="宋体" w:cs="Times New Roman"/>
          <w:color w:val="auto"/>
          <w:sz w:val="24"/>
          <w:szCs w:val="24"/>
          <w:highlight w:val="none"/>
          <w:lang w:val="en-US" w:eastAsia="zh-CN"/>
        </w:rPr>
        <w:t>50万吨铁精粉</w:t>
      </w:r>
      <w:r>
        <w:rPr>
          <w:rFonts w:hint="default" w:ascii="Times New Roman" w:hAnsi="Times New Roman" w:eastAsia="宋体" w:cs="Times New Roman"/>
          <w:color w:val="auto"/>
          <w:sz w:val="24"/>
          <w:szCs w:val="24"/>
          <w:highlight w:val="none"/>
        </w:rPr>
        <w:t>建设项目</w:t>
      </w:r>
      <w:r>
        <w:rPr>
          <w:rFonts w:hint="default" w:ascii="Times New Roman" w:hAnsi="Times New Roman" w:eastAsia="宋体" w:cs="Times New Roman"/>
          <w:color w:val="auto"/>
          <w:sz w:val="24"/>
          <w:szCs w:val="24"/>
          <w:lang w:val="en-US" w:eastAsia="zh-CN"/>
        </w:rPr>
        <w:t>地下水环境</w:t>
      </w:r>
      <w:r>
        <w:rPr>
          <w:rFonts w:hint="default" w:ascii="Times New Roman" w:hAnsi="Times New Roman" w:eastAsia="宋体" w:cs="Times New Roman"/>
          <w:color w:val="auto"/>
          <w:kern w:val="2"/>
          <w:sz w:val="24"/>
          <w:szCs w:val="24"/>
          <w:lang w:val="en-US" w:eastAsia="zh-CN" w:bidi="ar-SA"/>
        </w:rPr>
        <w:t>质量现状</w:t>
      </w:r>
      <w:r>
        <w:rPr>
          <w:rFonts w:hint="default" w:ascii="Times New Roman" w:hAnsi="Times New Roman" w:eastAsia="宋体" w:cs="Times New Roman"/>
          <w:color w:val="auto"/>
          <w:sz w:val="24"/>
          <w:szCs w:val="24"/>
        </w:rPr>
        <w:t>进行监测</w:t>
      </w:r>
      <w:r>
        <w:rPr>
          <w:rFonts w:hint="default" w:ascii="Times New Roman" w:hAnsi="Times New Roman" w:eastAsia="宋体" w:cs="Times New Roman"/>
          <w:color w:val="auto"/>
          <w:sz w:val="24"/>
        </w:rPr>
        <w:t>。</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rPr>
        <w:t>(1)监测</w:t>
      </w:r>
      <w:r>
        <w:rPr>
          <w:rFonts w:hint="default" w:ascii="Times New Roman" w:hAnsi="Times New Roman" w:eastAsia="宋体" w:cs="Times New Roman"/>
          <w:color w:val="auto"/>
          <w:sz w:val="24"/>
          <w:szCs w:val="24"/>
        </w:rPr>
        <w:t>项目：</w:t>
      </w:r>
      <w:r>
        <w:rPr>
          <w:rFonts w:hint="default" w:ascii="Times New Roman" w:hAnsi="Times New Roman" w:eastAsia="宋体" w:cs="Times New Roman"/>
          <w:color w:val="auto"/>
          <w:sz w:val="24"/>
          <w:szCs w:val="24"/>
          <w:lang w:eastAsia="zh-CN"/>
        </w:rPr>
        <w:t>水位、</w:t>
      </w:r>
      <w:r>
        <w:rPr>
          <w:rFonts w:hint="default" w:ascii="Times New Roman" w:hAnsi="Times New Roman" w:eastAsia="宋体" w:cs="Times New Roman"/>
          <w:color w:val="auto"/>
          <w:sz w:val="24"/>
          <w:szCs w:val="24"/>
        </w:rPr>
        <w:t>pH、总硬度、溶解性总固体、硫酸盐、硫化物、氯化物、氟化物、耗氧量、氨氮、亚硝酸盐</w:t>
      </w:r>
      <w:r>
        <w:rPr>
          <w:rFonts w:hint="default" w:ascii="Times New Roman" w:hAnsi="Times New Roman" w:eastAsia="宋体" w:cs="Times New Roman"/>
          <w:color w:val="auto"/>
          <w:sz w:val="24"/>
          <w:szCs w:val="24"/>
          <w:lang w:val="en-US" w:eastAsia="zh-CN"/>
        </w:rPr>
        <w:t>氮</w:t>
      </w:r>
      <w:r>
        <w:rPr>
          <w:rFonts w:hint="default" w:ascii="Times New Roman" w:hAnsi="Times New Roman" w:eastAsia="宋体" w:cs="Times New Roman"/>
          <w:color w:val="auto"/>
          <w:sz w:val="24"/>
          <w:szCs w:val="24"/>
        </w:rPr>
        <w:t>、硝酸盐</w:t>
      </w:r>
      <w:r>
        <w:rPr>
          <w:rFonts w:hint="default" w:ascii="Times New Roman" w:hAnsi="Times New Roman" w:eastAsia="宋体" w:cs="Times New Roman"/>
          <w:color w:val="auto"/>
          <w:sz w:val="24"/>
          <w:szCs w:val="24"/>
          <w:lang w:val="en-US" w:eastAsia="zh-CN"/>
        </w:rPr>
        <w:t>氮</w:t>
      </w:r>
      <w:r>
        <w:rPr>
          <w:rFonts w:hint="default" w:ascii="Times New Roman" w:hAnsi="Times New Roman" w:eastAsia="宋体" w:cs="Times New Roman"/>
          <w:color w:val="auto"/>
          <w:sz w:val="24"/>
          <w:szCs w:val="24"/>
        </w:rPr>
        <w:t>、六价铬、汞、砷、镉、铅、铁、锰、锌、铜、石油类</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K+、Na+、Ca</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、Mg</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、CO</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、HCO</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、Cl</w:t>
      </w:r>
      <w:r>
        <w:rPr>
          <w:rFonts w:hint="default" w:ascii="Times New Roman" w:hAnsi="Times New Roman" w:eastAsia="宋体" w:cs="Times New Roman"/>
          <w:color w:val="auto"/>
          <w:sz w:val="24"/>
          <w:szCs w:val="24"/>
          <w:vertAlign w:val="superscript"/>
        </w:rPr>
        <w:t>-</w:t>
      </w:r>
      <w:r>
        <w:rPr>
          <w:rFonts w:hint="default" w:ascii="Times New Roman" w:hAnsi="Times New Roman" w:eastAsia="宋体" w:cs="Times New Roman"/>
          <w:color w:val="auto"/>
          <w:sz w:val="24"/>
          <w:szCs w:val="24"/>
        </w:rPr>
        <w:t>、SO</w:t>
      </w:r>
      <w:r>
        <w:rPr>
          <w:rFonts w:hint="default" w:ascii="Times New Roman" w:hAnsi="Times New Roman" w:eastAsia="宋体" w:cs="Times New Roman"/>
          <w:color w:val="auto"/>
          <w:sz w:val="24"/>
          <w:szCs w:val="24"/>
          <w:vertAlign w:val="subscript"/>
        </w:rPr>
        <w:t>4</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w:t>
      </w:r>
    </w:p>
    <w:p>
      <w:pPr>
        <w:spacing w:line="360" w:lineRule="auto"/>
        <w:ind w:firstLine="480" w:firstLineChars="200"/>
        <w:rPr>
          <w:rFonts w:hint="default" w:ascii="Times New Roman" w:hAnsi="Times New Roman" w:eastAsia="宋体" w:cs="Times New Roman"/>
          <w:color w:val="auto"/>
          <w:sz w:val="24"/>
          <w:shd w:val="clear" w:color="auto" w:fill="auto"/>
        </w:rPr>
      </w:pPr>
      <w:r>
        <w:rPr>
          <w:rFonts w:hint="default" w:ascii="Times New Roman" w:hAnsi="Times New Roman" w:eastAsia="宋体" w:cs="Times New Roman"/>
          <w:color w:val="auto"/>
          <w:sz w:val="24"/>
        </w:rPr>
        <w:t>(2)监测点</w:t>
      </w:r>
      <w:r>
        <w:rPr>
          <w:rFonts w:hint="default" w:ascii="Times New Roman" w:hAnsi="Times New Roman" w:eastAsia="宋体" w:cs="Times New Roman"/>
          <w:color w:val="auto"/>
          <w:sz w:val="24"/>
          <w:shd w:val="clear" w:color="auto" w:fill="auto"/>
        </w:rPr>
        <w:t>位：</w:t>
      </w:r>
      <w:r>
        <w:rPr>
          <w:rFonts w:hint="default" w:ascii="Times New Roman" w:hAnsi="Times New Roman" w:eastAsia="宋体" w:cs="Times New Roman"/>
          <w:color w:val="auto"/>
          <w:sz w:val="24"/>
          <w:shd w:val="clear" w:color="auto" w:fill="auto"/>
          <w:lang w:eastAsia="zh-CN"/>
        </w:rPr>
        <w:t>水质</w:t>
      </w:r>
      <w:r>
        <w:rPr>
          <w:rFonts w:hint="default" w:ascii="Times New Roman" w:hAnsi="Times New Roman" w:eastAsia="宋体" w:cs="Times New Roman"/>
          <w:color w:val="000000"/>
          <w:sz w:val="24"/>
          <w:szCs w:val="24"/>
          <w:lang w:val="en-US" w:eastAsia="zh-CN"/>
        </w:rPr>
        <w:t>5</w:t>
      </w:r>
      <w:r>
        <w:rPr>
          <w:rFonts w:hint="default" w:ascii="Times New Roman" w:hAnsi="Times New Roman" w:eastAsia="宋体" w:cs="Times New Roman"/>
          <w:color w:val="000000"/>
          <w:sz w:val="24"/>
          <w:szCs w:val="24"/>
        </w:rPr>
        <w:t>个</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auto"/>
          <w:sz w:val="24"/>
          <w:shd w:val="clear" w:color="auto" w:fill="auto"/>
          <w:lang w:val="en-US" w:eastAsia="zh-CN"/>
        </w:rPr>
        <w:t>项目所在地1#、喇嘛洞1#、上丁杖子1#、小巴沟河东1#、上窝堡1#)；水位10个（项目所在地1#、喇嘛洞1#、喇嘛洞2#、上丁杖子1#、上丁杖子2#、上丁杖子3#、小巴沟河东1#、小巴沟河东2#、上窝堡1#、上窝堡2#）</w:t>
      </w:r>
      <w:r>
        <w:rPr>
          <w:rFonts w:hint="default" w:ascii="Times New Roman" w:hAnsi="Times New Roman" w:eastAsia="宋体" w:cs="Times New Roman"/>
          <w:color w:val="auto"/>
          <w:sz w:val="24"/>
          <w:shd w:val="clear" w:color="auto" w:fill="auto"/>
        </w:rPr>
        <w:t>。</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shd w:val="clear" w:color="auto" w:fill="auto"/>
        </w:rPr>
        <w:t>(3)监测频率：</w:t>
      </w:r>
      <w:r>
        <w:rPr>
          <w:rFonts w:hint="default" w:ascii="Times New Roman" w:hAnsi="Times New Roman" w:eastAsia="宋体" w:cs="Times New Roman"/>
          <w:color w:val="auto"/>
          <w:sz w:val="24"/>
        </w:rPr>
        <w:t>20</w:t>
      </w:r>
      <w:r>
        <w:rPr>
          <w:rFonts w:hint="default" w:ascii="Times New Roman" w:hAnsi="Times New Roman" w:eastAsia="宋体" w:cs="Times New Roman"/>
          <w:color w:val="auto"/>
          <w:sz w:val="24"/>
          <w:lang w:val="en-US" w:eastAsia="zh-CN"/>
        </w:rPr>
        <w:t>21</w:t>
      </w:r>
      <w:r>
        <w:rPr>
          <w:rFonts w:hint="default" w:ascii="Times New Roman" w:hAnsi="Times New Roman" w:eastAsia="宋体" w:cs="Times New Roman"/>
          <w:color w:val="auto"/>
          <w:sz w:val="24"/>
        </w:rPr>
        <w:t>年</w:t>
      </w:r>
      <w:r>
        <w:rPr>
          <w:rFonts w:hint="default" w:ascii="Times New Roman" w:hAnsi="Times New Roman" w:eastAsia="宋体" w:cs="Times New Roman"/>
          <w:color w:val="auto"/>
          <w:sz w:val="24"/>
          <w:lang w:val="en-US" w:eastAsia="zh-CN"/>
        </w:rPr>
        <w:t>11</w:t>
      </w:r>
      <w:r>
        <w:rPr>
          <w:rFonts w:hint="default" w:ascii="Times New Roman" w:hAnsi="Times New Roman" w:eastAsia="宋体" w:cs="Times New Roman"/>
          <w:color w:val="auto"/>
          <w:sz w:val="24"/>
        </w:rPr>
        <w:t>月</w:t>
      </w:r>
      <w:r>
        <w:rPr>
          <w:rFonts w:hint="default" w:ascii="Times New Roman" w:hAnsi="Times New Roman" w:eastAsia="宋体" w:cs="Times New Roman"/>
          <w:color w:val="auto"/>
          <w:sz w:val="24"/>
          <w:lang w:val="en-US" w:eastAsia="zh-CN"/>
        </w:rPr>
        <w:t>28</w:t>
      </w:r>
      <w:r>
        <w:rPr>
          <w:rFonts w:hint="default" w:ascii="Times New Roman" w:hAnsi="Times New Roman" w:eastAsia="宋体" w:cs="Times New Roman"/>
          <w:color w:val="auto"/>
          <w:sz w:val="24"/>
        </w:rPr>
        <w:t>日，每天</w:t>
      </w:r>
      <w:r>
        <w:rPr>
          <w:rFonts w:hint="default" w:ascii="Times New Roman" w:hAnsi="Times New Roman" w:eastAsia="宋体" w:cs="Times New Roman"/>
          <w:color w:val="auto"/>
          <w:sz w:val="24"/>
          <w:lang w:eastAsia="zh-CN"/>
        </w:rPr>
        <w:t>一</w:t>
      </w:r>
      <w:r>
        <w:rPr>
          <w:rFonts w:hint="default" w:ascii="Times New Roman" w:hAnsi="Times New Roman" w:eastAsia="宋体" w:cs="Times New Roman"/>
          <w:color w:val="auto"/>
          <w:sz w:val="24"/>
        </w:rPr>
        <w:t>次。</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(4)监测方法：按环境监测技术规范进行。</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监测统计结果见表4.</w:t>
      </w:r>
      <w:r>
        <w:rPr>
          <w:rFonts w:hint="default" w:ascii="Times New Roman" w:hAnsi="Times New Roman" w:eastAsia="宋体" w:cs="Times New Roman"/>
          <w:color w:val="auto"/>
          <w:sz w:val="24"/>
          <w:lang w:val="en-US" w:eastAsia="zh-CN"/>
        </w:rPr>
        <w:t>2-</w:t>
      </w:r>
      <w:r>
        <w:rPr>
          <w:rFonts w:hint="eastAsia" w:ascii="Times New Roman" w:hAnsi="Times New Roman" w:eastAsia="宋体" w:cs="Times New Roman"/>
          <w:color w:val="auto"/>
          <w:sz w:val="24"/>
          <w:lang w:val="en-US" w:eastAsia="zh-CN"/>
        </w:rPr>
        <w:t>8</w:t>
      </w:r>
      <w:r>
        <w:rPr>
          <w:rFonts w:hint="default" w:ascii="Times New Roman" w:hAnsi="Times New Roman" w:eastAsia="宋体" w:cs="Times New Roman"/>
          <w:color w:val="auto"/>
          <w:sz w:val="24"/>
        </w:rPr>
        <w:t>。</w:t>
      </w:r>
    </w:p>
    <w:p>
      <w:pPr>
        <w:spacing w:beforeLines="50" w:line="480" w:lineRule="exact"/>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表4.</w:t>
      </w:r>
      <w:r>
        <w:rPr>
          <w:rFonts w:hint="default" w:ascii="Times New Roman" w:hAnsi="Times New Roman" w:eastAsia="宋体" w:cs="Times New Roman"/>
          <w:color w:val="auto"/>
          <w:sz w:val="24"/>
          <w:lang w:val="en-US" w:eastAsia="zh-CN"/>
        </w:rPr>
        <w:t>2-</w:t>
      </w:r>
      <w:r>
        <w:rPr>
          <w:rFonts w:hint="eastAsia" w:ascii="Times New Roman" w:hAnsi="Times New Roman" w:eastAsia="宋体" w:cs="Times New Roman"/>
          <w:color w:val="auto"/>
          <w:sz w:val="24"/>
          <w:lang w:val="en-US" w:eastAsia="zh-CN"/>
        </w:rPr>
        <w:t>8</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地下水监测结果与分析</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4"/>
        <w:gridCol w:w="763"/>
        <w:gridCol w:w="1175"/>
        <w:gridCol w:w="1172"/>
        <w:gridCol w:w="1172"/>
        <w:gridCol w:w="1172"/>
        <w:gridCol w:w="1172"/>
        <w:gridCol w:w="1174"/>
        <w:gridCol w:w="83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vMerge w:val="restart"/>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序号</w:t>
            </w:r>
          </w:p>
        </w:tc>
        <w:tc>
          <w:tcPr>
            <w:tcW w:w="763" w:type="dxa"/>
            <w:vMerge w:val="restart"/>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采样</w:t>
            </w:r>
          </w:p>
          <w:p>
            <w:pPr>
              <w:widowControl/>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eastAsia="zh-CN"/>
              </w:rPr>
              <w:t>日期</w:t>
            </w:r>
          </w:p>
        </w:tc>
        <w:tc>
          <w:tcPr>
            <w:tcW w:w="1175" w:type="dxa"/>
            <w:vMerge w:val="restart"/>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rPr>
              <w:t>检测项目</w:t>
            </w:r>
          </w:p>
        </w:tc>
        <w:tc>
          <w:tcPr>
            <w:tcW w:w="5862" w:type="dxa"/>
            <w:gridSpan w:val="5"/>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检测结果</w:t>
            </w:r>
          </w:p>
        </w:tc>
        <w:tc>
          <w:tcPr>
            <w:tcW w:w="833" w:type="dxa"/>
            <w:vMerge w:val="restart"/>
            <w:noWrap w:val="0"/>
            <w:vAlign w:val="center"/>
          </w:tcPr>
          <w:p>
            <w:pPr>
              <w:widowControl/>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kern w:val="0"/>
                <w:sz w:val="21"/>
                <w:szCs w:val="21"/>
                <w:highlight w:val="none"/>
                <w:lang w:bidi="ar"/>
              </w:rPr>
              <w:t>单位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763"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17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172"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shd w:val="clear" w:color="auto" w:fill="auto"/>
                <w:lang w:val="en-US" w:eastAsia="zh-CN"/>
              </w:rPr>
              <w:t>项目所在地1#</w:t>
            </w:r>
          </w:p>
        </w:tc>
        <w:tc>
          <w:tcPr>
            <w:tcW w:w="1172"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shd w:val="clear" w:color="auto" w:fill="auto"/>
                <w:lang w:val="en-US" w:eastAsia="zh-CN"/>
              </w:rPr>
              <w:t>喇嘛洞1#</w:t>
            </w:r>
          </w:p>
        </w:tc>
        <w:tc>
          <w:tcPr>
            <w:tcW w:w="1172"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shd w:val="clear" w:color="auto" w:fill="auto"/>
                <w:lang w:val="en-US" w:eastAsia="zh-CN"/>
              </w:rPr>
              <w:t>上丁杖子1#</w:t>
            </w:r>
          </w:p>
        </w:tc>
        <w:tc>
          <w:tcPr>
            <w:tcW w:w="1172"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shd w:val="clear" w:color="auto" w:fill="auto"/>
                <w:lang w:val="en-US" w:eastAsia="zh-CN"/>
              </w:rPr>
              <w:t>小巴沟河东1#</w:t>
            </w:r>
          </w:p>
        </w:tc>
        <w:tc>
          <w:tcPr>
            <w:tcW w:w="1174"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shd w:val="clear" w:color="auto" w:fill="auto"/>
                <w:lang w:val="en-US" w:eastAsia="zh-CN"/>
              </w:rPr>
              <w:t>上窝堡1#</w:t>
            </w:r>
          </w:p>
        </w:tc>
        <w:tc>
          <w:tcPr>
            <w:tcW w:w="833"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763" w:type="dxa"/>
            <w:vMerge w:val="restart"/>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2021.11.28</w:t>
            </w:r>
          </w:p>
        </w:tc>
        <w:tc>
          <w:tcPr>
            <w:tcW w:w="1175" w:type="dxa"/>
            <w:noWrap w:val="0"/>
            <w:vAlign w:val="center"/>
          </w:tcPr>
          <w:p>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rPr>
              <w:t>pH</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7.2</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7.2</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7.1</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7.3</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7.1</w:t>
            </w:r>
          </w:p>
        </w:tc>
        <w:tc>
          <w:tcPr>
            <w:tcW w:w="833" w:type="dxa"/>
            <w:noWrap w:val="0"/>
            <w:vAlign w:val="center"/>
          </w:tcPr>
          <w:p>
            <w:pPr>
              <w:adjustRightInd w:val="0"/>
              <w:snapToGrid w:val="0"/>
              <w:jc w:val="center"/>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auto"/>
                <w:sz w:val="21"/>
                <w:szCs w:val="21"/>
                <w:lang w:eastAsia="zh-CN"/>
              </w:rPr>
              <w:t>无</w:t>
            </w:r>
            <w:r>
              <w:rPr>
                <w:rFonts w:hint="default" w:ascii="Times New Roman" w:hAnsi="Times New Roman" w:eastAsia="宋体" w:cs="Times New Roman"/>
                <w:color w:val="auto"/>
                <w:sz w:val="21"/>
                <w:szCs w:val="21"/>
                <w:lang w:val="en-US" w:eastAsia="zh-CN"/>
              </w:rPr>
              <w:t>量</w:t>
            </w:r>
            <w:r>
              <w:rPr>
                <w:rFonts w:hint="default" w:ascii="Times New Roman" w:hAnsi="Times New Roman" w:eastAsia="宋体" w:cs="Times New Roman"/>
                <w:color w:val="auto"/>
                <w:sz w:val="21"/>
                <w:szCs w:val="21"/>
                <w:lang w:eastAsia="zh-CN"/>
              </w:rPr>
              <w:t>纲</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adjustRightInd w:val="0"/>
              <w:snapToGrid w:val="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氨氮</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0.494</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0.397</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0.321</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0.310</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0.421</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adjustRightInd w:val="0"/>
              <w:snapToGrid w:val="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耗氧量</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0.56</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0.84</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1.40</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0.40</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0.56</w:t>
            </w:r>
          </w:p>
        </w:tc>
        <w:tc>
          <w:tcPr>
            <w:tcW w:w="833" w:type="dxa"/>
            <w:noWrap w:val="0"/>
            <w:vAlign w:val="center"/>
          </w:tcPr>
          <w:p>
            <w:pPr>
              <w:widowControl/>
              <w:jc w:val="center"/>
              <w:textAlignment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sz w:val="21"/>
                <w:szCs w:val="21"/>
                <w:highlight w:val="none"/>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总硬度</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398.4</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538.5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702.7</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400.4</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372.4</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sz w:val="21"/>
                <w:szCs w:val="21"/>
                <w:highlight w:val="none"/>
              </w:rPr>
              <w:t>硝酸盐</w:t>
            </w:r>
            <w:r>
              <w:rPr>
                <w:rFonts w:hint="default" w:ascii="Times New Roman" w:hAnsi="Times New Roman" w:eastAsia="宋体" w:cs="Times New Roman"/>
                <w:color w:val="000000"/>
                <w:sz w:val="21"/>
                <w:szCs w:val="21"/>
                <w:highlight w:val="none"/>
                <w:lang w:val="en-US" w:eastAsia="zh-CN"/>
              </w:rPr>
              <w:t>氮</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0.97</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0.03</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0.03</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1.73</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0.03</w:t>
            </w:r>
          </w:p>
        </w:tc>
        <w:tc>
          <w:tcPr>
            <w:tcW w:w="833" w:type="dxa"/>
            <w:noWrap w:val="0"/>
            <w:vAlign w:val="center"/>
          </w:tcPr>
          <w:p>
            <w:pPr>
              <w:widowControl/>
              <w:adjustRightInd w:val="0"/>
              <w:snapToGrid w:val="0"/>
              <w:jc w:val="center"/>
              <w:rPr>
                <w:rFonts w:hint="default" w:ascii="Times New Roman" w:hAnsi="Times New Roman" w:eastAsia="宋体" w:cs="Times New Roman"/>
                <w:b w:val="0"/>
                <w:bCs w:val="0"/>
                <w:color w:val="0000FF"/>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spacing w:line="300" w:lineRule="exact"/>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亚硝</w:t>
            </w:r>
          </w:p>
          <w:p>
            <w:pPr>
              <w:spacing w:line="300" w:lineRule="exact"/>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rPr>
              <w:t>酸盐</w:t>
            </w:r>
            <w:r>
              <w:rPr>
                <w:rFonts w:hint="default" w:ascii="Times New Roman" w:hAnsi="Times New Roman" w:eastAsia="宋体" w:cs="Times New Roman"/>
                <w:color w:val="000000"/>
                <w:sz w:val="21"/>
                <w:szCs w:val="21"/>
                <w:highlight w:val="none"/>
                <w:lang w:val="en-US" w:eastAsia="zh-CN"/>
              </w:rPr>
              <w:t>氮</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&lt;0.003</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0.005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0.005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&lt;0.003</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0.005</w:t>
            </w:r>
          </w:p>
        </w:tc>
        <w:tc>
          <w:tcPr>
            <w:tcW w:w="833" w:type="dxa"/>
            <w:noWrap w:val="0"/>
            <w:vAlign w:val="center"/>
          </w:tcPr>
          <w:p>
            <w:pPr>
              <w:widowControl/>
              <w:jc w:val="center"/>
              <w:textAlignment w:val="center"/>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7</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硫酸盐</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196</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188</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155</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89</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adjustRightInd w:val="0"/>
              <w:snapToGrid w:val="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溶解性</w:t>
            </w:r>
          </w:p>
          <w:p>
            <w:pPr>
              <w:widowControl/>
              <w:adjustRightInd w:val="0"/>
              <w:snapToGrid w:val="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总固体</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660</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865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957</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811</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752</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adjustRightInd w:val="0"/>
              <w:snapToGrid w:val="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氯化物</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35.0</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94.6</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94.1</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43.9</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108.4</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adjustRightInd w:val="0"/>
              <w:snapToGrid w:val="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硫化物</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&lt;0.005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&lt;0.005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&lt;0.005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&lt;0.005</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&lt;0.005</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eastAsia="zh-CN"/>
              </w:rPr>
              <w:t>氟化物</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0.12</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0.11</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0.13</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0.12</w:t>
            </w:r>
          </w:p>
        </w:tc>
        <w:tc>
          <w:tcPr>
            <w:tcW w:w="1174" w:type="dxa"/>
            <w:noWrap w:val="0"/>
            <w:vAlign w:val="center"/>
          </w:tcPr>
          <w:p>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0.13</w:t>
            </w:r>
          </w:p>
        </w:tc>
        <w:tc>
          <w:tcPr>
            <w:tcW w:w="833" w:type="dxa"/>
            <w:noWrap w:val="0"/>
            <w:vAlign w:val="center"/>
          </w:tcPr>
          <w:p>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z w:val="21"/>
                <w:szCs w:val="21"/>
              </w:rPr>
              <w:t>K</w:t>
            </w:r>
            <w:r>
              <w:rPr>
                <w:rFonts w:hint="default" w:ascii="Times New Roman" w:hAnsi="Times New Roman" w:eastAsia="宋体" w:cs="Times New Roman"/>
                <w:sz w:val="21"/>
                <w:szCs w:val="21"/>
                <w:vertAlign w:val="superscript"/>
              </w:rPr>
              <w:t>+</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3.31</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3.16</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2.87</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1.68</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1.50</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13</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z w:val="21"/>
                <w:szCs w:val="21"/>
              </w:rPr>
              <w:t>Na</w:t>
            </w:r>
            <w:r>
              <w:rPr>
                <w:rFonts w:hint="default" w:ascii="Times New Roman" w:hAnsi="Times New Roman" w:eastAsia="宋体" w:cs="Times New Roman"/>
                <w:sz w:val="21"/>
                <w:szCs w:val="21"/>
                <w:vertAlign w:val="superscript"/>
              </w:rPr>
              <w:t>+</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28.8</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20.9</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81.2</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27.3</w:t>
            </w:r>
          </w:p>
        </w:tc>
        <w:tc>
          <w:tcPr>
            <w:tcW w:w="1174" w:type="dxa"/>
            <w:noWrap w:val="0"/>
            <w:vAlign w:val="center"/>
          </w:tcPr>
          <w:p>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16.5</w:t>
            </w:r>
          </w:p>
        </w:tc>
        <w:tc>
          <w:tcPr>
            <w:tcW w:w="833" w:type="dxa"/>
            <w:noWrap w:val="0"/>
            <w:vAlign w:val="center"/>
          </w:tcPr>
          <w:p>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14</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z w:val="21"/>
                <w:szCs w:val="21"/>
              </w:rPr>
              <w:t>Ca</w:t>
            </w:r>
            <w:r>
              <w:rPr>
                <w:rFonts w:hint="default" w:ascii="Times New Roman" w:hAnsi="Times New Roman" w:eastAsia="宋体" w:cs="Times New Roman"/>
                <w:sz w:val="21"/>
                <w:szCs w:val="21"/>
                <w:vertAlign w:val="superscript"/>
              </w:rPr>
              <w:t>2+</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121</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150</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185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78.6</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110</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z w:val="21"/>
                <w:szCs w:val="21"/>
              </w:rPr>
              <w:t>Mg</w:t>
            </w:r>
            <w:r>
              <w:rPr>
                <w:rFonts w:hint="default" w:ascii="Times New Roman" w:hAnsi="Times New Roman" w:eastAsia="宋体" w:cs="Times New Roman"/>
                <w:sz w:val="21"/>
                <w:szCs w:val="21"/>
                <w:vertAlign w:val="superscript"/>
              </w:rPr>
              <w:t>2+</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13.0</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16.2</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27.3</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10.5</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13.8</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16</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z w:val="21"/>
                <w:szCs w:val="21"/>
              </w:rPr>
              <w:t>Cl</w:t>
            </w:r>
            <w:r>
              <w:rPr>
                <w:rFonts w:hint="default" w:ascii="Times New Roman" w:hAnsi="Times New Roman" w:eastAsia="宋体" w:cs="Times New Roman"/>
                <w:sz w:val="21"/>
                <w:szCs w:val="21"/>
                <w:vertAlign w:val="superscript"/>
              </w:rPr>
              <w:t>-</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33.6</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91.6</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90.8</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41.2</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105</w:t>
            </w:r>
          </w:p>
        </w:tc>
        <w:tc>
          <w:tcPr>
            <w:tcW w:w="833" w:type="dxa"/>
            <w:noWrap w:val="0"/>
            <w:vAlign w:val="center"/>
          </w:tcPr>
          <w:p>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17</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vertAlign w:val="superscript"/>
              </w:rPr>
              <w:t>2-</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91</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192</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182</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148</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83.8</w:t>
            </w:r>
          </w:p>
        </w:tc>
        <w:tc>
          <w:tcPr>
            <w:tcW w:w="833" w:type="dxa"/>
            <w:noWrap w:val="0"/>
            <w:vAlign w:val="center"/>
          </w:tcPr>
          <w:p>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18</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z w:val="21"/>
                <w:szCs w:val="21"/>
              </w:rPr>
              <w:t>CO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2-</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&lt;5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&lt;5</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&lt;5</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19</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z w:val="21"/>
                <w:szCs w:val="21"/>
              </w:rPr>
              <w:t>HCO</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vertAlign w:val="superscript"/>
              </w:rPr>
              <w:t>-</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230</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302</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317</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184</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151</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铁</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&lt;0.03</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&lt;0.03</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&lt;0.03</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&lt;0.03</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&lt;0.03</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21</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锰</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&lt;0.01</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&lt;0.01</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&lt;0.01</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&lt;0.01</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&lt;0.01</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22</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铜</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&lt;5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&lt;5</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&lt;5</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μg/L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23</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锌</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0.3831</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0.0218</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&lt;0.0125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&lt;0.0125</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&lt;0.0125</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24</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spacing w:line="360" w:lineRule="auto"/>
              <w:jc w:val="center"/>
              <w:outlineLvl w:val="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铅</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&lt;2.5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&lt;2.5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&lt;2.5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&lt;2.5</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&lt;2.5</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μg/L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25</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镉</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&lt;0.5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&lt;0.5</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&lt;0.5</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μg/L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26</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六价铬</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&lt;0.004</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&lt;0.004</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&lt;0.004</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&lt;0.004</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&lt;0.004</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27</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汞</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&lt;0.04</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&lt;0.04</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&lt;0.04</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&lt;0.04</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&lt;0.04</w:t>
            </w:r>
          </w:p>
        </w:tc>
        <w:tc>
          <w:tcPr>
            <w:tcW w:w="833" w:type="dxa"/>
            <w:noWrap w:val="0"/>
            <w:vAlign w:val="center"/>
          </w:tcPr>
          <w:p>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μg/L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28</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砷</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&lt;0.3</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&lt;0.3</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&lt;0.3</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&lt;0.3</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&lt;0.3</w:t>
            </w:r>
          </w:p>
        </w:tc>
        <w:tc>
          <w:tcPr>
            <w:tcW w:w="833" w:type="dxa"/>
            <w:noWrap w:val="0"/>
            <w:vAlign w:val="center"/>
          </w:tcPr>
          <w:p>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μg/L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29</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石油类</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&lt;0.01</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&lt;0.01</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&lt;0.01</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&lt;0.01</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&lt;0.01</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5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30</w:t>
            </w:r>
          </w:p>
        </w:tc>
        <w:tc>
          <w:tcPr>
            <w:tcW w:w="763"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p>
        </w:tc>
        <w:tc>
          <w:tcPr>
            <w:tcW w:w="1175" w:type="dxa"/>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水位</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2395</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1404</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1070</w:t>
            </w:r>
          </w:p>
        </w:tc>
        <w:tc>
          <w:tcPr>
            <w:tcW w:w="1172"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1110</w:t>
            </w:r>
          </w:p>
        </w:tc>
        <w:tc>
          <w:tcPr>
            <w:tcW w:w="1174" w:type="dxa"/>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415</w:t>
            </w:r>
          </w:p>
        </w:tc>
        <w:tc>
          <w:tcPr>
            <w:tcW w:w="833"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cm</w:t>
            </w:r>
          </w:p>
        </w:tc>
      </w:tr>
    </w:tbl>
    <w:p>
      <w:pPr>
        <w:bidi w:val="0"/>
        <w:rPr>
          <w:rFonts w:hint="default" w:ascii="Times New Roman" w:hAnsi="Times New Roman" w:eastAsia="宋体" w:cs="Times New Roman"/>
        </w:rPr>
      </w:pP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4"/>
        <w:gridCol w:w="1121"/>
        <w:gridCol w:w="1121"/>
        <w:gridCol w:w="1115"/>
        <w:gridCol w:w="1115"/>
        <w:gridCol w:w="1115"/>
        <w:gridCol w:w="1115"/>
        <w:gridCol w:w="1118"/>
        <w:gridCol w:w="81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70" w:type="dxa"/>
            <w:vMerge w:val="restart"/>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序号</w:t>
            </w:r>
          </w:p>
        </w:tc>
        <w:tc>
          <w:tcPr>
            <w:tcW w:w="1154" w:type="dxa"/>
            <w:vMerge w:val="restart"/>
            <w:noWrap w:val="0"/>
            <w:vAlign w:val="center"/>
          </w:tcPr>
          <w:p>
            <w:pPr>
              <w:widowControl/>
              <w:jc w:val="center"/>
              <w:textAlignment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采样</w:t>
            </w:r>
          </w:p>
          <w:p>
            <w:pPr>
              <w:widowControl/>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eastAsia="zh-CN"/>
              </w:rPr>
              <w:t>日期</w:t>
            </w:r>
          </w:p>
        </w:tc>
        <w:tc>
          <w:tcPr>
            <w:tcW w:w="1154" w:type="dxa"/>
            <w:vMerge w:val="restart"/>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rPr>
              <w:t>检测项目</w:t>
            </w:r>
          </w:p>
        </w:tc>
        <w:tc>
          <w:tcPr>
            <w:tcW w:w="5743" w:type="dxa"/>
            <w:gridSpan w:val="5"/>
            <w:noWrap w:val="0"/>
            <w:vAlign w:val="center"/>
          </w:tcPr>
          <w:p>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eastAsia="zh-CN"/>
              </w:rPr>
              <w:t>检测结果</w:t>
            </w:r>
          </w:p>
        </w:tc>
        <w:tc>
          <w:tcPr>
            <w:tcW w:w="834" w:type="dxa"/>
            <w:vMerge w:val="restart"/>
            <w:noWrap w:val="0"/>
            <w:vAlign w:val="center"/>
          </w:tcPr>
          <w:p>
            <w:pPr>
              <w:widowControl/>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kern w:val="0"/>
                <w:sz w:val="21"/>
                <w:szCs w:val="21"/>
                <w:highlight w:val="none"/>
                <w:lang w:bidi="ar"/>
              </w:rPr>
              <w:t>单位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70" w:type="dxa"/>
            <w:vMerge w:val="continue"/>
            <w:noWrap w:val="0"/>
            <w:vAlign w:val="center"/>
          </w:tcPr>
          <w:p>
            <w:pPr>
              <w:jc w:val="center"/>
              <w:rPr>
                <w:rFonts w:hint="default" w:ascii="Times New Roman" w:hAnsi="Times New Roman" w:eastAsia="宋体" w:cs="Times New Roman"/>
                <w:color w:val="000000"/>
                <w:sz w:val="21"/>
                <w:szCs w:val="21"/>
                <w:highlight w:val="none"/>
              </w:rPr>
            </w:pPr>
          </w:p>
        </w:tc>
        <w:tc>
          <w:tcPr>
            <w:tcW w:w="1154" w:type="dxa"/>
            <w:vMerge w:val="continue"/>
            <w:noWrap w:val="0"/>
            <w:vAlign w:val="center"/>
          </w:tcPr>
          <w:p>
            <w:pPr>
              <w:jc w:val="center"/>
              <w:rPr>
                <w:rFonts w:hint="default" w:ascii="Times New Roman" w:hAnsi="Times New Roman" w:eastAsia="宋体" w:cs="Times New Roman"/>
                <w:color w:val="000000"/>
                <w:sz w:val="21"/>
                <w:szCs w:val="21"/>
                <w:highlight w:val="none"/>
              </w:rPr>
            </w:pPr>
          </w:p>
        </w:tc>
        <w:tc>
          <w:tcPr>
            <w:tcW w:w="1154" w:type="dxa"/>
            <w:vMerge w:val="continue"/>
            <w:noWrap w:val="0"/>
            <w:vAlign w:val="center"/>
          </w:tcPr>
          <w:p>
            <w:pPr>
              <w:widowControl/>
              <w:jc w:val="center"/>
              <w:textAlignment w:val="center"/>
              <w:rPr>
                <w:rFonts w:hint="default" w:ascii="Times New Roman" w:hAnsi="Times New Roman" w:eastAsia="宋体" w:cs="Times New Roman"/>
                <w:color w:val="000000"/>
                <w:sz w:val="21"/>
                <w:szCs w:val="21"/>
                <w:highlight w:val="none"/>
                <w:lang w:val="en-US" w:eastAsia="zh-CN"/>
              </w:rPr>
            </w:pPr>
          </w:p>
        </w:tc>
        <w:tc>
          <w:tcPr>
            <w:tcW w:w="1148" w:type="dxa"/>
            <w:noWrap w:val="0"/>
            <w:vAlign w:val="center"/>
          </w:tcPr>
          <w:p>
            <w:pPr>
              <w:pStyle w:val="61"/>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shd w:val="clear" w:color="auto" w:fill="auto"/>
                <w:lang w:val="en-US" w:eastAsia="zh-CN"/>
              </w:rPr>
              <w:t>喇嘛洞2#</w:t>
            </w:r>
          </w:p>
        </w:tc>
        <w:tc>
          <w:tcPr>
            <w:tcW w:w="1148"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shd w:val="clear" w:color="auto" w:fill="auto"/>
                <w:lang w:val="en-US" w:eastAsia="zh-CN"/>
              </w:rPr>
              <w:t>上丁杖子2#</w:t>
            </w:r>
          </w:p>
        </w:tc>
        <w:tc>
          <w:tcPr>
            <w:tcW w:w="1148" w:type="dxa"/>
            <w:noWrap w:val="0"/>
            <w:vAlign w:val="center"/>
          </w:tcPr>
          <w:p>
            <w:pPr>
              <w:pStyle w:val="61"/>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color w:val="auto"/>
                <w:sz w:val="21"/>
                <w:szCs w:val="21"/>
                <w:shd w:val="clear" w:color="auto" w:fill="auto"/>
                <w:lang w:val="en-US" w:eastAsia="zh-CN"/>
              </w:rPr>
              <w:t>上丁杖子3#</w:t>
            </w:r>
          </w:p>
        </w:tc>
        <w:tc>
          <w:tcPr>
            <w:tcW w:w="1148" w:type="dxa"/>
            <w:noWrap w:val="0"/>
            <w:vAlign w:val="center"/>
          </w:tcPr>
          <w:p>
            <w:pPr>
              <w:pStyle w:val="61"/>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shd w:val="clear" w:color="auto" w:fill="auto"/>
                <w:lang w:val="en-US" w:eastAsia="zh-CN"/>
              </w:rPr>
              <w:t>小巴沟河东2#</w:t>
            </w:r>
          </w:p>
        </w:tc>
        <w:tc>
          <w:tcPr>
            <w:tcW w:w="1151" w:type="dxa"/>
            <w:noWrap w:val="0"/>
            <w:vAlign w:val="center"/>
          </w:tcPr>
          <w:p>
            <w:pPr>
              <w:pStyle w:val="61"/>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shd w:val="clear" w:color="auto" w:fill="auto"/>
                <w:lang w:val="en-US" w:eastAsia="zh-CN"/>
              </w:rPr>
              <w:t>上窝堡2#</w:t>
            </w:r>
          </w:p>
        </w:tc>
        <w:tc>
          <w:tcPr>
            <w:tcW w:w="834" w:type="dxa"/>
            <w:vMerge w:val="continue"/>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0" w:type="dxa"/>
            <w:vMerge w:val="restart"/>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1154" w:type="dxa"/>
            <w:vMerge w:val="restart"/>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2021.11.28</w:t>
            </w:r>
          </w:p>
        </w:tc>
        <w:tc>
          <w:tcPr>
            <w:tcW w:w="1154" w:type="dxa"/>
            <w:vMerge w:val="restart"/>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水位</w:t>
            </w:r>
          </w:p>
        </w:tc>
        <w:tc>
          <w:tcPr>
            <w:tcW w:w="1148" w:type="dxa"/>
            <w:noWrap w:val="0"/>
            <w:vAlign w:val="center"/>
          </w:tcPr>
          <w:p>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1005</w:t>
            </w:r>
          </w:p>
        </w:tc>
        <w:tc>
          <w:tcPr>
            <w:tcW w:w="1148" w:type="dxa"/>
            <w:noWrap w:val="0"/>
            <w:vAlign w:val="center"/>
          </w:tcPr>
          <w:p>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1303</w:t>
            </w:r>
          </w:p>
        </w:tc>
        <w:tc>
          <w:tcPr>
            <w:tcW w:w="1148" w:type="dxa"/>
            <w:noWrap w:val="0"/>
            <w:vAlign w:val="center"/>
          </w:tcPr>
          <w:p>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1205</w:t>
            </w:r>
          </w:p>
        </w:tc>
        <w:tc>
          <w:tcPr>
            <w:tcW w:w="1148" w:type="dxa"/>
            <w:noWrap w:val="0"/>
            <w:vAlign w:val="center"/>
          </w:tcPr>
          <w:p>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1127</w:t>
            </w:r>
          </w:p>
        </w:tc>
        <w:tc>
          <w:tcPr>
            <w:tcW w:w="1151" w:type="dxa"/>
            <w:noWrap w:val="0"/>
            <w:vAlign w:val="center"/>
          </w:tcPr>
          <w:p>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425</w:t>
            </w:r>
          </w:p>
        </w:tc>
        <w:tc>
          <w:tcPr>
            <w:tcW w:w="834"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0" w:type="dxa"/>
            <w:vMerge w:val="continue"/>
            <w:noWrap w:val="0"/>
            <w:vAlign w:val="center"/>
          </w:tcPr>
          <w:p>
            <w:pPr>
              <w:jc w:val="center"/>
              <w:rPr>
                <w:rFonts w:hint="default" w:ascii="Times New Roman" w:hAnsi="Times New Roman" w:eastAsia="宋体" w:cs="Times New Roman"/>
                <w:color w:val="auto"/>
                <w:sz w:val="21"/>
                <w:szCs w:val="21"/>
                <w:highlight w:val="none"/>
                <w:lang w:val="en-US" w:eastAsia="zh-CN"/>
              </w:rPr>
            </w:pPr>
          </w:p>
        </w:tc>
        <w:tc>
          <w:tcPr>
            <w:tcW w:w="1154" w:type="dxa"/>
            <w:vMerge w:val="continue"/>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1154" w:type="dxa"/>
            <w:vMerge w:val="continue"/>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1148" w:type="dxa"/>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shd w:val="clear" w:color="auto" w:fill="auto"/>
                <w:lang w:val="en-US" w:eastAsia="zh-CN"/>
              </w:rPr>
              <w:t>项目所在地1#</w:t>
            </w:r>
          </w:p>
        </w:tc>
        <w:tc>
          <w:tcPr>
            <w:tcW w:w="1148" w:type="dxa"/>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shd w:val="clear" w:color="auto" w:fill="auto"/>
                <w:lang w:val="en-US" w:eastAsia="zh-CN"/>
              </w:rPr>
              <w:t>喇嘛洞1#</w:t>
            </w:r>
          </w:p>
        </w:tc>
        <w:tc>
          <w:tcPr>
            <w:tcW w:w="1148" w:type="dxa"/>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shd w:val="clear" w:color="auto" w:fill="auto"/>
                <w:lang w:val="en-US" w:eastAsia="zh-CN"/>
              </w:rPr>
              <w:t>上丁杖子1#</w:t>
            </w:r>
          </w:p>
        </w:tc>
        <w:tc>
          <w:tcPr>
            <w:tcW w:w="1148" w:type="dxa"/>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shd w:val="clear" w:color="auto" w:fill="auto"/>
                <w:lang w:val="en-US" w:eastAsia="zh-CN"/>
              </w:rPr>
              <w:t>小巴沟河东1#</w:t>
            </w:r>
          </w:p>
        </w:tc>
        <w:tc>
          <w:tcPr>
            <w:tcW w:w="1151" w:type="dxa"/>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shd w:val="clear" w:color="auto" w:fill="auto"/>
                <w:lang w:val="en-US" w:eastAsia="zh-CN"/>
              </w:rPr>
              <w:t>上窝堡1#</w:t>
            </w:r>
          </w:p>
        </w:tc>
        <w:tc>
          <w:tcPr>
            <w:tcW w:w="83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0" w:type="dxa"/>
            <w:vMerge w:val="continue"/>
            <w:noWrap w:val="0"/>
            <w:vAlign w:val="center"/>
          </w:tcPr>
          <w:p>
            <w:pPr>
              <w:jc w:val="center"/>
              <w:rPr>
                <w:rFonts w:hint="default" w:ascii="Times New Roman" w:hAnsi="Times New Roman" w:eastAsia="宋体" w:cs="Times New Roman"/>
                <w:color w:val="auto"/>
                <w:sz w:val="21"/>
                <w:szCs w:val="21"/>
                <w:highlight w:val="none"/>
                <w:lang w:val="en-US" w:eastAsia="zh-CN"/>
              </w:rPr>
            </w:pPr>
          </w:p>
        </w:tc>
        <w:tc>
          <w:tcPr>
            <w:tcW w:w="1154" w:type="dxa"/>
            <w:vMerge w:val="continue"/>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1154" w:type="dxa"/>
            <w:vMerge w:val="continue"/>
            <w:noWrap w:val="0"/>
            <w:vAlign w:val="center"/>
          </w:tcPr>
          <w:p>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1148" w:type="dxa"/>
            <w:noWrap w:val="0"/>
            <w:vAlign w:val="center"/>
          </w:tcPr>
          <w:p>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2395</w:t>
            </w:r>
          </w:p>
        </w:tc>
        <w:tc>
          <w:tcPr>
            <w:tcW w:w="1148" w:type="dxa"/>
            <w:noWrap w:val="0"/>
            <w:vAlign w:val="center"/>
          </w:tcPr>
          <w:p>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1404</w:t>
            </w:r>
          </w:p>
        </w:tc>
        <w:tc>
          <w:tcPr>
            <w:tcW w:w="1148" w:type="dxa"/>
            <w:noWrap w:val="0"/>
            <w:vAlign w:val="center"/>
          </w:tcPr>
          <w:p>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1070</w:t>
            </w:r>
          </w:p>
        </w:tc>
        <w:tc>
          <w:tcPr>
            <w:tcW w:w="1148" w:type="dxa"/>
            <w:noWrap w:val="0"/>
            <w:vAlign w:val="center"/>
          </w:tcPr>
          <w:p>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1110</w:t>
            </w:r>
          </w:p>
        </w:tc>
        <w:tc>
          <w:tcPr>
            <w:tcW w:w="1151" w:type="dxa"/>
            <w:noWrap w:val="0"/>
            <w:vAlign w:val="center"/>
          </w:tcPr>
          <w:p>
            <w:pPr>
              <w:widowControl/>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415</w:t>
            </w:r>
          </w:p>
        </w:tc>
        <w:tc>
          <w:tcPr>
            <w:tcW w:w="834" w:type="dxa"/>
            <w:noWrap w:val="0"/>
            <w:vAlign w:val="center"/>
          </w:tcPr>
          <w:p>
            <w:pPr>
              <w:widowControl/>
              <w:adjustRightInd w:val="0"/>
              <w:snapToGrid w:val="0"/>
              <w:jc w:val="center"/>
              <w:rPr>
                <w:rFonts w:hint="default" w:ascii="Times New Roman" w:hAnsi="Times New Roman" w:eastAsia="宋体" w:cs="Times New Roman"/>
                <w:color w:val="0000FF"/>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cm</w:t>
            </w:r>
          </w:p>
        </w:tc>
      </w:tr>
    </w:tbl>
    <w:p>
      <w:pPr>
        <w:pStyle w:val="16"/>
        <w:spacing w:line="360" w:lineRule="auto"/>
        <w:ind w:left="0" w:lef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 xml:space="preserve">地下水监测结果表明，监测点位除了总硬度超标外其他地下水监测因子均满足《地下水质量标准》（ GB/T14848-2017）的Ⅲ类标准，总硬度超标主要是该地区地下水开采造成土壤及其下层沉积物中的钙镁易溶盐、难溶盐及交换性钙镁由固相向水相中迁移，从而使地下水硬度升高。 </w:t>
      </w:r>
    </w:p>
    <w:p>
      <w:pPr>
        <w:spacing w:beforeLines="50" w:line="360" w:lineRule="auto"/>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Cs/>
          <w:color w:val="auto"/>
          <w:sz w:val="24"/>
          <w:highlight w:val="none"/>
          <w:lang w:val="en-US" w:eastAsia="zh-CN"/>
        </w:rPr>
        <w:t xml:space="preserve"> </w:t>
      </w:r>
      <w:r>
        <w:rPr>
          <w:rFonts w:hint="default" w:ascii="Times New Roman" w:hAnsi="Times New Roman" w:eastAsia="宋体" w:cs="Times New Roman"/>
          <w:b/>
          <w:color w:val="auto"/>
          <w:sz w:val="28"/>
          <w:szCs w:val="28"/>
          <w:highlight w:val="none"/>
        </w:rPr>
        <w:t>4.2.5土壤环境质量现状价</w:t>
      </w:r>
    </w:p>
    <w:bookmarkEnd w:id="209"/>
    <w:bookmarkEnd w:id="210"/>
    <w:bookmarkEnd w:id="211"/>
    <w:bookmarkEnd w:id="212"/>
    <w:bookmarkEnd w:id="213"/>
    <w:bookmarkEnd w:id="214"/>
    <w:bookmarkEnd w:id="215"/>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highlight w:val="none"/>
          <w:lang w:eastAsia="zh-CN"/>
        </w:rPr>
        <w:t>北票市冶通矿业有限公司</w:t>
      </w:r>
      <w:r>
        <w:rPr>
          <w:rFonts w:hint="default" w:ascii="Times New Roman" w:hAnsi="Times New Roman" w:eastAsia="宋体" w:cs="Times New Roman"/>
          <w:color w:val="auto"/>
          <w:sz w:val="24"/>
          <w:szCs w:val="24"/>
          <w:lang w:val="en-US" w:eastAsia="zh-CN"/>
        </w:rPr>
        <w:t>委托</w:t>
      </w:r>
      <w:r>
        <w:rPr>
          <w:rFonts w:hint="default" w:ascii="Times New Roman" w:hAnsi="Times New Roman" w:eastAsia="宋体" w:cs="Times New Roman"/>
          <w:color w:val="auto"/>
          <w:sz w:val="24"/>
        </w:rPr>
        <w:t>辽宁中环祥瑞工程技术有限公司</w:t>
      </w:r>
      <w:r>
        <w:rPr>
          <w:rFonts w:hint="default" w:ascii="Times New Roman" w:hAnsi="Times New Roman" w:eastAsia="宋体" w:cs="Times New Roman"/>
          <w:color w:val="auto"/>
          <w:sz w:val="24"/>
          <w:szCs w:val="24"/>
          <w:lang w:val="en-US" w:eastAsia="zh-CN"/>
        </w:rPr>
        <w:t>对</w:t>
      </w:r>
      <w:r>
        <w:rPr>
          <w:rFonts w:hint="default" w:ascii="Times New Roman" w:hAnsi="Times New Roman" w:eastAsia="宋体" w:cs="Times New Roman"/>
          <w:color w:val="auto"/>
          <w:sz w:val="24"/>
          <w:szCs w:val="24"/>
          <w:highlight w:val="none"/>
          <w:lang w:eastAsia="zh-CN"/>
        </w:rPr>
        <w:t>北票市冶通矿业有限公司年产</w:t>
      </w:r>
      <w:r>
        <w:rPr>
          <w:rFonts w:hint="default" w:ascii="Times New Roman" w:hAnsi="Times New Roman" w:eastAsia="宋体" w:cs="Times New Roman"/>
          <w:color w:val="auto"/>
          <w:sz w:val="24"/>
          <w:szCs w:val="24"/>
          <w:highlight w:val="none"/>
          <w:lang w:val="en-US" w:eastAsia="zh-CN"/>
        </w:rPr>
        <w:t>50万吨铁精粉</w:t>
      </w:r>
      <w:r>
        <w:rPr>
          <w:rFonts w:hint="default" w:ascii="Times New Roman" w:hAnsi="Times New Roman" w:eastAsia="宋体" w:cs="Times New Roman"/>
          <w:color w:val="auto"/>
          <w:sz w:val="24"/>
          <w:szCs w:val="24"/>
          <w:highlight w:val="none"/>
        </w:rPr>
        <w:t>建设项目</w:t>
      </w:r>
      <w:r>
        <w:rPr>
          <w:rFonts w:hint="default" w:ascii="Times New Roman" w:hAnsi="Times New Roman" w:eastAsia="宋体" w:cs="Times New Roman"/>
          <w:color w:val="auto"/>
          <w:sz w:val="24"/>
          <w:szCs w:val="24"/>
          <w:lang w:val="en-US" w:eastAsia="zh-CN"/>
        </w:rPr>
        <w:t>土壤环境</w:t>
      </w:r>
      <w:r>
        <w:rPr>
          <w:rFonts w:hint="default" w:ascii="Times New Roman" w:hAnsi="Times New Roman" w:eastAsia="宋体" w:cs="Times New Roman"/>
          <w:color w:val="auto"/>
          <w:kern w:val="2"/>
          <w:sz w:val="24"/>
          <w:szCs w:val="24"/>
          <w:lang w:val="en-US" w:eastAsia="zh-CN" w:bidi="ar-SA"/>
        </w:rPr>
        <w:t>质量现状</w:t>
      </w:r>
      <w:r>
        <w:rPr>
          <w:rFonts w:hint="default" w:ascii="Times New Roman" w:hAnsi="Times New Roman" w:eastAsia="宋体" w:cs="Times New Roman"/>
          <w:color w:val="auto"/>
          <w:sz w:val="24"/>
          <w:szCs w:val="24"/>
        </w:rPr>
        <w:t>进行监测。</w:t>
      </w:r>
      <w:r>
        <w:rPr>
          <w:rFonts w:hint="default" w:ascii="Times New Roman" w:hAnsi="Times New Roman" w:eastAsia="宋体" w:cs="Times New Roman"/>
          <w:color w:val="auto"/>
          <w:sz w:val="24"/>
          <w:szCs w:val="24"/>
          <w:lang w:val="en-US" w:eastAsia="zh-CN"/>
        </w:rPr>
        <w:t>土壤</w:t>
      </w:r>
      <w:r>
        <w:rPr>
          <w:rFonts w:hint="default" w:ascii="Times New Roman" w:hAnsi="Times New Roman" w:eastAsia="宋体" w:cs="Times New Roman"/>
          <w:color w:val="auto"/>
          <w:sz w:val="24"/>
          <w:szCs w:val="24"/>
        </w:rPr>
        <w:t>现状监测结果见表</w:t>
      </w:r>
      <w:r>
        <w:rPr>
          <w:rFonts w:hint="default" w:ascii="Times New Roman" w:hAnsi="Times New Roman" w:eastAsia="宋体" w:cs="Times New Roman"/>
          <w:color w:val="auto"/>
          <w:sz w:val="24"/>
          <w:szCs w:val="24"/>
          <w:lang w:val="en-US" w:eastAsia="zh-CN"/>
        </w:rPr>
        <w:t>4.2-</w:t>
      </w:r>
      <w:r>
        <w:rPr>
          <w:rFonts w:hint="eastAsia"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rPr>
        <w:t>。</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rPr>
        <w:t>(1)监测</w:t>
      </w:r>
      <w:r>
        <w:rPr>
          <w:rFonts w:hint="default" w:ascii="Times New Roman" w:hAnsi="Times New Roman" w:eastAsia="宋体" w:cs="Times New Roman"/>
          <w:color w:val="auto"/>
          <w:sz w:val="24"/>
          <w:szCs w:val="24"/>
        </w:rPr>
        <w:t>项目：</w:t>
      </w:r>
      <w:r>
        <w:rPr>
          <w:rFonts w:hint="default" w:ascii="Times New Roman" w:hAnsi="Times New Roman" w:eastAsia="宋体" w:cs="Times New Roman"/>
          <w:color w:val="000000"/>
          <w:sz w:val="24"/>
          <w:szCs w:val="24"/>
          <w:lang w:val="en-US" w:eastAsia="zh-CN"/>
        </w:rPr>
        <w:t>45</w:t>
      </w:r>
      <w:r>
        <w:rPr>
          <w:rFonts w:hint="default" w:ascii="Times New Roman" w:hAnsi="Times New Roman" w:eastAsia="宋体" w:cs="Times New Roman"/>
          <w:color w:val="000000"/>
          <w:sz w:val="24"/>
          <w:szCs w:val="24"/>
        </w:rPr>
        <w:t>项基本因子</w:t>
      </w:r>
      <w:r>
        <w:rPr>
          <w:rFonts w:hint="default" w:ascii="Times New Roman" w:hAnsi="Times New Roman" w:eastAsia="宋体" w:cs="Times New Roman"/>
          <w:color w:val="000000"/>
          <w:sz w:val="24"/>
          <w:szCs w:val="24"/>
          <w:lang w:val="en-US" w:eastAsia="zh-CN"/>
        </w:rPr>
        <w:t>+石油烃</w:t>
      </w:r>
      <w:r>
        <w:rPr>
          <w:rFonts w:hint="default" w:ascii="Times New Roman" w:hAnsi="Times New Roman" w:eastAsia="宋体" w:cs="Times New Roman"/>
          <w:color w:val="auto"/>
          <w:sz w:val="24"/>
          <w:szCs w:val="24"/>
        </w:rPr>
        <w:t>。</w:t>
      </w:r>
    </w:p>
    <w:p>
      <w:pPr>
        <w:spacing w:line="360" w:lineRule="auto"/>
        <w:ind w:firstLine="480" w:firstLineChars="200"/>
        <w:rPr>
          <w:rFonts w:hint="default" w:ascii="Times New Roman" w:hAnsi="Times New Roman" w:eastAsia="宋体" w:cs="Times New Roman"/>
          <w:color w:val="auto"/>
          <w:sz w:val="24"/>
          <w:shd w:val="clear" w:color="auto" w:fill="auto"/>
        </w:rPr>
      </w:pPr>
      <w:r>
        <w:rPr>
          <w:rFonts w:hint="default" w:ascii="Times New Roman" w:hAnsi="Times New Roman" w:eastAsia="宋体" w:cs="Times New Roman"/>
          <w:color w:val="auto"/>
          <w:sz w:val="24"/>
        </w:rPr>
        <w:t>(2)监测点</w:t>
      </w:r>
      <w:r>
        <w:rPr>
          <w:rFonts w:hint="default" w:ascii="Times New Roman" w:hAnsi="Times New Roman" w:eastAsia="宋体" w:cs="Times New Roman"/>
          <w:color w:val="auto"/>
          <w:sz w:val="24"/>
          <w:shd w:val="clear" w:color="auto" w:fill="auto"/>
        </w:rPr>
        <w:t>位：</w:t>
      </w:r>
      <w:r>
        <w:rPr>
          <w:rFonts w:hint="default" w:ascii="Times New Roman" w:hAnsi="Times New Roman" w:eastAsia="宋体" w:cs="Times New Roman"/>
          <w:color w:val="000000"/>
          <w:sz w:val="24"/>
          <w:szCs w:val="24"/>
          <w:lang w:eastAsia="zh-CN"/>
        </w:rPr>
        <w:t>场地内</w:t>
      </w:r>
      <w:r>
        <w:rPr>
          <w:rFonts w:hint="default" w:ascii="Times New Roman" w:hAnsi="Times New Roman" w:eastAsia="宋体" w:cs="Times New Roman"/>
          <w:color w:val="000000"/>
          <w:sz w:val="24"/>
          <w:szCs w:val="24"/>
        </w:rPr>
        <w:t>3个表层样点</w:t>
      </w:r>
      <w:r>
        <w:rPr>
          <w:rFonts w:hint="default" w:ascii="Times New Roman" w:hAnsi="Times New Roman" w:eastAsia="宋体" w:cs="Times New Roman"/>
          <w:color w:val="auto"/>
          <w:sz w:val="24"/>
          <w:shd w:val="clear" w:color="auto" w:fill="auto"/>
        </w:rPr>
        <w:t>。</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shd w:val="clear" w:color="auto" w:fill="auto"/>
        </w:rPr>
        <w:t>(3)监测频率：</w:t>
      </w:r>
      <w:r>
        <w:rPr>
          <w:rFonts w:hint="default" w:ascii="Times New Roman" w:hAnsi="Times New Roman" w:eastAsia="宋体" w:cs="Times New Roman"/>
          <w:color w:val="auto"/>
          <w:sz w:val="24"/>
        </w:rPr>
        <w:t>20</w:t>
      </w:r>
      <w:r>
        <w:rPr>
          <w:rFonts w:hint="default" w:ascii="Times New Roman" w:hAnsi="Times New Roman" w:eastAsia="宋体" w:cs="Times New Roman"/>
          <w:color w:val="auto"/>
          <w:sz w:val="24"/>
          <w:lang w:val="en-US" w:eastAsia="zh-CN"/>
        </w:rPr>
        <w:t>21</w:t>
      </w:r>
      <w:r>
        <w:rPr>
          <w:rFonts w:hint="default" w:ascii="Times New Roman" w:hAnsi="Times New Roman" w:eastAsia="宋体" w:cs="Times New Roman"/>
          <w:color w:val="auto"/>
          <w:sz w:val="24"/>
        </w:rPr>
        <w:t>年</w:t>
      </w:r>
      <w:r>
        <w:rPr>
          <w:rFonts w:hint="default" w:ascii="Times New Roman" w:hAnsi="Times New Roman" w:eastAsia="宋体" w:cs="Times New Roman"/>
          <w:color w:val="auto"/>
          <w:sz w:val="24"/>
          <w:lang w:val="en-US" w:eastAsia="zh-CN"/>
        </w:rPr>
        <w:t>11</w:t>
      </w:r>
      <w:r>
        <w:rPr>
          <w:rFonts w:hint="default" w:ascii="Times New Roman" w:hAnsi="Times New Roman" w:eastAsia="宋体" w:cs="Times New Roman"/>
          <w:color w:val="auto"/>
          <w:sz w:val="24"/>
        </w:rPr>
        <w:t>月</w:t>
      </w:r>
      <w:r>
        <w:rPr>
          <w:rFonts w:hint="default" w:ascii="Times New Roman" w:hAnsi="Times New Roman" w:eastAsia="宋体" w:cs="Times New Roman"/>
          <w:color w:val="auto"/>
          <w:sz w:val="24"/>
          <w:lang w:val="en-US" w:eastAsia="zh-CN"/>
        </w:rPr>
        <w:t>23</w:t>
      </w:r>
      <w:r>
        <w:rPr>
          <w:rFonts w:hint="default" w:ascii="Times New Roman" w:hAnsi="Times New Roman" w:eastAsia="宋体" w:cs="Times New Roman"/>
          <w:color w:val="auto"/>
          <w:sz w:val="24"/>
        </w:rPr>
        <w:t>日，</w:t>
      </w:r>
      <w:r>
        <w:rPr>
          <w:rFonts w:hint="default" w:ascii="Times New Roman" w:hAnsi="Times New Roman" w:eastAsia="宋体" w:cs="Times New Roman"/>
          <w:color w:val="000000"/>
          <w:sz w:val="24"/>
          <w:szCs w:val="24"/>
        </w:rPr>
        <w:t>监测1天，每层采样1次</w:t>
      </w:r>
      <w:r>
        <w:rPr>
          <w:rFonts w:hint="default" w:ascii="Times New Roman" w:hAnsi="Times New Roman" w:eastAsia="宋体" w:cs="Times New Roman"/>
          <w:color w:val="auto"/>
          <w:sz w:val="24"/>
        </w:rPr>
        <w:t>。</w:t>
      </w:r>
    </w:p>
    <w:p>
      <w:pPr>
        <w:spacing w:beforeLines="50" w:line="480" w:lineRule="exact"/>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rPr>
        <w:t>表</w:t>
      </w:r>
      <w:r>
        <w:rPr>
          <w:rFonts w:hint="default" w:ascii="Times New Roman" w:hAnsi="Times New Roman" w:eastAsia="宋体" w:cs="Times New Roman"/>
          <w:bCs/>
          <w:color w:val="auto"/>
          <w:sz w:val="24"/>
          <w:lang w:val="en-US" w:eastAsia="zh-CN"/>
        </w:rPr>
        <w:t>4.2-</w:t>
      </w:r>
      <w:r>
        <w:rPr>
          <w:rFonts w:hint="eastAsia" w:ascii="Times New Roman" w:hAnsi="Times New Roman" w:eastAsia="宋体" w:cs="Times New Roman"/>
          <w:bCs/>
          <w:color w:val="auto"/>
          <w:sz w:val="24"/>
          <w:lang w:val="en-US" w:eastAsia="zh-CN"/>
        </w:rPr>
        <w:t>9</w:t>
      </w:r>
      <w:r>
        <w:rPr>
          <w:rFonts w:hint="default" w:ascii="Times New Roman" w:hAnsi="Times New Roman" w:eastAsia="宋体" w:cs="Times New Roman"/>
          <w:bCs/>
          <w:color w:val="auto"/>
          <w:sz w:val="24"/>
        </w:rPr>
        <w:t xml:space="preserve">  </w:t>
      </w:r>
      <w:r>
        <w:rPr>
          <w:rFonts w:hint="default" w:ascii="Times New Roman" w:hAnsi="Times New Roman" w:eastAsia="宋体" w:cs="Times New Roman"/>
          <w:bCs/>
          <w:color w:val="auto"/>
          <w:sz w:val="24"/>
          <w:lang w:val="en-US" w:eastAsia="zh-CN"/>
        </w:rPr>
        <w:t xml:space="preserve">                  </w:t>
      </w:r>
      <w:r>
        <w:rPr>
          <w:rFonts w:hint="default" w:ascii="Times New Roman" w:hAnsi="Times New Roman" w:eastAsia="宋体" w:cs="Times New Roman"/>
          <w:bCs/>
          <w:color w:val="auto"/>
          <w:sz w:val="24"/>
        </w:rPr>
        <w:t>土壤污染风险筛选结果</w:t>
      </w:r>
      <w:r>
        <w:rPr>
          <w:rFonts w:hint="default" w:ascii="Times New Roman" w:hAnsi="Times New Roman" w:eastAsia="宋体" w:cs="Times New Roman"/>
          <w:bCs/>
          <w:color w:val="auto"/>
          <w:sz w:val="24"/>
          <w:lang w:val="en-US" w:eastAsia="zh-CN"/>
        </w:rPr>
        <w:t xml:space="preserve"> </w:t>
      </w:r>
    </w:p>
    <w:tbl>
      <w:tblPr>
        <w:tblStyle w:val="51"/>
        <w:tblW w:w="955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0"/>
        <w:gridCol w:w="865"/>
        <w:gridCol w:w="1269"/>
        <w:gridCol w:w="1943"/>
        <w:gridCol w:w="1943"/>
        <w:gridCol w:w="1943"/>
        <w:gridCol w:w="82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vMerge w:val="restart"/>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序号</w:t>
            </w:r>
          </w:p>
        </w:tc>
        <w:tc>
          <w:tcPr>
            <w:tcW w:w="865" w:type="dxa"/>
            <w:vMerge w:val="restart"/>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eastAsia="zh-CN" w:bidi="ar"/>
              </w:rPr>
              <w:t>采样</w:t>
            </w:r>
          </w:p>
          <w:p>
            <w:pPr>
              <w:widowControl/>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eastAsia="zh-CN" w:bidi="ar"/>
              </w:rPr>
              <w:t>日期</w:t>
            </w:r>
          </w:p>
        </w:tc>
        <w:tc>
          <w:tcPr>
            <w:tcW w:w="1269" w:type="dxa"/>
            <w:vMerge w:val="restart"/>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bidi="ar"/>
              </w:rPr>
              <w:t>检测项目</w:t>
            </w:r>
          </w:p>
        </w:tc>
        <w:tc>
          <w:tcPr>
            <w:tcW w:w="5829" w:type="dxa"/>
            <w:gridSpan w:val="3"/>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检测结果</w:t>
            </w:r>
          </w:p>
        </w:tc>
        <w:tc>
          <w:tcPr>
            <w:tcW w:w="829" w:type="dxa"/>
            <w:vMerge w:val="restart"/>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单位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94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000000"/>
                <w:sz w:val="21"/>
                <w:szCs w:val="21"/>
                <w:lang w:eastAsia="zh-CN"/>
              </w:rPr>
              <w:t>场</w:t>
            </w:r>
            <w:r>
              <w:rPr>
                <w:rFonts w:hint="default" w:ascii="Times New Roman" w:hAnsi="Times New Roman" w:eastAsia="宋体" w:cs="Times New Roman"/>
                <w:color w:val="auto"/>
                <w:sz w:val="21"/>
                <w:szCs w:val="21"/>
                <w:lang w:eastAsia="zh-CN"/>
              </w:rPr>
              <w:t>地内</w:t>
            </w:r>
            <w:r>
              <w:rPr>
                <w:rFonts w:hint="default" w:ascii="Times New Roman" w:hAnsi="Times New Roman" w:eastAsia="宋体" w:cs="Times New Roman"/>
                <w:color w:val="auto"/>
                <w:sz w:val="21"/>
                <w:szCs w:val="21"/>
              </w:rPr>
              <w:t>表层样点</w:t>
            </w:r>
            <w:r>
              <w:rPr>
                <w:rFonts w:hint="default" w:ascii="Times New Roman" w:hAnsi="Times New Roman" w:eastAsia="宋体" w:cs="Times New Roman"/>
                <w:color w:val="auto"/>
                <w:sz w:val="21"/>
                <w:szCs w:val="21"/>
                <w:lang w:val="en-US" w:eastAsia="zh-CN"/>
              </w:rPr>
              <w:t>1#（0~0.2m）</w:t>
            </w:r>
          </w:p>
        </w:tc>
        <w:tc>
          <w:tcPr>
            <w:tcW w:w="1943"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000000"/>
                <w:sz w:val="21"/>
                <w:szCs w:val="21"/>
                <w:lang w:eastAsia="zh-CN"/>
              </w:rPr>
              <w:t>场</w:t>
            </w:r>
            <w:r>
              <w:rPr>
                <w:rFonts w:hint="default" w:ascii="Times New Roman" w:hAnsi="Times New Roman" w:eastAsia="宋体" w:cs="Times New Roman"/>
                <w:color w:val="auto"/>
                <w:sz w:val="21"/>
                <w:szCs w:val="21"/>
                <w:lang w:eastAsia="zh-CN"/>
              </w:rPr>
              <w:t>地内</w:t>
            </w:r>
            <w:r>
              <w:rPr>
                <w:rFonts w:hint="default" w:ascii="Times New Roman" w:hAnsi="Times New Roman" w:eastAsia="宋体" w:cs="Times New Roman"/>
                <w:color w:val="auto"/>
                <w:sz w:val="21"/>
                <w:szCs w:val="21"/>
              </w:rPr>
              <w:t>表层样点</w:t>
            </w:r>
            <w:r>
              <w:rPr>
                <w:rFonts w:hint="default" w:ascii="Times New Roman" w:hAnsi="Times New Roman" w:eastAsia="宋体" w:cs="Times New Roman"/>
                <w:color w:val="auto"/>
                <w:sz w:val="21"/>
                <w:szCs w:val="21"/>
                <w:lang w:val="en-US" w:eastAsia="zh-CN"/>
              </w:rPr>
              <w:t>2#（0~0.2m）</w:t>
            </w:r>
          </w:p>
        </w:tc>
        <w:tc>
          <w:tcPr>
            <w:tcW w:w="1943" w:type="dxa"/>
            <w:noWrap w:val="0"/>
            <w:vAlign w:val="center"/>
          </w:tcPr>
          <w:p>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000000"/>
                <w:sz w:val="21"/>
                <w:szCs w:val="21"/>
                <w:lang w:eastAsia="zh-CN"/>
              </w:rPr>
              <w:t>场</w:t>
            </w:r>
            <w:r>
              <w:rPr>
                <w:rFonts w:hint="default" w:ascii="Times New Roman" w:hAnsi="Times New Roman" w:eastAsia="宋体" w:cs="Times New Roman"/>
                <w:color w:val="auto"/>
                <w:sz w:val="21"/>
                <w:szCs w:val="21"/>
                <w:lang w:eastAsia="zh-CN"/>
              </w:rPr>
              <w:t>地内</w:t>
            </w:r>
            <w:r>
              <w:rPr>
                <w:rFonts w:hint="default" w:ascii="Times New Roman" w:hAnsi="Times New Roman" w:eastAsia="宋体" w:cs="Times New Roman"/>
                <w:color w:val="auto"/>
                <w:sz w:val="21"/>
                <w:szCs w:val="21"/>
              </w:rPr>
              <w:t>表层样点</w:t>
            </w:r>
            <w:r>
              <w:rPr>
                <w:rFonts w:hint="default" w:ascii="Times New Roman" w:hAnsi="Times New Roman" w:eastAsia="宋体" w:cs="Times New Roman"/>
                <w:color w:val="auto"/>
                <w:sz w:val="21"/>
                <w:szCs w:val="21"/>
                <w:lang w:val="en-US" w:eastAsia="zh-CN"/>
              </w:rPr>
              <w:t>3#（0~0.2m）</w:t>
            </w:r>
          </w:p>
        </w:tc>
        <w:tc>
          <w:tcPr>
            <w:tcW w:w="829"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w:t>
            </w:r>
          </w:p>
        </w:tc>
        <w:tc>
          <w:tcPr>
            <w:tcW w:w="865" w:type="dxa"/>
            <w:vMerge w:val="restart"/>
            <w:noWrap w:val="0"/>
            <w:vAlign w:val="center"/>
          </w:tcPr>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p>
          <w:p>
            <w:pPr>
              <w:widowControl/>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2021.</w:t>
            </w:r>
          </w:p>
          <w:p>
            <w:pPr>
              <w:widowControl/>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11.23</w:t>
            </w:r>
          </w:p>
        </w:tc>
        <w:tc>
          <w:tcPr>
            <w:tcW w:w="1269" w:type="dxa"/>
            <w:noWrap w:val="0"/>
            <w:vAlign w:val="center"/>
          </w:tcPr>
          <w:p>
            <w:pPr>
              <w:pStyle w:val="404"/>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b w:val="0"/>
                <w:bCs/>
                <w:color w:val="000000"/>
                <w:sz w:val="21"/>
                <w:szCs w:val="21"/>
                <w:lang w:eastAsia="zh-CN"/>
              </w:rPr>
              <w:t>铜</w:t>
            </w:r>
          </w:p>
        </w:tc>
        <w:tc>
          <w:tcPr>
            <w:tcW w:w="1943" w:type="dxa"/>
            <w:noWrap w:val="0"/>
            <w:vAlign w:val="center"/>
          </w:tcPr>
          <w:p>
            <w:pPr>
              <w:widowControl/>
              <w:jc w:val="center"/>
              <w:textAlignment w:val="center"/>
              <w:rPr>
                <w:rFonts w:hint="default" w:ascii="Times New Roman" w:hAnsi="Times New Roman" w:eastAsia="宋体" w:cs="Times New Roman"/>
                <w:color w:val="0000FF"/>
                <w:kern w:val="2"/>
                <w:sz w:val="21"/>
                <w:szCs w:val="21"/>
                <w:shd w:val="clear" w:color="auto" w:fill="auto"/>
                <w:lang w:val="en-US" w:eastAsia="zh-CN" w:bidi="ar-SA"/>
              </w:rPr>
            </w:pPr>
            <w:r>
              <w:rPr>
                <w:rFonts w:hint="default" w:ascii="Times New Roman" w:hAnsi="Times New Roman" w:eastAsia="宋体" w:cs="Times New Roman"/>
                <w:color w:val="auto"/>
                <w:kern w:val="2"/>
                <w:sz w:val="21"/>
                <w:szCs w:val="21"/>
                <w:shd w:val="clear" w:color="auto" w:fill="auto"/>
                <w:lang w:val="en-US" w:eastAsia="zh-CN" w:bidi="ar-SA"/>
              </w:rPr>
              <w:t>22</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94</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45</w:t>
            </w:r>
          </w:p>
        </w:tc>
        <w:tc>
          <w:tcPr>
            <w:tcW w:w="829" w:type="dxa"/>
            <w:noWrap w:val="0"/>
            <w:vAlign w:val="center"/>
          </w:tcPr>
          <w:p>
            <w:pPr>
              <w:widowControl/>
              <w:adjustRightInd w:val="0"/>
              <w:snapToGrid w:val="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lang w:eastAsia="zh-CN"/>
              </w:rPr>
              <w:t>铅</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&lt;10</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&lt;10</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13</w:t>
            </w:r>
          </w:p>
        </w:tc>
        <w:tc>
          <w:tcPr>
            <w:tcW w:w="829" w:type="dxa"/>
            <w:noWrap w:val="0"/>
            <w:vAlign w:val="center"/>
          </w:tcPr>
          <w:p>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color w:val="000000"/>
                <w:sz w:val="21"/>
                <w:szCs w:val="21"/>
                <w:lang w:eastAsia="zh-CN"/>
              </w:rPr>
              <w:t>镍</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165</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110</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44</w:t>
            </w:r>
          </w:p>
        </w:tc>
        <w:tc>
          <w:tcPr>
            <w:tcW w:w="829" w:type="dxa"/>
            <w:noWrap w:val="0"/>
            <w:vAlign w:val="center"/>
          </w:tcPr>
          <w:p>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color w:val="000000"/>
                <w:sz w:val="21"/>
                <w:szCs w:val="21"/>
                <w:lang w:eastAsia="zh-CN"/>
              </w:rPr>
              <w:t>镉</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0.04</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0.08</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0.05</w:t>
            </w:r>
          </w:p>
        </w:tc>
        <w:tc>
          <w:tcPr>
            <w:tcW w:w="829" w:type="dxa"/>
            <w:noWrap w:val="0"/>
            <w:vAlign w:val="center"/>
          </w:tcPr>
          <w:p>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5</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六价铬</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&lt;0.5</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&lt;0.5</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&lt;0.5</w:t>
            </w:r>
          </w:p>
        </w:tc>
        <w:tc>
          <w:tcPr>
            <w:tcW w:w="829" w:type="dxa"/>
            <w:noWrap w:val="0"/>
            <w:vAlign w:val="center"/>
          </w:tcPr>
          <w:p>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6</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color w:val="000000"/>
                <w:sz w:val="21"/>
                <w:szCs w:val="21"/>
                <w:lang w:eastAsia="zh-CN"/>
              </w:rPr>
              <w:t>汞</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0.108</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0.090</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0.086</w:t>
            </w:r>
          </w:p>
        </w:tc>
        <w:tc>
          <w:tcPr>
            <w:tcW w:w="829" w:type="dxa"/>
            <w:noWrap w:val="0"/>
            <w:vAlign w:val="center"/>
          </w:tcPr>
          <w:p>
            <w:pPr>
              <w:widowControl/>
              <w:adjustRightInd w:val="0"/>
              <w:snapToGrid w:val="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7</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color w:val="000000"/>
                <w:sz w:val="21"/>
                <w:szCs w:val="21"/>
                <w:lang w:eastAsia="zh-CN"/>
              </w:rPr>
              <w:t>砷</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1.43</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1.18</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1.64</w:t>
            </w:r>
          </w:p>
        </w:tc>
        <w:tc>
          <w:tcPr>
            <w:tcW w:w="829" w:type="dxa"/>
            <w:noWrap w:val="0"/>
            <w:vAlign w:val="center"/>
          </w:tcPr>
          <w:p>
            <w:pPr>
              <w:widowControl/>
              <w:adjustRightInd w:val="0"/>
              <w:snapToGrid w:val="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8</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rPr>
              <w:t>石油烃（C</w:t>
            </w:r>
            <w:r>
              <w:rPr>
                <w:rFonts w:hint="default" w:ascii="Times New Roman" w:hAnsi="Times New Roman" w:eastAsia="宋体" w:cs="Times New Roman"/>
                <w:color w:val="auto"/>
                <w:kern w:val="0"/>
                <w:sz w:val="21"/>
                <w:szCs w:val="21"/>
                <w:vertAlign w:val="subscript"/>
              </w:rPr>
              <w:t>10</w:t>
            </w:r>
            <w:r>
              <w:rPr>
                <w:rFonts w:hint="default" w:ascii="Times New Roman" w:hAnsi="Times New Roman" w:eastAsia="宋体" w:cs="Times New Roman"/>
                <w:color w:val="auto"/>
                <w:kern w:val="0"/>
                <w:sz w:val="21"/>
                <w:szCs w:val="21"/>
              </w:rPr>
              <w:t>-C</w:t>
            </w:r>
            <w:r>
              <w:rPr>
                <w:rFonts w:hint="default" w:ascii="Times New Roman" w:hAnsi="Times New Roman" w:eastAsia="宋体" w:cs="Times New Roman"/>
                <w:color w:val="auto"/>
                <w:kern w:val="0"/>
                <w:sz w:val="21"/>
                <w:szCs w:val="21"/>
                <w:vertAlign w:val="subscript"/>
              </w:rPr>
              <w:t>40</w:t>
            </w:r>
            <w:r>
              <w:rPr>
                <w:rFonts w:hint="default" w:ascii="Times New Roman" w:hAnsi="Times New Roman" w:eastAsia="宋体" w:cs="Times New Roman"/>
                <w:color w:val="auto"/>
                <w:kern w:val="0"/>
                <w:sz w:val="21"/>
                <w:szCs w:val="21"/>
              </w:rPr>
              <w:t>）</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58</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48</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83</w:t>
            </w:r>
          </w:p>
        </w:tc>
        <w:tc>
          <w:tcPr>
            <w:tcW w:w="829" w:type="dxa"/>
            <w:noWrap w:val="0"/>
            <w:vAlign w:val="center"/>
          </w:tcPr>
          <w:p>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9</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氯甲烷</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&lt;1.0</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&lt;1.0</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&lt;1.0</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10</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氯乙烯</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&lt;1.0</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&lt;1.0</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&lt;1.0</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11</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1,1-二氯乙烯</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&lt;1.0</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&lt;1.0</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&lt;1.0</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12</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二氯甲烷</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&lt;1.5</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&lt;1.5</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&lt;1.5</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13</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反-1,2-二氯乙烯</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&lt;1.4</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&lt;1.4</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&lt;1.4</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14</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1,1-二氯乙烷</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15</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顺-1,2-二氯乙烯</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&lt;1.3</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&lt;1.3</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&lt;1.3</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16</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氯仿</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&lt;1.1</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&lt;1.1</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&lt;1.1</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17</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1,1,1-三氯乙烷</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&lt;1.3</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&lt;1.3</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&lt;1.3</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18</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四氯化碳</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&lt;1.3</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&lt;1.3</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&lt;1.3</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19</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苯</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&lt;1.9</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&lt;1.9</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&lt;1.9</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20</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1,2-二氯乙烷</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&lt;1.3</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&lt;1.3</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&lt;1.3</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21</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三氯乙烯</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1.7</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1.6</w:t>
            </w:r>
          </w:p>
        </w:tc>
        <w:tc>
          <w:tcPr>
            <w:tcW w:w="1943" w:type="dxa"/>
            <w:noWrap w:val="0"/>
            <w:vAlign w:val="center"/>
          </w:tcPr>
          <w:p>
            <w:pPr>
              <w:widowControl/>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1.6</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22</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1,2-二氯丙烷</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&lt;1.1</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kern w:val="0"/>
                <w:sz w:val="21"/>
                <w:szCs w:val="21"/>
                <w:lang w:val="en-US" w:eastAsia="zh-CN" w:bidi="ar"/>
              </w:rPr>
              <w:t>&lt;1.1</w:t>
            </w:r>
          </w:p>
        </w:tc>
        <w:tc>
          <w:tcPr>
            <w:tcW w:w="1943" w:type="dxa"/>
            <w:noWrap w:val="0"/>
            <w:vAlign w:val="center"/>
          </w:tcPr>
          <w:p>
            <w:pPr>
              <w:widowControl/>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0"/>
                <w:sz w:val="21"/>
                <w:szCs w:val="21"/>
                <w:lang w:val="en-US" w:eastAsia="zh-CN" w:bidi="ar"/>
              </w:rPr>
              <w:t>&lt;1.1</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23</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甲苯</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2.3</w:t>
            </w:r>
          </w:p>
        </w:tc>
        <w:tc>
          <w:tcPr>
            <w:tcW w:w="1943" w:type="dxa"/>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2.2</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24</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1,1,2-三氯乙烷</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25</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四氯乙烯</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&lt;1.4</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&lt;1.4</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&lt;1.4</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26</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氯苯</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27</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1,1,1,2-四氯乙烷</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28</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乙苯</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29</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间二甲苯+对二甲苯</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30</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邻二甲苯</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highlight w:val="none"/>
                <w:lang w:val="en-US" w:eastAsia="zh-CN" w:bidi="ar"/>
              </w:rPr>
              <w:t>&lt;1.2</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31</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苯乙烯</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highlight w:val="none"/>
                <w:lang w:val="en-US" w:eastAsia="zh-CN" w:bidi="ar"/>
              </w:rPr>
              <w:t>&lt;1.1</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highlight w:val="none"/>
                <w:lang w:val="en-US" w:eastAsia="zh-CN" w:bidi="ar"/>
              </w:rPr>
              <w:t>&lt;1.1</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highlight w:val="none"/>
                <w:lang w:val="en-US" w:eastAsia="zh-CN" w:bidi="ar"/>
              </w:rPr>
              <w:t>&lt;1.1</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32</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1,1,2,2-四氯乙烷</w:t>
            </w:r>
          </w:p>
        </w:tc>
        <w:tc>
          <w:tcPr>
            <w:tcW w:w="1943" w:type="dxa"/>
            <w:noWrap w:val="0"/>
            <w:vAlign w:val="center"/>
          </w:tcPr>
          <w:p>
            <w:pPr>
              <w:widowControl/>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0"/>
                <w:sz w:val="21"/>
                <w:szCs w:val="21"/>
                <w:highlight w:val="none"/>
                <w:lang w:val="en-US" w:eastAsia="zh-CN" w:bidi="ar"/>
              </w:rPr>
              <w:t>&lt;1.2</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33</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1,2,3-三氯丙烷</w:t>
            </w:r>
          </w:p>
        </w:tc>
        <w:tc>
          <w:tcPr>
            <w:tcW w:w="1943" w:type="dxa"/>
            <w:noWrap w:val="0"/>
            <w:vAlign w:val="center"/>
          </w:tcPr>
          <w:p>
            <w:pPr>
              <w:widowControl/>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0"/>
                <w:sz w:val="21"/>
                <w:szCs w:val="21"/>
                <w:highlight w:val="none"/>
                <w:lang w:val="en-US" w:eastAsia="zh-CN" w:bidi="ar"/>
              </w:rPr>
              <w:t>&lt;1.2</w:t>
            </w:r>
          </w:p>
        </w:tc>
        <w:tc>
          <w:tcPr>
            <w:tcW w:w="1943" w:type="dxa"/>
            <w:noWrap w:val="0"/>
            <w:vAlign w:val="center"/>
          </w:tcPr>
          <w:p>
            <w:pPr>
              <w:widowControl/>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0"/>
                <w:sz w:val="21"/>
                <w:szCs w:val="21"/>
                <w:highlight w:val="none"/>
                <w:lang w:val="en-US" w:eastAsia="zh-CN" w:bidi="ar"/>
              </w:rPr>
              <w:t>&lt;1.2</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34</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1,4-二氯苯</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&lt;1.5</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&lt;1.5</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&lt;1.5</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35</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autoSpaceDE w:val="0"/>
              <w:autoSpaceDN w:val="0"/>
              <w:adjustRightIn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rPr>
              <w:t>1,2-二氯苯</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&lt;1.5</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&lt;1.5</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&lt;1.5</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µg/kg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36</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spacing w:line="220" w:lineRule="atLeast"/>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苯胺</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&lt;1.0</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&lt;1.0</w:t>
            </w:r>
          </w:p>
        </w:tc>
        <w:tc>
          <w:tcPr>
            <w:tcW w:w="1943" w:type="dxa"/>
            <w:noWrap w:val="0"/>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&lt;1.0</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37</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spacing w:line="220" w:lineRule="atLeast"/>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2-氯酚</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&lt;0.06</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&lt;0.06</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&lt;0.06</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38</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硝基苯</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&lt;0.09</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&lt;0.09</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&lt;0.09</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39</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spacing w:line="22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萘</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&lt;0.09</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&lt;0.09</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&lt;0.09</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40</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苯并[a]蒽</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41</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spacing w:line="220" w:lineRule="atLeast"/>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䓛</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42</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spacing w:line="220" w:lineRule="atLeast"/>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苯并[b]荧蒽</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&lt;0.2</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&lt;0.2</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&lt;0.2</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43</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spacing w:line="220" w:lineRule="atLeast"/>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苯并[k]荧蒽</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44</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spacing w:line="220" w:lineRule="atLeast"/>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苯并[a]芘</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45</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spacing w:line="220" w:lineRule="atLeast"/>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茚并[1,2,3-cd]芘</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rPr>
              <w:t>mg/kg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60" w:type="dxa"/>
            <w:noWrap w:val="0"/>
            <w:vAlign w:val="center"/>
          </w:tcPr>
          <w:p>
            <w:pPr>
              <w:widowControl/>
              <w:tabs>
                <w:tab w:val="left" w:pos="516"/>
              </w:tabs>
              <w:spacing w:line="280" w:lineRule="exact"/>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46</w:t>
            </w:r>
          </w:p>
        </w:tc>
        <w:tc>
          <w:tcPr>
            <w:tcW w:w="865" w:type="dxa"/>
            <w:vMerge w:val="continue"/>
            <w:noWrap w:val="0"/>
            <w:vAlign w:val="center"/>
          </w:tcPr>
          <w:p>
            <w:pPr>
              <w:widowControl/>
              <w:jc w:val="center"/>
              <w:textAlignment w:val="center"/>
              <w:rPr>
                <w:rFonts w:hint="default" w:ascii="Times New Roman" w:hAnsi="Times New Roman" w:eastAsia="宋体" w:cs="Times New Roman"/>
                <w:sz w:val="21"/>
                <w:szCs w:val="21"/>
              </w:rPr>
            </w:pPr>
          </w:p>
        </w:tc>
        <w:tc>
          <w:tcPr>
            <w:tcW w:w="1269" w:type="dxa"/>
            <w:noWrap w:val="0"/>
            <w:vAlign w:val="center"/>
          </w:tcPr>
          <w:p>
            <w:pPr>
              <w:spacing w:line="220" w:lineRule="atLeast"/>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二苯并[a,h]蒽</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1943" w:type="dxa"/>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&lt;0.1</w:t>
            </w:r>
          </w:p>
        </w:tc>
        <w:tc>
          <w:tcPr>
            <w:tcW w:w="829" w:type="dxa"/>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lang w:val="en-US"/>
              </w:rPr>
              <w:t>mg/kg</w:t>
            </w:r>
          </w:p>
        </w:tc>
      </w:tr>
    </w:tbl>
    <w:p>
      <w:pPr>
        <w:pStyle w:val="6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color w:val="auto"/>
          <w:sz w:val="24"/>
        </w:rPr>
      </w:pPr>
      <w:r>
        <w:rPr>
          <w:rFonts w:hint="default" w:ascii="Times New Roman" w:hAnsi="Times New Roman" w:eastAsia="宋体" w:cs="Times New Roman"/>
          <w:color w:val="auto"/>
          <w:sz w:val="24"/>
          <w:szCs w:val="24"/>
          <w:lang w:val="en-US" w:eastAsia="zh-CN"/>
        </w:rPr>
        <w:t>土壤环境质量符合建设用地第二类用地土壤污染风险筛选值</w:t>
      </w:r>
      <w:r>
        <w:rPr>
          <w:rFonts w:hint="default" w:ascii="Times New Roman" w:hAnsi="Times New Roman" w:eastAsia="宋体" w:cs="Times New Roman"/>
          <w:color w:val="auto"/>
          <w:sz w:val="24"/>
        </w:rPr>
        <w:t>。</w:t>
      </w:r>
    </w:p>
    <w:p>
      <w:pPr>
        <w:pStyle w:val="61"/>
        <w:rPr>
          <w:rFonts w:hint="default" w:ascii="Times New Roman" w:hAnsi="Times New Roman" w:eastAsia="宋体" w:cs="Times New Roman"/>
          <w:b/>
          <w:color w:val="auto"/>
          <w:sz w:val="28"/>
          <w:szCs w:val="28"/>
          <w:lang w:eastAsia="zh-CN"/>
        </w:rPr>
        <w:sectPr>
          <w:pgSz w:w="11906" w:h="16838"/>
          <w:pgMar w:top="1417" w:right="1418" w:bottom="1417" w:left="1417" w:header="851" w:footer="992" w:gutter="0"/>
          <w:pgBorders>
            <w:top w:val="none" w:sz="0" w:space="0"/>
            <w:left w:val="none" w:sz="0" w:space="0"/>
            <w:bottom w:val="none" w:sz="0" w:space="0"/>
            <w:right w:val="none" w:sz="0" w:space="0"/>
          </w:pgBorders>
          <w:pgNumType w:fmt="decimal"/>
          <w:cols w:space="720" w:num="1"/>
          <w:docGrid w:linePitch="312" w:charSpace="0"/>
        </w:sectPr>
      </w:pPr>
    </w:p>
    <w:p>
      <w:pPr>
        <w:jc w:val="center"/>
        <w:rPr>
          <w:rFonts w:hint="default" w:ascii="Times New Roman" w:hAnsi="Times New Roman" w:eastAsia="宋体" w:cs="Times New Roman"/>
          <w:color w:val="auto"/>
          <w:lang w:eastAsia="zh-CN"/>
        </w:rPr>
      </w:pPr>
      <w:r>
        <w:rPr>
          <w:rFonts w:hint="default" w:ascii="Times New Roman" w:hAnsi="Times New Roman" w:eastAsia="宋体" w:cs="Times New Roman"/>
          <w:lang w:eastAsia="zh-CN"/>
        </w:rPr>
        <w:drawing>
          <wp:inline distT="0" distB="0" distL="114300" distR="114300">
            <wp:extent cx="8321040" cy="5439410"/>
            <wp:effectExtent l="0" t="0" r="0" b="1270"/>
            <wp:docPr id="9" name="图片 9" descr="1637023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637023254(1)"/>
                    <pic:cNvPicPr>
                      <a:picLocks noChangeAspect="1"/>
                    </pic:cNvPicPr>
                  </pic:nvPicPr>
                  <pic:blipFill>
                    <a:blip r:embed="rId41"/>
                    <a:stretch>
                      <a:fillRect/>
                    </a:stretch>
                  </pic:blipFill>
                  <pic:spPr>
                    <a:xfrm>
                      <a:off x="0" y="0"/>
                      <a:ext cx="8321040" cy="5439410"/>
                    </a:xfrm>
                    <a:prstGeom prst="rect">
                      <a:avLst/>
                    </a:prstGeom>
                  </pic:spPr>
                </pic:pic>
              </a:graphicData>
            </a:graphic>
          </wp:inline>
        </w:drawing>
      </w:r>
    </w:p>
    <w:p>
      <w:pPr>
        <w:pStyle w:val="61"/>
        <w:jc w:val="center"/>
        <w:rPr>
          <w:rFonts w:hint="default" w:ascii="Times New Roman" w:hAnsi="Times New Roman" w:eastAsia="宋体" w:cs="Times New Roman"/>
          <w:color w:val="auto"/>
          <w:lang w:eastAsia="zh-CN"/>
        </w:rPr>
        <w:sectPr>
          <w:pgSz w:w="16838" w:h="11906" w:orient="landscape"/>
          <w:pgMar w:top="1474" w:right="1474" w:bottom="1418" w:left="1474"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color w:val="auto"/>
          <w:sz w:val="24"/>
          <w:szCs w:val="24"/>
        </w:rPr>
        <w:t>图4.2-1 环境质量监测点位示意</w:t>
      </w:r>
      <w:r>
        <w:rPr>
          <w:rFonts w:hint="default" w:ascii="Times New Roman" w:hAnsi="Times New Roman" w:eastAsia="宋体" w:cs="Times New Roman"/>
          <w:b/>
          <w:color w:val="auto"/>
          <w:sz w:val="24"/>
          <w:szCs w:val="24"/>
          <w:lang w:eastAsia="zh-CN"/>
        </w:rPr>
        <w:t>图</w:t>
      </w:r>
    </w:p>
    <w:bookmarkEnd w:id="1"/>
    <w:bookmarkEnd w:id="2"/>
    <w:p>
      <w:pPr>
        <w:pStyle w:val="346"/>
        <w:spacing w:beforeLines="50" w:line="360" w:lineRule="auto"/>
        <w:rPr>
          <w:rFonts w:hint="default" w:ascii="Times New Roman" w:hAnsi="Times New Roman" w:eastAsia="宋体" w:cs="Times New Roman"/>
          <w:color w:val="auto"/>
        </w:rPr>
      </w:pPr>
      <w:bookmarkStart w:id="222" w:name="_Toc7428"/>
      <w:bookmarkStart w:id="223" w:name="_Toc99338522"/>
      <w:bookmarkStart w:id="224" w:name="_Toc476225028"/>
      <w:r>
        <w:rPr>
          <w:rFonts w:hint="default" w:ascii="Times New Roman" w:hAnsi="Times New Roman" w:eastAsia="宋体" w:cs="Times New Roman"/>
          <w:color w:val="auto"/>
        </w:rPr>
        <w:t>5环境影响预测与评价</w:t>
      </w:r>
      <w:bookmarkEnd w:id="222"/>
    </w:p>
    <w:p>
      <w:pPr>
        <w:keepNext/>
        <w:keepLines/>
        <w:tabs>
          <w:tab w:val="left" w:pos="432"/>
        </w:tabs>
        <w:spacing w:beforeLines="50" w:line="360" w:lineRule="auto"/>
        <w:outlineLvl w:val="1"/>
        <w:rPr>
          <w:rFonts w:hint="default" w:ascii="Times New Roman" w:hAnsi="Times New Roman" w:eastAsia="宋体" w:cs="Times New Roman"/>
          <w:b/>
          <w:color w:val="auto"/>
          <w:sz w:val="28"/>
        </w:rPr>
      </w:pPr>
      <w:bookmarkStart w:id="225" w:name="_Toc402776400"/>
      <w:bookmarkStart w:id="226" w:name="_Toc23552"/>
      <w:bookmarkStart w:id="227" w:name="_Toc22016514"/>
      <w:bookmarkStart w:id="228" w:name="_Toc404059123"/>
      <w:r>
        <w:rPr>
          <w:rFonts w:hint="default" w:ascii="Times New Roman" w:hAnsi="Times New Roman" w:eastAsia="宋体" w:cs="Times New Roman"/>
          <w:b/>
          <w:color w:val="auto"/>
          <w:sz w:val="28"/>
        </w:rPr>
        <w:t>5.1 施工期环境影响分析</w:t>
      </w:r>
      <w:bookmarkEnd w:id="225"/>
      <w:bookmarkEnd w:id="226"/>
      <w:bookmarkEnd w:id="227"/>
      <w:bookmarkEnd w:id="228"/>
    </w:p>
    <w:p>
      <w:pPr>
        <w:pStyle w:val="520"/>
        <w:rPr>
          <w:rFonts w:hint="default" w:ascii="Times New Roman" w:hAnsi="Times New Roman" w:eastAsia="宋体" w:cs="Times New Roman"/>
          <w:color w:val="auto"/>
        </w:rPr>
      </w:pPr>
      <w:r>
        <w:rPr>
          <w:rFonts w:hint="default" w:ascii="Times New Roman" w:hAnsi="Times New Roman" w:eastAsia="宋体" w:cs="Times New Roman"/>
          <w:color w:val="auto"/>
          <w:szCs w:val="24"/>
        </w:rPr>
        <w:t>建设项目施工期主要为厂房的建设，外墙</w:t>
      </w:r>
      <w:r>
        <w:rPr>
          <w:rFonts w:hint="default" w:ascii="Times New Roman" w:hAnsi="Times New Roman" w:eastAsia="宋体" w:cs="Times New Roman"/>
          <w:color w:val="auto"/>
          <w:szCs w:val="24"/>
          <w:lang w:eastAsia="zh-CN"/>
        </w:rPr>
        <w:t>、</w:t>
      </w:r>
      <w:r>
        <w:rPr>
          <w:rFonts w:hint="default" w:ascii="Times New Roman" w:hAnsi="Times New Roman" w:eastAsia="宋体" w:cs="Times New Roman"/>
          <w:color w:val="auto"/>
          <w:szCs w:val="24"/>
        </w:rPr>
        <w:t>饰面</w:t>
      </w:r>
      <w:r>
        <w:rPr>
          <w:rFonts w:hint="default" w:ascii="Times New Roman" w:hAnsi="Times New Roman" w:eastAsia="宋体" w:cs="Times New Roman"/>
          <w:color w:val="auto"/>
          <w:szCs w:val="24"/>
          <w:lang w:eastAsia="zh-CN"/>
        </w:rPr>
        <w:t>及设备的安装</w:t>
      </w:r>
      <w:r>
        <w:rPr>
          <w:rFonts w:hint="default" w:ascii="Times New Roman" w:hAnsi="Times New Roman" w:eastAsia="宋体" w:cs="Times New Roman"/>
          <w:color w:val="auto"/>
        </w:rPr>
        <w:t>。</w:t>
      </w:r>
    </w:p>
    <w:p>
      <w:pPr>
        <w:spacing w:beforeLines="50" w:line="360" w:lineRule="auto"/>
        <w:outlineLvl w:val="2"/>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5.1.1施工期环境空气影响分析</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项目区施工期产生的大气污染主要源自地基开挖、车辆运输产生的地表扬尘和施工机械及建筑材料运输车辆产生的尾气。该部分污染呈间歇性，排放源位置、排放总量不固定，且会随着施工期的结束而消失。</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1、施工期扬尘分析</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（1）动力起尘</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据有关文献资料介绍，车辆行驶产生的扬尘占总扬尘的60%以上。据了解，该项目建设过程中的运输车辆以使用5吨的卡车较多，车辆行驶产生的扬尘，在完全干燥情况下的经验计算公式为：</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drawing>
          <wp:inline distT="0" distB="0" distL="114300" distR="114300">
            <wp:extent cx="2894330" cy="324485"/>
            <wp:effectExtent l="0" t="0" r="1270" b="18415"/>
            <wp:docPr id="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7"/>
                    <pic:cNvPicPr>
                      <a:picLocks noChangeAspect="1"/>
                    </pic:cNvPicPr>
                  </pic:nvPicPr>
                  <pic:blipFill>
                    <a:blip r:embed="rId42"/>
                    <a:stretch>
                      <a:fillRect/>
                    </a:stretch>
                  </pic:blipFill>
                  <pic:spPr>
                    <a:xfrm>
                      <a:off x="0" y="0"/>
                      <a:ext cx="2894330" cy="324485"/>
                    </a:xfrm>
                    <a:prstGeom prst="rect">
                      <a:avLst/>
                    </a:prstGeom>
                    <a:noFill/>
                    <a:ln>
                      <a:noFill/>
                    </a:ln>
                  </pic:spPr>
                </pic:pic>
              </a:graphicData>
            </a:graphic>
          </wp:inline>
        </w:drawing>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式中：Q——汽车行驶的扬尘，kg/km·辆；</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V——汽车速度，km/hr；</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W——汽车载重量，吨；</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P——道路表面粉尘量，kg/m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表5.1-1为一辆载重5吨的卡车，通过一段长度为500m的路面时，不同路面清洁程度，不同行驶速度情况下产生的扬尘量。</w:t>
      </w:r>
    </w:p>
    <w:p>
      <w:pPr>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 xml:space="preserve">表5.1-1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不同车速和地面清洁程度时的汽车</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68"/>
        <w:gridCol w:w="1186"/>
        <w:gridCol w:w="1186"/>
        <w:gridCol w:w="1186"/>
        <w:gridCol w:w="1186"/>
        <w:gridCol w:w="1186"/>
        <w:gridCol w:w="119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89" w:type="dxa"/>
            <w:vMerge w:val="restar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               P</w:t>
            </w:r>
          </w:p>
          <w:p>
            <w:pPr>
              <w:pStyle w:val="61"/>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汽车速度，km/h</w:t>
            </w:r>
          </w:p>
        </w:tc>
        <w:tc>
          <w:tcPr>
            <w:tcW w:w="6533" w:type="dxa"/>
            <w:gridSpan w:val="6"/>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道路表面粉尘量，kg/m</w:t>
            </w:r>
            <w:r>
              <w:rPr>
                <w:rFonts w:hint="default" w:ascii="Times New Roman" w:hAnsi="Times New Roman" w:eastAsia="宋体" w:cs="Times New Roman"/>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89" w:type="dxa"/>
            <w:vMerge w:val="continue"/>
            <w:noWrap w:val="0"/>
            <w:vAlign w:val="center"/>
          </w:tcPr>
          <w:p>
            <w:pPr>
              <w:pStyle w:val="61"/>
              <w:jc w:val="center"/>
              <w:rPr>
                <w:rFonts w:hint="default" w:ascii="Times New Roman" w:hAnsi="Times New Roman" w:eastAsia="宋体" w:cs="Times New Roman"/>
                <w:color w:val="auto"/>
                <w:sz w:val="21"/>
                <w:szCs w:val="21"/>
              </w:rPr>
            </w:pP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0.1 </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0.2 </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0.3  </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0.4  </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1093"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89"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0.0283</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0.0476</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0.0646</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0.0801</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0.0947</w:t>
            </w:r>
          </w:p>
        </w:tc>
        <w:tc>
          <w:tcPr>
            <w:tcW w:w="1093"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0.1593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89"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0.0566</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0.0953</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0.1291</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0.1602</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0.1894</w:t>
            </w:r>
          </w:p>
        </w:tc>
        <w:tc>
          <w:tcPr>
            <w:tcW w:w="1093"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0.3186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89"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0.0850</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0.1429</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0.1937</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0.2403</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0.2841</w:t>
            </w:r>
          </w:p>
        </w:tc>
        <w:tc>
          <w:tcPr>
            <w:tcW w:w="1093"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0.4778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89"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0.1133</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0.1905</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0.2583</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0.3204</w:t>
            </w:r>
          </w:p>
        </w:tc>
        <w:tc>
          <w:tcPr>
            <w:tcW w:w="1088"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0.3788</w:t>
            </w:r>
          </w:p>
        </w:tc>
        <w:tc>
          <w:tcPr>
            <w:tcW w:w="1093"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0.6371</w:t>
            </w:r>
          </w:p>
        </w:tc>
      </w:tr>
    </w:tbl>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由此可见，在同样路面清洁情况下，车速越快，扬尘量越大；而在同样车速情况下，路面清洁度越差，则扬尘量越大。</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如果在施工期间对车辆行驶的路面实施洒水抑尘，每天洒水4～5次，可使扬尘减少70%左右，表5.1-2为施工道路洒水抑尘的试验结果。</w:t>
      </w:r>
    </w:p>
    <w:p>
      <w:pPr>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 xml:space="preserve">表5.1-2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施工道路洒水抑尘试验结果</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48"/>
        <w:gridCol w:w="1548"/>
        <w:gridCol w:w="1548"/>
        <w:gridCol w:w="1549"/>
        <w:gridCol w:w="1548"/>
        <w:gridCol w:w="154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40" w:type="dxa"/>
            <w:gridSpan w:val="2"/>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距离(m) </w:t>
            </w:r>
          </w:p>
        </w:tc>
        <w:tc>
          <w:tcPr>
            <w:tcW w:w="1420"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5 </w:t>
            </w:r>
          </w:p>
        </w:tc>
        <w:tc>
          <w:tcPr>
            <w:tcW w:w="1421"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20 </w:t>
            </w:r>
          </w:p>
        </w:tc>
        <w:tc>
          <w:tcPr>
            <w:tcW w:w="1420"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50 </w:t>
            </w:r>
          </w:p>
        </w:tc>
        <w:tc>
          <w:tcPr>
            <w:tcW w:w="1421"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0" w:type="dxa"/>
            <w:vMerge w:val="restar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TSP小时平均浓度mg/m</w:t>
            </w:r>
            <w:r>
              <w:rPr>
                <w:rFonts w:hint="default" w:ascii="Times New Roman" w:hAnsi="Times New Roman" w:eastAsia="宋体" w:cs="Times New Roman"/>
                <w:color w:val="auto"/>
                <w:sz w:val="21"/>
                <w:szCs w:val="21"/>
                <w:vertAlign w:val="superscript"/>
              </w:rPr>
              <w:t>3</w:t>
            </w:r>
          </w:p>
        </w:tc>
        <w:tc>
          <w:tcPr>
            <w:tcW w:w="1420"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不洒水</w:t>
            </w:r>
          </w:p>
        </w:tc>
        <w:tc>
          <w:tcPr>
            <w:tcW w:w="1420"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10.14</w:t>
            </w:r>
          </w:p>
        </w:tc>
        <w:tc>
          <w:tcPr>
            <w:tcW w:w="1421"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2.89 </w:t>
            </w:r>
          </w:p>
        </w:tc>
        <w:tc>
          <w:tcPr>
            <w:tcW w:w="1420"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1.15  </w:t>
            </w:r>
          </w:p>
        </w:tc>
        <w:tc>
          <w:tcPr>
            <w:tcW w:w="1421"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0" w:type="dxa"/>
            <w:vMerge w:val="continue"/>
            <w:noWrap w:val="0"/>
            <w:vAlign w:val="center"/>
          </w:tcPr>
          <w:p>
            <w:pPr>
              <w:pStyle w:val="61"/>
              <w:jc w:val="center"/>
              <w:rPr>
                <w:rFonts w:hint="default" w:ascii="Times New Roman" w:hAnsi="Times New Roman" w:eastAsia="宋体" w:cs="Times New Roman"/>
                <w:color w:val="auto"/>
                <w:sz w:val="21"/>
                <w:szCs w:val="21"/>
              </w:rPr>
            </w:pPr>
          </w:p>
        </w:tc>
        <w:tc>
          <w:tcPr>
            <w:tcW w:w="1420"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洒水</w:t>
            </w:r>
          </w:p>
        </w:tc>
        <w:tc>
          <w:tcPr>
            <w:tcW w:w="1420"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2.01</w:t>
            </w:r>
          </w:p>
        </w:tc>
        <w:tc>
          <w:tcPr>
            <w:tcW w:w="1421"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1.40  </w:t>
            </w:r>
          </w:p>
        </w:tc>
        <w:tc>
          <w:tcPr>
            <w:tcW w:w="1420"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0.67 </w:t>
            </w:r>
          </w:p>
        </w:tc>
        <w:tc>
          <w:tcPr>
            <w:tcW w:w="1421"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0.60</w:t>
            </w:r>
          </w:p>
        </w:tc>
      </w:tr>
    </w:tbl>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洒水抑尘的试验结果表明，每天洒水4～5次进行抑尘，可有效地控制施工道路扬尘，可将TSP污染距离缩小到20～50m范围，道路外侧50m处即能达到《大气污染物综合排放标准》（GB16297-1996）表2中颗粒物≤1.0mg/m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要求，不采取洒水措施，道路外侧约100m处才能达到施工期无组织排放颗粒物标准。</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（2）风力扬尘</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施工期扬尘的另一个主要原因是露天堆场和裸露场地的风力扬尘。由于施工的需要，一些建材需露天堆放；一些施工点表层土壤需人工开挖、堆放，在气候干燥又有风的情况下，会产生扬尘，堆场起尘的经验计算公式为：</w:t>
      </w:r>
    </w:p>
    <w:p>
      <w:pPr>
        <w:pStyle w:val="61"/>
        <w:jc w:val="cente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2162175" cy="278765"/>
            <wp:effectExtent l="0" t="0" r="9525" b="6985"/>
            <wp:docPr id="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pic:cNvPicPr>
                      <a:picLocks noChangeAspect="1"/>
                    </pic:cNvPicPr>
                  </pic:nvPicPr>
                  <pic:blipFill>
                    <a:blip r:embed="rId43"/>
                    <a:stretch>
                      <a:fillRect/>
                    </a:stretch>
                  </pic:blipFill>
                  <pic:spPr>
                    <a:xfrm>
                      <a:off x="0" y="0"/>
                      <a:ext cx="2162175" cy="278765"/>
                    </a:xfrm>
                    <a:prstGeom prst="rect">
                      <a:avLst/>
                    </a:prstGeom>
                    <a:noFill/>
                    <a:ln>
                      <a:noFill/>
                    </a:ln>
                  </pic:spPr>
                </pic:pic>
              </a:graphicData>
            </a:graphic>
          </wp:inline>
        </w:drawing>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其中：Q——起尘量，kg/吨·年；</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V</w:t>
      </w:r>
      <w:r>
        <w:rPr>
          <w:rFonts w:hint="default" w:ascii="Times New Roman" w:hAnsi="Times New Roman" w:eastAsia="宋体" w:cs="Times New Roman"/>
          <w:color w:val="auto"/>
          <w:sz w:val="24"/>
          <w:vertAlign w:val="subscript"/>
        </w:rPr>
        <w:t>10</w:t>
      </w:r>
      <w:r>
        <w:rPr>
          <w:rFonts w:hint="default" w:ascii="Times New Roman" w:hAnsi="Times New Roman" w:eastAsia="宋体" w:cs="Times New Roman"/>
          <w:color w:val="auto"/>
          <w:sz w:val="24"/>
        </w:rPr>
        <w:t>——距地面10m处风速，m/s；</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V</w:t>
      </w:r>
      <w:r>
        <w:rPr>
          <w:rFonts w:hint="default" w:ascii="Times New Roman" w:hAnsi="Times New Roman" w:eastAsia="宋体" w:cs="Times New Roman"/>
          <w:color w:val="auto"/>
          <w:sz w:val="24"/>
          <w:vertAlign w:val="subscript"/>
        </w:rPr>
        <w:t>0</w:t>
      </w:r>
      <w:r>
        <w:rPr>
          <w:rFonts w:hint="default" w:ascii="Times New Roman" w:hAnsi="Times New Roman" w:eastAsia="宋体" w:cs="Times New Roman"/>
          <w:color w:val="auto"/>
          <w:sz w:val="24"/>
        </w:rPr>
        <w:t>——起尘风速，m/s；</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W——尘粒的含水率，%。</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尘粒在空气中的传播扩散情况与风速等气象条件有关，也与尘粒本身的沉降速度有关。不同粒径尘粒的沉降速度见表5.1-3。</w:t>
      </w:r>
    </w:p>
    <w:p>
      <w:pPr>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 xml:space="preserve">表5.1-3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不同粒径尘粒的沉降速度</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29"/>
        <w:gridCol w:w="1107"/>
        <w:gridCol w:w="1107"/>
        <w:gridCol w:w="1107"/>
        <w:gridCol w:w="1107"/>
        <w:gridCol w:w="1107"/>
        <w:gridCol w:w="1107"/>
        <w:gridCol w:w="111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4"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粒径，μm </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10  </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1022"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4"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沉降速度m/s  </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0.003</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0.012</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0.027</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0.048</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0.075</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0.108</w:t>
            </w:r>
          </w:p>
        </w:tc>
        <w:tc>
          <w:tcPr>
            <w:tcW w:w="1022"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0.147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4"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粒径，μm </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156.06</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c>
          <w:tcPr>
            <w:tcW w:w="1022"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4"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沉降速度m/s  </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0.158 </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0.170</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0.182</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0.239 </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0.804 </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1.005</w:t>
            </w:r>
          </w:p>
        </w:tc>
        <w:tc>
          <w:tcPr>
            <w:tcW w:w="1022"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1.829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4"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粒径，μm </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450</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550</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650</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750</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850</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950</w:t>
            </w:r>
          </w:p>
        </w:tc>
        <w:tc>
          <w:tcPr>
            <w:tcW w:w="1022"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4"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沉降速度m/s  </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2.211</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2.614</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3.016</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3.418</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3.820</w:t>
            </w:r>
          </w:p>
        </w:tc>
        <w:tc>
          <w:tcPr>
            <w:tcW w:w="1016"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4.222</w:t>
            </w:r>
          </w:p>
        </w:tc>
        <w:tc>
          <w:tcPr>
            <w:tcW w:w="1022" w:type="dxa"/>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4.624</w:t>
            </w:r>
          </w:p>
        </w:tc>
      </w:tr>
    </w:tbl>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从上表可以看出，尘粒的沉降速度随粒径的增大而迅速增大。当粒径为250μm时，沉降速度为1.005m/s，因此可以认为当尘粒大于250μm时，主要影响范围在扬尘点下风向近距离范围内，而真正对外环境产生影响的是一些微小尘粒。</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如果在施工期间对车辆行驶的路面实施洒水抑尘，每天洒水4～5次，可使扬尘减少70%左右，表5.1-</w:t>
      </w:r>
      <w:r>
        <w:rPr>
          <w:rFonts w:hint="default"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rPr>
        <w:t>为施工道路洒水抑尘的试验结果。</w:t>
      </w:r>
    </w:p>
    <w:p>
      <w:pPr>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表5.1-</w:t>
      </w:r>
      <w:r>
        <w:rPr>
          <w:rFonts w:hint="default"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施工道路洒水抑尘试验结果</w:t>
      </w:r>
    </w:p>
    <w:tbl>
      <w:tblPr>
        <w:tblStyle w:val="51"/>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6"/>
        <w:gridCol w:w="1550"/>
        <w:gridCol w:w="1546"/>
        <w:gridCol w:w="1548"/>
        <w:gridCol w:w="1546"/>
        <w:gridCol w:w="154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6" w:type="pct"/>
            <w:gridSpan w:val="2"/>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距离(m) </w:t>
            </w:r>
          </w:p>
        </w:tc>
        <w:tc>
          <w:tcPr>
            <w:tcW w:w="832" w:type="pc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5 </w:t>
            </w:r>
          </w:p>
        </w:tc>
        <w:tc>
          <w:tcPr>
            <w:tcW w:w="833" w:type="pc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20 </w:t>
            </w:r>
          </w:p>
        </w:tc>
        <w:tc>
          <w:tcPr>
            <w:tcW w:w="832" w:type="pc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50 </w:t>
            </w:r>
          </w:p>
        </w:tc>
        <w:tc>
          <w:tcPr>
            <w:tcW w:w="833" w:type="pc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32" w:type="pct"/>
            <w:vMerge w:val="restar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TSP小时平均浓度mg/m</w:t>
            </w:r>
            <w:r>
              <w:rPr>
                <w:rFonts w:hint="default" w:ascii="Times New Roman" w:hAnsi="Times New Roman" w:eastAsia="宋体" w:cs="Times New Roman"/>
                <w:color w:val="auto"/>
                <w:sz w:val="21"/>
                <w:szCs w:val="21"/>
                <w:vertAlign w:val="superscript"/>
              </w:rPr>
              <w:t>3</w:t>
            </w:r>
          </w:p>
        </w:tc>
        <w:tc>
          <w:tcPr>
            <w:tcW w:w="833" w:type="pc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不洒水</w:t>
            </w:r>
          </w:p>
        </w:tc>
        <w:tc>
          <w:tcPr>
            <w:tcW w:w="832" w:type="pc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10.14</w:t>
            </w:r>
          </w:p>
        </w:tc>
        <w:tc>
          <w:tcPr>
            <w:tcW w:w="833" w:type="pc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2.89 </w:t>
            </w:r>
          </w:p>
        </w:tc>
        <w:tc>
          <w:tcPr>
            <w:tcW w:w="832" w:type="pc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1.15  </w:t>
            </w:r>
          </w:p>
        </w:tc>
        <w:tc>
          <w:tcPr>
            <w:tcW w:w="833" w:type="pc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32" w:type="pct"/>
            <w:vMerge w:val="continue"/>
            <w:noWrap w:val="0"/>
            <w:vAlign w:val="center"/>
          </w:tcPr>
          <w:p>
            <w:pPr>
              <w:pStyle w:val="61"/>
              <w:jc w:val="center"/>
              <w:rPr>
                <w:rFonts w:hint="default" w:ascii="Times New Roman" w:hAnsi="Times New Roman" w:eastAsia="宋体" w:cs="Times New Roman"/>
                <w:color w:val="auto"/>
                <w:sz w:val="21"/>
                <w:szCs w:val="21"/>
              </w:rPr>
            </w:pPr>
          </w:p>
        </w:tc>
        <w:tc>
          <w:tcPr>
            <w:tcW w:w="833" w:type="pc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洒水</w:t>
            </w:r>
          </w:p>
        </w:tc>
        <w:tc>
          <w:tcPr>
            <w:tcW w:w="832" w:type="pc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2.01</w:t>
            </w:r>
          </w:p>
        </w:tc>
        <w:tc>
          <w:tcPr>
            <w:tcW w:w="833" w:type="pc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1.40  </w:t>
            </w:r>
          </w:p>
        </w:tc>
        <w:tc>
          <w:tcPr>
            <w:tcW w:w="832" w:type="pc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0.67 </w:t>
            </w:r>
          </w:p>
        </w:tc>
        <w:tc>
          <w:tcPr>
            <w:tcW w:w="833" w:type="pct"/>
            <w:noWrap w:val="0"/>
            <w:vAlign w:val="center"/>
          </w:tcPr>
          <w:p>
            <w:pPr>
              <w:pStyle w:val="61"/>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0.60</w:t>
            </w:r>
          </w:p>
        </w:tc>
      </w:tr>
    </w:tbl>
    <w:p>
      <w:pPr>
        <w:keepNext w:val="0"/>
        <w:keepLines w:val="0"/>
        <w:pageBreakBefore w:val="0"/>
        <w:widowControl w:val="0"/>
        <w:kinsoku/>
        <w:wordWrap/>
        <w:overflowPunct/>
        <w:topLinePunct w:val="0"/>
        <w:autoSpaceDE/>
        <w:autoSpaceDN/>
        <w:bidi w:val="0"/>
        <w:adjustRightInd/>
        <w:snapToGrid/>
        <w:spacing w:before="164" w:beforeLines="50"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洒水抑尘的试验结果表明，每天洒水4～5次进行抑尘，可有效地控制施工道路扬尘，可将TSP污染距离缩小到20～50m范围，道路外侧50m处即能达到《大气污染物综合排放标准》（GB16297-1996）表2中颗粒物≤1.0mg/m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 xml:space="preserve">要求，不采取洒水措施，道路外侧约100m处才能达到施工期无组织排放颗粒物标准。   </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2、机械废气对环境的影响</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施工机械及各型运输车辆。使用汽油、柴油作为能源，在运行时排放的废气是主要的污染源。</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施工机械废气主要是CO、碳氢化合物等，其产生量及废气中污染物浓度视其使用频率及发动机对燃料的燃烧情况而异。</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施工机械废气属低架点源无组织排放性质，具有间断性产生、产生量较小、产生点相对分散、易被稀释扩散等特点，加之项目区施工范围相对较大，施工场地周围较空旷，大气扩散条件相对较好，故一般情况下，施工机械和运输车辆所产生污染在空气中经自然扩散和稀释后，对评价区域的空气环境质量影响不大。</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3、车辆运输废气</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项目废弃土石方、建筑材料运输过程中会产生一定的扬尘，对道路沿线居民造成一定的影响。</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评价要求建设单位应注意在运输、装卸建筑材料时，必须采用封闭式车辆运输，尤其是砂石等的运输必须控制其散落和扬尘的污染；施工工地进出口处地面设置草垫，并配备高压水枪冲洗带泥土的汽车轮胎和底盘下方，冲洗轮胎的废水不能随意外排，需沉淀后回用。通过限制车辆行驶速度以及保持路面的清洁可以减少车辆行驶扬尘。</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综上，项目区施工期短，粉尘（扬尘）、废气排放量不大，施工单位可以通过采取洒水降尘、限速、限载和加强汽车维护保养以及加强施工机械设备维护保养、保证其良好运转状态等措施来降低汽车尾气、施工机械设备尾气污染物的排放量，降低粉尘和废气对外环境的影响。施工期产生的扬尘污染是短期的，随着施工活动的结束，场地的覆盖、道路、建筑物的形成，项目区内的绿化完成等，施工扬尘及废气对环境空气的影响也就随之结束。</w:t>
      </w:r>
      <w:bookmarkEnd w:id="223"/>
      <w:bookmarkEnd w:id="224"/>
      <w:bookmarkStart w:id="229" w:name="_Toc476225038"/>
    </w:p>
    <w:p>
      <w:pPr>
        <w:spacing w:beforeLines="50" w:line="360" w:lineRule="auto"/>
        <w:outlineLvl w:val="2"/>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5.1.2施工期废水影响分析</w:t>
      </w:r>
    </w:p>
    <w:p>
      <w:pPr>
        <w:spacing w:line="360" w:lineRule="auto"/>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施工期废水主要</w:t>
      </w:r>
      <w:r>
        <w:rPr>
          <w:rFonts w:hint="default" w:ascii="Times New Roman" w:hAnsi="Times New Roman" w:eastAsia="宋体" w:cs="Times New Roman"/>
          <w:b w:val="0"/>
          <w:bCs w:val="0"/>
          <w:color w:val="auto"/>
          <w:sz w:val="24"/>
          <w:szCs w:val="24"/>
          <w:lang w:eastAsia="zh-CN"/>
        </w:rPr>
        <w:t>为</w:t>
      </w:r>
      <w:r>
        <w:rPr>
          <w:rFonts w:hint="default" w:ascii="Times New Roman" w:hAnsi="Times New Roman" w:eastAsia="宋体" w:cs="Times New Roman"/>
          <w:b w:val="0"/>
          <w:bCs w:val="0"/>
          <w:color w:val="auto"/>
          <w:sz w:val="24"/>
          <w:szCs w:val="24"/>
        </w:rPr>
        <w:t>施工过程中产生的施工废水</w:t>
      </w:r>
      <w:r>
        <w:rPr>
          <w:rFonts w:hint="default" w:ascii="Times New Roman" w:hAnsi="Times New Roman" w:eastAsia="宋体" w:cs="Times New Roman"/>
          <w:b w:val="0"/>
          <w:bCs w:val="0"/>
          <w:color w:val="auto"/>
          <w:sz w:val="24"/>
          <w:szCs w:val="24"/>
          <w:lang w:eastAsia="zh-CN"/>
        </w:rPr>
        <w:t>及</w:t>
      </w:r>
      <w:r>
        <w:rPr>
          <w:rFonts w:hint="default" w:ascii="Times New Roman" w:hAnsi="Times New Roman" w:eastAsia="宋体" w:cs="Times New Roman"/>
          <w:b w:val="0"/>
          <w:bCs w:val="0"/>
          <w:color w:val="auto"/>
          <w:sz w:val="24"/>
          <w:szCs w:val="24"/>
        </w:rPr>
        <w:t>施工人员的生活</w:t>
      </w:r>
      <w:r>
        <w:rPr>
          <w:rFonts w:hint="default" w:ascii="Times New Roman" w:hAnsi="Times New Roman" w:eastAsia="宋体" w:cs="Times New Roman"/>
          <w:b w:val="0"/>
          <w:bCs w:val="0"/>
          <w:color w:val="auto"/>
          <w:sz w:val="24"/>
          <w:szCs w:val="24"/>
          <w:lang w:eastAsia="zh-CN"/>
        </w:rPr>
        <w:t>废</w:t>
      </w:r>
      <w:r>
        <w:rPr>
          <w:rFonts w:hint="default" w:ascii="Times New Roman" w:hAnsi="Times New Roman" w:eastAsia="宋体" w:cs="Times New Roman"/>
          <w:b w:val="0"/>
          <w:bCs w:val="0"/>
          <w:color w:val="auto"/>
          <w:sz w:val="24"/>
          <w:szCs w:val="24"/>
        </w:rPr>
        <w:t>水。</w:t>
      </w:r>
    </w:p>
    <w:p>
      <w:pPr>
        <w:spacing w:line="360" w:lineRule="auto"/>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施工废水主要包括砂石料冲洗水、混凝土养护用水、设备车辆冲洗水、建筑养护排水等，其主要污染因子为SS。施工废水量经简易沉淀池沉淀后回用于砂石料冲洗、混凝土养护，场地洒水等，不外排。</w:t>
      </w:r>
    </w:p>
    <w:p>
      <w:pPr>
        <w:spacing w:line="360" w:lineRule="auto"/>
        <w:ind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b w:val="0"/>
          <w:bCs w:val="0"/>
          <w:color w:val="auto"/>
          <w:sz w:val="24"/>
          <w:szCs w:val="24"/>
          <w:lang w:val="en-US" w:eastAsia="zh-CN"/>
        </w:rPr>
        <w:t>本项目工程量较小，计划施工人数为10人，工期为2月</w:t>
      </w:r>
      <w:r>
        <w:rPr>
          <w:rFonts w:hint="default" w:ascii="Times New Roman" w:hAnsi="Times New Roman" w:eastAsia="宋体" w:cs="Times New Roman"/>
          <w:b w:val="0"/>
          <w:bCs w:val="0"/>
          <w:color w:val="auto"/>
          <w:sz w:val="24"/>
          <w:szCs w:val="24"/>
        </w:rPr>
        <w:t>。根据建筑施工场地生活用水定额，按50L/人•d计算，施工人员的生活用水量为</w:t>
      </w:r>
      <w:r>
        <w:rPr>
          <w:rFonts w:hint="default" w:ascii="Times New Roman" w:hAnsi="Times New Roman" w:eastAsia="宋体" w:cs="Times New Roman"/>
          <w:b w:val="0"/>
          <w:bCs w:val="0"/>
          <w:color w:val="auto"/>
          <w:sz w:val="24"/>
          <w:szCs w:val="24"/>
          <w:lang w:val="en-US" w:eastAsia="zh-CN"/>
        </w:rPr>
        <w:t>0.5</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/d，排污系数按用水量的80%计，则施工期共计生活污水排放量为</w:t>
      </w:r>
      <w:r>
        <w:rPr>
          <w:rFonts w:hint="default" w:ascii="Times New Roman" w:hAnsi="Times New Roman" w:eastAsia="宋体" w:cs="Times New Roman"/>
          <w:b w:val="0"/>
          <w:bCs w:val="0"/>
          <w:color w:val="auto"/>
          <w:sz w:val="24"/>
          <w:szCs w:val="24"/>
          <w:lang w:val="en-US" w:eastAsia="zh-CN"/>
        </w:rPr>
        <w:t>0.4</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/d</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24</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b w:val="0"/>
          <w:bCs w:val="0"/>
          <w:color w:val="auto"/>
          <w:sz w:val="24"/>
          <w:szCs w:val="24"/>
          <w:lang w:val="en-US" w:eastAsia="zh-CN"/>
        </w:rPr>
        <w:t>a</w:t>
      </w:r>
      <w:r>
        <w:rPr>
          <w:rFonts w:hint="default" w:ascii="Times New Roman" w:hAnsi="Times New Roman" w:eastAsia="宋体" w:cs="Times New Roman"/>
          <w:b w:val="0"/>
          <w:bCs w:val="0"/>
          <w:color w:val="auto"/>
          <w:sz w:val="24"/>
          <w:szCs w:val="24"/>
        </w:rPr>
        <w:t>。施工期生活污水排入防渗旱厕。</w:t>
      </w:r>
    </w:p>
    <w:p>
      <w:pPr>
        <w:spacing w:beforeLines="50" w:line="360" w:lineRule="auto"/>
        <w:outlineLvl w:val="2"/>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5.1.3施工期噪声影响分析</w:t>
      </w:r>
    </w:p>
    <w:p>
      <w:pPr>
        <w:spacing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rPr>
        <w:t>在施工期，噪声源主要来自施工机械和运输车辆所产生的噪声。各施工阶段的主要施工机械和噪声源强详见下表。因各施工机械操作时有一定的间距，噪声源强不考虑叠加，为安全起见取单机上下限的平均值。预测公式选</w:t>
      </w:r>
      <w:r>
        <w:rPr>
          <w:rFonts w:hint="default" w:ascii="Times New Roman" w:hAnsi="Times New Roman" w:eastAsia="宋体" w:cs="Times New Roman"/>
          <w:color w:val="auto"/>
          <w:kern w:val="0"/>
          <w:sz w:val="24"/>
        </w:rPr>
        <w:t>点源距离衰减模式：</w:t>
      </w:r>
    </w:p>
    <w:p>
      <w:pPr>
        <w:spacing w:line="360" w:lineRule="auto"/>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L</w:t>
      </w:r>
      <w:r>
        <w:rPr>
          <w:rFonts w:hint="default" w:ascii="Times New Roman" w:hAnsi="Times New Roman" w:eastAsia="宋体" w:cs="Times New Roman"/>
          <w:color w:val="auto"/>
          <w:kern w:val="0"/>
          <w:sz w:val="24"/>
          <w:vertAlign w:val="subscript"/>
        </w:rPr>
        <w:t>A</w:t>
      </w:r>
      <w:r>
        <w:rPr>
          <w:rFonts w:hint="default" w:ascii="Times New Roman" w:hAnsi="Times New Roman" w:eastAsia="宋体" w:cs="Times New Roman"/>
          <w:color w:val="auto"/>
          <w:kern w:val="0"/>
          <w:sz w:val="24"/>
        </w:rPr>
        <w:t>=L</w:t>
      </w:r>
      <w:r>
        <w:rPr>
          <w:rFonts w:hint="default" w:ascii="Times New Roman" w:hAnsi="Times New Roman" w:eastAsia="宋体" w:cs="Times New Roman"/>
          <w:color w:val="auto"/>
          <w:kern w:val="0"/>
          <w:sz w:val="24"/>
          <w:vertAlign w:val="subscript"/>
        </w:rPr>
        <w:t>W</w:t>
      </w:r>
      <w:r>
        <w:rPr>
          <w:rFonts w:hint="default" w:ascii="Times New Roman" w:hAnsi="Times New Roman" w:eastAsia="宋体" w:cs="Times New Roman"/>
          <w:color w:val="auto"/>
          <w:kern w:val="0"/>
          <w:sz w:val="24"/>
        </w:rPr>
        <w:t>-20Lgr/r</w:t>
      </w:r>
      <w:r>
        <w:rPr>
          <w:rFonts w:hint="default" w:ascii="Times New Roman" w:hAnsi="Times New Roman" w:eastAsia="宋体" w:cs="Times New Roman"/>
          <w:color w:val="auto"/>
          <w:kern w:val="0"/>
          <w:sz w:val="24"/>
          <w:vertAlign w:val="subscript"/>
        </w:rPr>
        <w:t xml:space="preserve">0 </w:t>
      </w:r>
      <w:r>
        <w:rPr>
          <w:rFonts w:hint="default" w:ascii="Times New Roman" w:hAnsi="Times New Roman" w:eastAsia="宋体" w:cs="Times New Roman"/>
          <w:color w:val="auto"/>
          <w:kern w:val="0"/>
          <w:sz w:val="24"/>
        </w:rPr>
        <w:t>-α(r-r</w:t>
      </w:r>
      <w:r>
        <w:rPr>
          <w:rFonts w:hint="default" w:ascii="Times New Roman" w:hAnsi="Times New Roman" w:eastAsia="宋体" w:cs="Times New Roman"/>
          <w:color w:val="auto"/>
          <w:kern w:val="0"/>
          <w:sz w:val="24"/>
          <w:vertAlign w:val="subscript"/>
        </w:rPr>
        <w:t>0</w:t>
      </w:r>
      <w:r>
        <w:rPr>
          <w:rFonts w:hint="default" w:ascii="Times New Roman" w:hAnsi="Times New Roman" w:eastAsia="宋体" w:cs="Times New Roman"/>
          <w:color w:val="auto"/>
          <w:kern w:val="0"/>
          <w:sz w:val="24"/>
        </w:rPr>
        <w:t>)-R</w:t>
      </w:r>
    </w:p>
    <w:p>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式中：L</w:t>
      </w:r>
      <w:r>
        <w:rPr>
          <w:rFonts w:hint="default" w:ascii="Times New Roman" w:hAnsi="Times New Roman" w:eastAsia="宋体" w:cs="Times New Roman"/>
          <w:color w:val="auto"/>
          <w:kern w:val="0"/>
          <w:sz w:val="24"/>
          <w:vertAlign w:val="subscript"/>
        </w:rPr>
        <w:t>A</w:t>
      </w:r>
      <w:r>
        <w:rPr>
          <w:rFonts w:hint="default" w:ascii="Times New Roman" w:hAnsi="Times New Roman" w:eastAsia="宋体" w:cs="Times New Roman"/>
          <w:color w:val="auto"/>
          <w:kern w:val="0"/>
          <w:sz w:val="24"/>
        </w:rPr>
        <w:t>－受声点（即被影响点）所接受的声级，dB(A)；</w:t>
      </w:r>
    </w:p>
    <w:p>
      <w:pPr>
        <w:spacing w:line="360" w:lineRule="auto"/>
        <w:ind w:firstLine="1200" w:firstLineChars="5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L</w:t>
      </w:r>
      <w:r>
        <w:rPr>
          <w:rFonts w:hint="default" w:ascii="Times New Roman" w:hAnsi="Times New Roman" w:eastAsia="宋体" w:cs="Times New Roman"/>
          <w:color w:val="auto"/>
          <w:kern w:val="0"/>
          <w:sz w:val="24"/>
          <w:vertAlign w:val="subscript"/>
        </w:rPr>
        <w:t>W</w:t>
      </w:r>
      <w:r>
        <w:rPr>
          <w:rFonts w:hint="default" w:ascii="Times New Roman" w:hAnsi="Times New Roman" w:eastAsia="宋体" w:cs="Times New Roman"/>
          <w:color w:val="auto"/>
          <w:kern w:val="0"/>
          <w:sz w:val="24"/>
        </w:rPr>
        <w:t>－距声源1m处的声级，dB(A)；</w:t>
      </w:r>
    </w:p>
    <w:p>
      <w:pPr>
        <w:spacing w:line="360" w:lineRule="auto"/>
        <w:ind w:firstLine="1200" w:firstLineChars="5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r－声源至受声点的距离，m；</w:t>
      </w:r>
    </w:p>
    <w:p>
      <w:pPr>
        <w:spacing w:line="360" w:lineRule="auto"/>
        <w:ind w:firstLine="1200" w:firstLineChars="5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r</w:t>
      </w:r>
      <w:r>
        <w:rPr>
          <w:rFonts w:hint="default" w:ascii="Times New Roman" w:hAnsi="Times New Roman" w:eastAsia="宋体" w:cs="Times New Roman"/>
          <w:color w:val="auto"/>
          <w:kern w:val="0"/>
          <w:sz w:val="24"/>
          <w:vertAlign w:val="subscript"/>
        </w:rPr>
        <w:t>0</w:t>
      </w:r>
      <w:r>
        <w:rPr>
          <w:rFonts w:hint="default" w:ascii="Times New Roman" w:hAnsi="Times New Roman" w:eastAsia="宋体" w:cs="Times New Roman"/>
          <w:color w:val="auto"/>
          <w:kern w:val="0"/>
          <w:sz w:val="24"/>
        </w:rPr>
        <w:t>－参考位置的距离，取1m；</w:t>
      </w:r>
    </w:p>
    <w:p>
      <w:pPr>
        <w:spacing w:line="360" w:lineRule="auto"/>
        <w:ind w:firstLine="1200" w:firstLineChars="5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α—大气对声波的吸收系数，dB(A)/m，取平均值0.008dB(A)/m；</w:t>
      </w:r>
    </w:p>
    <w:p>
      <w:pPr>
        <w:spacing w:line="360" w:lineRule="auto"/>
        <w:ind w:firstLine="1200" w:firstLineChars="5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R—噪声源的防护结构及工地四周围挡的隔声量，取15dB(A)。</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kern w:val="0"/>
          <w:sz w:val="24"/>
        </w:rPr>
        <w:t>由上式计算出的施工机械噪声于不同距离处的噪声影响值见表5.1-</w:t>
      </w:r>
      <w:r>
        <w:rPr>
          <w:rFonts w:hint="default" w:ascii="Times New Roman" w:hAnsi="Times New Roman" w:eastAsia="宋体" w:cs="Times New Roman"/>
          <w:color w:val="auto"/>
          <w:kern w:val="0"/>
          <w:sz w:val="24"/>
          <w:lang w:val="en-US" w:eastAsia="zh-CN"/>
        </w:rPr>
        <w:t>5</w:t>
      </w:r>
      <w:r>
        <w:rPr>
          <w:rFonts w:hint="default" w:ascii="Times New Roman" w:hAnsi="Times New Roman" w:eastAsia="宋体" w:cs="Times New Roman"/>
          <w:color w:val="auto"/>
          <w:kern w:val="0"/>
          <w:sz w:val="24"/>
        </w:rPr>
        <w:t>。</w:t>
      </w:r>
    </w:p>
    <w:p>
      <w:pPr>
        <w:snapToGrid w:val="0"/>
        <w:spacing w:beforeLines="5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表5.1-</w:t>
      </w:r>
      <w:r>
        <w:rPr>
          <w:rFonts w:hint="default" w:ascii="Times New Roman" w:hAnsi="Times New Roman" w:eastAsia="宋体" w:cs="Times New Roman"/>
          <w:color w:val="auto"/>
          <w:sz w:val="24"/>
          <w:lang w:val="en-US" w:eastAsia="zh-CN"/>
        </w:rPr>
        <w:t xml:space="preserve">5                      </w:t>
      </w:r>
      <w:r>
        <w:rPr>
          <w:rFonts w:hint="default" w:ascii="Times New Roman" w:hAnsi="Times New Roman" w:eastAsia="宋体" w:cs="Times New Roman"/>
          <w:color w:val="auto"/>
          <w:sz w:val="24"/>
        </w:rPr>
        <w:t>主要施工设备噪声源强</w:t>
      </w:r>
    </w:p>
    <w:tbl>
      <w:tblPr>
        <w:tblStyle w:val="51"/>
        <w:tblW w:w="850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022"/>
        <w:gridCol w:w="1526"/>
        <w:gridCol w:w="1248"/>
        <w:gridCol w:w="1048"/>
        <w:gridCol w:w="1209"/>
        <w:gridCol w:w="1274"/>
        <w:gridCol w:w="96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54" w:type="dxa"/>
            <w:vMerge w:val="restart"/>
            <w:tcBorders>
              <w:top w:val="single" w:color="auto" w:sz="12" w:space="0"/>
              <w:left w:val="nil"/>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机械设备</w:t>
            </w:r>
          </w:p>
        </w:tc>
        <w:tc>
          <w:tcPr>
            <w:tcW w:w="1622" w:type="dxa"/>
            <w:vMerge w:val="restart"/>
            <w:tcBorders>
              <w:top w:val="single" w:color="auto" w:sz="12"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源强[dB(A)]</w:t>
            </w:r>
          </w:p>
        </w:tc>
        <w:tc>
          <w:tcPr>
            <w:tcW w:w="6079" w:type="dxa"/>
            <w:gridSpan w:val="5"/>
            <w:tcBorders>
              <w:top w:val="single" w:color="auto" w:sz="12" w:space="0"/>
              <w:left w:val="single" w:color="auto" w:sz="6" w:space="0"/>
              <w:bottom w:val="single" w:color="auto" w:sz="6" w:space="0"/>
              <w:right w:val="nil"/>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噪声预测值  [ 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54" w:type="dxa"/>
            <w:vMerge w:val="continue"/>
            <w:tcBorders>
              <w:top w:val="single" w:color="auto" w:sz="6" w:space="0"/>
              <w:left w:val="nil"/>
              <w:bottom w:val="single" w:color="auto" w:sz="6" w:space="0"/>
              <w:right w:val="single" w:color="auto" w:sz="6" w:space="0"/>
              <w:tl2br w:val="nil"/>
              <w:tr2bl w:val="nil"/>
            </w:tcBorders>
            <w:shd w:val="clear" w:color="auto" w:fill="FFFFFF"/>
            <w:noWrap/>
            <w:vAlign w:val="center"/>
          </w:tcPr>
          <w:p>
            <w:pPr>
              <w:widowControl/>
              <w:jc w:val="left"/>
              <w:rPr>
                <w:rFonts w:hint="default" w:ascii="Times New Roman" w:hAnsi="Times New Roman" w:eastAsia="宋体" w:cs="Times New Roman"/>
                <w:bCs/>
                <w:color w:val="auto"/>
                <w:kern w:val="0"/>
              </w:rPr>
            </w:pPr>
          </w:p>
        </w:tc>
        <w:tc>
          <w:tcPr>
            <w:tcW w:w="1622" w:type="dxa"/>
            <w:vMerge w:val="continue"/>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widowControl/>
              <w:jc w:val="left"/>
              <w:rPr>
                <w:rFonts w:hint="default" w:ascii="Times New Roman" w:hAnsi="Times New Roman" w:eastAsia="宋体" w:cs="Times New Roman"/>
                <w:bCs/>
                <w:color w:val="auto"/>
                <w:kern w:val="0"/>
              </w:rPr>
            </w:pPr>
          </w:p>
        </w:tc>
        <w:tc>
          <w:tcPr>
            <w:tcW w:w="1323"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5m</w:t>
            </w:r>
          </w:p>
        </w:tc>
        <w:tc>
          <w:tcPr>
            <w:tcW w:w="1109"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10m</w:t>
            </w:r>
          </w:p>
        </w:tc>
        <w:tc>
          <w:tcPr>
            <w:tcW w:w="1281"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15m</w:t>
            </w:r>
          </w:p>
        </w:tc>
        <w:tc>
          <w:tcPr>
            <w:tcW w:w="1351"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20m</w:t>
            </w:r>
          </w:p>
        </w:tc>
        <w:tc>
          <w:tcPr>
            <w:tcW w:w="1015" w:type="dxa"/>
            <w:tcBorders>
              <w:top w:val="single" w:color="auto" w:sz="6" w:space="0"/>
              <w:left w:val="single" w:color="auto" w:sz="6" w:space="0"/>
              <w:bottom w:val="single" w:color="auto" w:sz="6" w:space="0"/>
              <w:right w:val="nil"/>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100m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54" w:type="dxa"/>
            <w:tcBorders>
              <w:top w:val="single" w:color="auto" w:sz="6" w:space="0"/>
              <w:left w:val="nil"/>
              <w:bottom w:val="single" w:color="auto" w:sz="6" w:space="0"/>
              <w:right w:val="single" w:color="auto" w:sz="6" w:space="0"/>
              <w:tl2br w:val="nil"/>
              <w:tr2bl w:val="nil"/>
            </w:tcBorders>
            <w:shd w:val="clear" w:color="auto" w:fill="FFFFFF"/>
            <w:noWrap/>
            <w:vAlign w:val="center"/>
          </w:tcPr>
          <w:p>
            <w:pPr>
              <w:pStyle w:val="505"/>
              <w:rPr>
                <w:rFonts w:hint="default" w:ascii="Times New Roman" w:hAnsi="Times New Roman" w:eastAsia="宋体" w:cs="Times New Roman"/>
                <w:bCs/>
                <w:color w:val="auto"/>
                <w:szCs w:val="28"/>
              </w:rPr>
            </w:pPr>
            <w:r>
              <w:rPr>
                <w:rFonts w:hint="default" w:ascii="Times New Roman" w:hAnsi="Times New Roman" w:eastAsia="宋体" w:cs="Times New Roman"/>
                <w:bCs/>
                <w:color w:val="auto"/>
                <w:szCs w:val="28"/>
              </w:rPr>
              <w:t>挖土机</w:t>
            </w:r>
          </w:p>
        </w:tc>
        <w:tc>
          <w:tcPr>
            <w:tcW w:w="1622"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pStyle w:val="505"/>
              <w:rPr>
                <w:rFonts w:hint="default" w:ascii="Times New Roman" w:hAnsi="Times New Roman" w:eastAsia="宋体" w:cs="Times New Roman"/>
                <w:bCs/>
                <w:color w:val="auto"/>
                <w:kern w:val="24"/>
                <w:szCs w:val="28"/>
              </w:rPr>
            </w:pPr>
            <w:r>
              <w:rPr>
                <w:rFonts w:hint="default" w:ascii="Times New Roman" w:hAnsi="Times New Roman" w:eastAsia="宋体" w:cs="Times New Roman"/>
                <w:bCs/>
                <w:color w:val="auto"/>
                <w:szCs w:val="28"/>
              </w:rPr>
              <w:t>90</w:t>
            </w:r>
          </w:p>
        </w:tc>
        <w:tc>
          <w:tcPr>
            <w:tcW w:w="1323"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76.02</w:t>
            </w:r>
          </w:p>
        </w:tc>
        <w:tc>
          <w:tcPr>
            <w:tcW w:w="1109"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70</w:t>
            </w:r>
          </w:p>
        </w:tc>
        <w:tc>
          <w:tcPr>
            <w:tcW w:w="1281"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66.48</w:t>
            </w:r>
          </w:p>
        </w:tc>
        <w:tc>
          <w:tcPr>
            <w:tcW w:w="1351"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63.98</w:t>
            </w:r>
          </w:p>
        </w:tc>
        <w:tc>
          <w:tcPr>
            <w:tcW w:w="1015" w:type="dxa"/>
            <w:tcBorders>
              <w:top w:val="single" w:color="auto" w:sz="6" w:space="0"/>
              <w:left w:val="single" w:color="auto" w:sz="6" w:space="0"/>
              <w:bottom w:val="single" w:color="auto" w:sz="6" w:space="0"/>
              <w:right w:val="nil"/>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54" w:type="dxa"/>
            <w:tcBorders>
              <w:top w:val="single" w:color="auto" w:sz="6" w:space="0"/>
              <w:left w:val="nil"/>
              <w:bottom w:val="single" w:color="auto" w:sz="6" w:space="0"/>
              <w:right w:val="single" w:color="auto" w:sz="6" w:space="0"/>
              <w:tl2br w:val="nil"/>
              <w:tr2bl w:val="nil"/>
            </w:tcBorders>
            <w:shd w:val="clear" w:color="auto" w:fill="FFFFFF"/>
            <w:noWrap/>
            <w:vAlign w:val="center"/>
          </w:tcPr>
          <w:p>
            <w:pPr>
              <w:pStyle w:val="505"/>
              <w:rPr>
                <w:rFonts w:hint="default" w:ascii="Times New Roman" w:hAnsi="Times New Roman" w:eastAsia="宋体" w:cs="Times New Roman"/>
                <w:bCs/>
                <w:color w:val="auto"/>
                <w:szCs w:val="28"/>
              </w:rPr>
            </w:pPr>
            <w:r>
              <w:rPr>
                <w:rFonts w:hint="default" w:ascii="Times New Roman" w:hAnsi="Times New Roman" w:eastAsia="宋体" w:cs="Times New Roman"/>
                <w:bCs/>
                <w:color w:val="auto"/>
                <w:szCs w:val="28"/>
              </w:rPr>
              <w:t>自卸汽车</w:t>
            </w:r>
          </w:p>
        </w:tc>
        <w:tc>
          <w:tcPr>
            <w:tcW w:w="1622"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pStyle w:val="505"/>
              <w:rPr>
                <w:rFonts w:hint="default" w:ascii="Times New Roman" w:hAnsi="Times New Roman" w:eastAsia="宋体" w:cs="Times New Roman"/>
                <w:bCs/>
                <w:color w:val="auto"/>
                <w:szCs w:val="28"/>
              </w:rPr>
            </w:pPr>
            <w:r>
              <w:rPr>
                <w:rFonts w:hint="default" w:ascii="Times New Roman" w:hAnsi="Times New Roman" w:eastAsia="宋体" w:cs="Times New Roman"/>
                <w:bCs/>
                <w:color w:val="auto"/>
                <w:szCs w:val="28"/>
              </w:rPr>
              <w:t>85</w:t>
            </w:r>
          </w:p>
        </w:tc>
        <w:tc>
          <w:tcPr>
            <w:tcW w:w="1323"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71.02</w:t>
            </w:r>
          </w:p>
        </w:tc>
        <w:tc>
          <w:tcPr>
            <w:tcW w:w="1109"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65</w:t>
            </w:r>
          </w:p>
        </w:tc>
        <w:tc>
          <w:tcPr>
            <w:tcW w:w="1281"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61.48</w:t>
            </w:r>
          </w:p>
        </w:tc>
        <w:tc>
          <w:tcPr>
            <w:tcW w:w="1351"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58.98</w:t>
            </w:r>
          </w:p>
        </w:tc>
        <w:tc>
          <w:tcPr>
            <w:tcW w:w="1015" w:type="dxa"/>
            <w:tcBorders>
              <w:top w:val="single" w:color="auto" w:sz="6" w:space="0"/>
              <w:left w:val="single" w:color="auto" w:sz="6" w:space="0"/>
              <w:bottom w:val="single" w:color="auto" w:sz="6" w:space="0"/>
              <w:right w:val="nil"/>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54" w:type="dxa"/>
            <w:tcBorders>
              <w:top w:val="single" w:color="auto" w:sz="6" w:space="0"/>
              <w:left w:val="nil"/>
              <w:bottom w:val="single" w:color="auto" w:sz="6" w:space="0"/>
              <w:right w:val="single" w:color="auto" w:sz="6" w:space="0"/>
              <w:tl2br w:val="nil"/>
              <w:tr2bl w:val="nil"/>
            </w:tcBorders>
            <w:shd w:val="clear" w:color="auto" w:fill="FFFFFF"/>
            <w:noWrap/>
            <w:vAlign w:val="center"/>
          </w:tcPr>
          <w:p>
            <w:pPr>
              <w:pStyle w:val="505"/>
              <w:rPr>
                <w:rFonts w:hint="default" w:ascii="Times New Roman" w:hAnsi="Times New Roman" w:eastAsia="宋体" w:cs="Times New Roman"/>
                <w:bCs/>
                <w:color w:val="auto"/>
                <w:szCs w:val="28"/>
              </w:rPr>
            </w:pPr>
            <w:r>
              <w:rPr>
                <w:rFonts w:hint="default" w:ascii="Times New Roman" w:hAnsi="Times New Roman" w:eastAsia="宋体" w:cs="Times New Roman"/>
                <w:bCs/>
                <w:color w:val="auto"/>
                <w:szCs w:val="28"/>
              </w:rPr>
              <w:t>电锯</w:t>
            </w:r>
          </w:p>
        </w:tc>
        <w:tc>
          <w:tcPr>
            <w:tcW w:w="1622"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pStyle w:val="505"/>
              <w:rPr>
                <w:rFonts w:hint="default" w:ascii="Times New Roman" w:hAnsi="Times New Roman" w:eastAsia="宋体" w:cs="Times New Roman"/>
                <w:bCs/>
                <w:color w:val="auto"/>
                <w:szCs w:val="28"/>
              </w:rPr>
            </w:pPr>
            <w:r>
              <w:rPr>
                <w:rFonts w:hint="default" w:ascii="Times New Roman" w:hAnsi="Times New Roman" w:eastAsia="宋体" w:cs="Times New Roman"/>
                <w:bCs/>
                <w:color w:val="auto"/>
                <w:szCs w:val="28"/>
              </w:rPr>
              <w:t>100</w:t>
            </w:r>
          </w:p>
        </w:tc>
        <w:tc>
          <w:tcPr>
            <w:tcW w:w="1323"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86.02</w:t>
            </w:r>
          </w:p>
        </w:tc>
        <w:tc>
          <w:tcPr>
            <w:tcW w:w="1109"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80</w:t>
            </w:r>
          </w:p>
        </w:tc>
        <w:tc>
          <w:tcPr>
            <w:tcW w:w="1281"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76.48</w:t>
            </w:r>
          </w:p>
        </w:tc>
        <w:tc>
          <w:tcPr>
            <w:tcW w:w="1351"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73.98</w:t>
            </w:r>
          </w:p>
        </w:tc>
        <w:tc>
          <w:tcPr>
            <w:tcW w:w="1015" w:type="dxa"/>
            <w:tcBorders>
              <w:top w:val="single" w:color="auto" w:sz="6" w:space="0"/>
              <w:left w:val="single" w:color="auto" w:sz="6" w:space="0"/>
              <w:bottom w:val="single" w:color="auto" w:sz="6" w:space="0"/>
              <w:right w:val="nil"/>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54" w:type="dxa"/>
            <w:tcBorders>
              <w:top w:val="single" w:color="auto" w:sz="6" w:space="0"/>
              <w:left w:val="nil"/>
              <w:bottom w:val="single" w:color="auto" w:sz="6" w:space="0"/>
              <w:right w:val="single" w:color="auto" w:sz="6" w:space="0"/>
              <w:tl2br w:val="nil"/>
              <w:tr2bl w:val="nil"/>
            </w:tcBorders>
            <w:shd w:val="clear" w:color="auto" w:fill="FFFFFF"/>
            <w:noWrap/>
            <w:vAlign w:val="center"/>
          </w:tcPr>
          <w:p>
            <w:pPr>
              <w:pStyle w:val="505"/>
              <w:rPr>
                <w:rFonts w:hint="default" w:ascii="Times New Roman" w:hAnsi="Times New Roman" w:eastAsia="宋体" w:cs="Times New Roman"/>
                <w:bCs/>
                <w:color w:val="auto"/>
                <w:szCs w:val="28"/>
              </w:rPr>
            </w:pPr>
            <w:r>
              <w:rPr>
                <w:rFonts w:hint="default" w:ascii="Times New Roman" w:hAnsi="Times New Roman" w:eastAsia="宋体" w:cs="Times New Roman"/>
                <w:bCs/>
                <w:color w:val="auto"/>
                <w:szCs w:val="28"/>
              </w:rPr>
              <w:t>打桩机</w:t>
            </w:r>
          </w:p>
        </w:tc>
        <w:tc>
          <w:tcPr>
            <w:tcW w:w="1622"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pStyle w:val="505"/>
              <w:rPr>
                <w:rFonts w:hint="default" w:ascii="Times New Roman" w:hAnsi="Times New Roman" w:eastAsia="宋体" w:cs="Times New Roman"/>
                <w:bCs/>
                <w:color w:val="auto"/>
                <w:szCs w:val="28"/>
              </w:rPr>
            </w:pPr>
            <w:r>
              <w:rPr>
                <w:rFonts w:hint="default" w:ascii="Times New Roman" w:hAnsi="Times New Roman" w:eastAsia="宋体" w:cs="Times New Roman"/>
                <w:bCs/>
                <w:color w:val="auto"/>
                <w:szCs w:val="28"/>
              </w:rPr>
              <w:t>90</w:t>
            </w:r>
          </w:p>
        </w:tc>
        <w:tc>
          <w:tcPr>
            <w:tcW w:w="1323"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76.02</w:t>
            </w:r>
          </w:p>
        </w:tc>
        <w:tc>
          <w:tcPr>
            <w:tcW w:w="1109"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70</w:t>
            </w:r>
          </w:p>
        </w:tc>
        <w:tc>
          <w:tcPr>
            <w:tcW w:w="1281"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66.48</w:t>
            </w:r>
          </w:p>
        </w:tc>
        <w:tc>
          <w:tcPr>
            <w:tcW w:w="1351" w:type="dxa"/>
            <w:tcBorders>
              <w:top w:val="single" w:color="auto" w:sz="6" w:space="0"/>
              <w:left w:val="single" w:color="auto" w:sz="6" w:space="0"/>
              <w:bottom w:val="single" w:color="auto" w:sz="6"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63.98</w:t>
            </w:r>
          </w:p>
        </w:tc>
        <w:tc>
          <w:tcPr>
            <w:tcW w:w="1015" w:type="dxa"/>
            <w:tcBorders>
              <w:top w:val="single" w:color="auto" w:sz="6" w:space="0"/>
              <w:left w:val="single" w:color="auto" w:sz="6" w:space="0"/>
              <w:bottom w:val="single" w:color="auto" w:sz="6" w:space="0"/>
              <w:right w:val="nil"/>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154" w:type="dxa"/>
            <w:tcBorders>
              <w:top w:val="single" w:color="auto" w:sz="6" w:space="0"/>
              <w:left w:val="nil"/>
              <w:bottom w:val="single" w:color="auto" w:sz="12" w:space="0"/>
              <w:right w:val="single" w:color="auto" w:sz="6" w:space="0"/>
              <w:tl2br w:val="nil"/>
              <w:tr2bl w:val="nil"/>
            </w:tcBorders>
            <w:shd w:val="clear" w:color="auto" w:fill="FFFFFF"/>
            <w:noWrap/>
            <w:vAlign w:val="center"/>
          </w:tcPr>
          <w:p>
            <w:pPr>
              <w:pStyle w:val="505"/>
              <w:rPr>
                <w:rFonts w:hint="default" w:ascii="Times New Roman" w:hAnsi="Times New Roman" w:eastAsia="宋体" w:cs="Times New Roman"/>
                <w:bCs/>
                <w:color w:val="auto"/>
                <w:szCs w:val="28"/>
              </w:rPr>
            </w:pPr>
            <w:r>
              <w:rPr>
                <w:rFonts w:hint="default" w:ascii="Times New Roman" w:hAnsi="Times New Roman" w:eastAsia="宋体" w:cs="Times New Roman"/>
                <w:bCs/>
                <w:color w:val="auto"/>
                <w:szCs w:val="28"/>
              </w:rPr>
              <w:t>混凝土泵车</w:t>
            </w:r>
          </w:p>
        </w:tc>
        <w:tc>
          <w:tcPr>
            <w:tcW w:w="1622" w:type="dxa"/>
            <w:tcBorders>
              <w:top w:val="single" w:color="auto" w:sz="6" w:space="0"/>
              <w:left w:val="single" w:color="auto" w:sz="6" w:space="0"/>
              <w:bottom w:val="single" w:color="auto" w:sz="12" w:space="0"/>
              <w:right w:val="single" w:color="auto" w:sz="6" w:space="0"/>
              <w:tl2br w:val="nil"/>
              <w:tr2bl w:val="nil"/>
            </w:tcBorders>
            <w:shd w:val="clear" w:color="auto" w:fill="FFFFFF"/>
            <w:noWrap/>
            <w:vAlign w:val="center"/>
          </w:tcPr>
          <w:p>
            <w:pPr>
              <w:pStyle w:val="505"/>
              <w:rPr>
                <w:rFonts w:hint="default" w:ascii="Times New Roman" w:hAnsi="Times New Roman" w:eastAsia="宋体" w:cs="Times New Roman"/>
                <w:bCs/>
                <w:color w:val="auto"/>
                <w:szCs w:val="28"/>
              </w:rPr>
            </w:pPr>
            <w:r>
              <w:rPr>
                <w:rFonts w:hint="default" w:ascii="Times New Roman" w:hAnsi="Times New Roman" w:eastAsia="宋体" w:cs="Times New Roman"/>
                <w:bCs/>
                <w:color w:val="auto"/>
                <w:szCs w:val="28"/>
              </w:rPr>
              <w:t>80</w:t>
            </w:r>
          </w:p>
        </w:tc>
        <w:tc>
          <w:tcPr>
            <w:tcW w:w="1323" w:type="dxa"/>
            <w:tcBorders>
              <w:top w:val="single" w:color="auto" w:sz="6" w:space="0"/>
              <w:left w:val="single" w:color="auto" w:sz="6" w:space="0"/>
              <w:bottom w:val="single" w:color="auto" w:sz="12"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66.02</w:t>
            </w:r>
          </w:p>
        </w:tc>
        <w:tc>
          <w:tcPr>
            <w:tcW w:w="1109" w:type="dxa"/>
            <w:tcBorders>
              <w:top w:val="single" w:color="auto" w:sz="6" w:space="0"/>
              <w:left w:val="single" w:color="auto" w:sz="6" w:space="0"/>
              <w:bottom w:val="single" w:color="auto" w:sz="12"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60</w:t>
            </w:r>
          </w:p>
        </w:tc>
        <w:tc>
          <w:tcPr>
            <w:tcW w:w="1281" w:type="dxa"/>
            <w:tcBorders>
              <w:top w:val="single" w:color="auto" w:sz="6" w:space="0"/>
              <w:left w:val="single" w:color="auto" w:sz="6" w:space="0"/>
              <w:bottom w:val="single" w:color="auto" w:sz="12"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56.48</w:t>
            </w:r>
          </w:p>
        </w:tc>
        <w:tc>
          <w:tcPr>
            <w:tcW w:w="1351" w:type="dxa"/>
            <w:tcBorders>
              <w:top w:val="single" w:color="auto" w:sz="6" w:space="0"/>
              <w:left w:val="single" w:color="auto" w:sz="6" w:space="0"/>
              <w:bottom w:val="single" w:color="auto" w:sz="12" w:space="0"/>
              <w:right w:val="single" w:color="auto" w:sz="6" w:space="0"/>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53.98</w:t>
            </w:r>
          </w:p>
        </w:tc>
        <w:tc>
          <w:tcPr>
            <w:tcW w:w="1015" w:type="dxa"/>
            <w:tcBorders>
              <w:top w:val="single" w:color="auto" w:sz="6" w:space="0"/>
              <w:left w:val="single" w:color="auto" w:sz="6" w:space="0"/>
              <w:bottom w:val="single" w:color="auto" w:sz="12" w:space="0"/>
              <w:right w:val="nil"/>
              <w:tl2br w:val="nil"/>
              <w:tr2bl w:val="nil"/>
            </w:tcBorders>
            <w:shd w:val="clear" w:color="auto" w:fill="FFFFFF"/>
            <w:noWrap/>
            <w:vAlign w:val="center"/>
          </w:tcPr>
          <w:p>
            <w:pPr>
              <w:jc w:val="center"/>
              <w:textAlignment w:val="baseline"/>
              <w:rPr>
                <w:rFonts w:hint="default" w:ascii="Times New Roman" w:hAnsi="Times New Roman" w:eastAsia="宋体" w:cs="Times New Roman"/>
                <w:bCs/>
                <w:color w:val="auto"/>
                <w:kern w:val="0"/>
              </w:rPr>
            </w:pPr>
            <w:r>
              <w:rPr>
                <w:rFonts w:hint="default" w:ascii="Times New Roman" w:hAnsi="Times New Roman" w:eastAsia="宋体" w:cs="Times New Roman"/>
                <w:bCs/>
                <w:color w:val="auto"/>
                <w:kern w:val="0"/>
              </w:rPr>
              <w:t>40</w:t>
            </w:r>
          </w:p>
        </w:tc>
      </w:tr>
    </w:tbl>
    <w:p>
      <w:pPr>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由上表预测结果可知，由于施工机械噪声源强较高，如控制不当将对周边环境质量产生较大的影响。</w:t>
      </w:r>
    </w:p>
    <w:p>
      <w:pPr>
        <w:spacing w:line="360" w:lineRule="auto"/>
        <w:ind w:firstLine="482" w:firstLineChars="200"/>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防治措施：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为了减轻设本项目施工期噪声的环境影响，必须采取以下控制措施：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施工单位应严格执行《中华人民共和国噪声污染防治法》和《建筑施工场界环境噪声排放标准》（GB12523-2011），夜间禁止施工，采用低噪声施工机具和先进工艺进行施工，合理安排各类施工机械的工作时间，施工单位应征求、听取当地居民的意见，对施工中可能出现的扰民现象及时予以通报，并接受公众监督。</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（2）对本项目的施工进行合理布局，避免在同一地点安排大量动力机械设备施工，以减缓局部累积声级过高风险。</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（3）日常应注意对施工设备的维修、保养，使各种施工机械保持良好的运行状态。</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（4）应采用低噪声设备，对高噪声设备采取临时性的隔声措施。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（5）遵守作业规定，减少碰撞噪声，减少人为噪声。</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（6）加强车辆的管理，建材等运输尽量在白天进行，并控制车辆鸣笛。</w:t>
      </w:r>
    </w:p>
    <w:p>
      <w:pPr>
        <w:spacing w:beforeLines="50" w:line="360" w:lineRule="auto"/>
        <w:outlineLvl w:val="2"/>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5.1.4施工期固体废物影响分析</w:t>
      </w:r>
    </w:p>
    <w:p>
      <w:pPr>
        <w:pStyle w:val="33"/>
        <w:spacing w:beforeLines="50" w:after="0" w:line="360" w:lineRule="auto"/>
        <w:ind w:left="0" w:lef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sz w:val="24"/>
        </w:rPr>
        <w:t>施工期间需要挖土，本工程场地平整挖方可在场内就地平衡，用于工程填方回用和道路等建设，因此本项目无弃方产生。建筑垃圾主要包括砂石、石块等杂物，施工单位应实行标准施工、规划运输，将建筑垃圾集中收集后送至指定地点堆存，不得随意倾倒建筑垃圾。施工人员产生的生活垃圾也应统一收集，由环卫部门定期清运处理。本项目在建筑施工过程中产生的固体废物按有关规定妥善处置，建筑垃圾、生活垃圾有序收集，不随意堆置，施工期固废不会对周边环境产生不利影响。</w:t>
      </w:r>
    </w:p>
    <w:p>
      <w:pPr>
        <w:spacing w:line="360" w:lineRule="auto"/>
        <w:ind w:right="97" w:rightChars="46"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b w:val="0"/>
          <w:bCs w:val="0"/>
          <w:color w:val="auto"/>
          <w:sz w:val="24"/>
          <w:szCs w:val="24"/>
          <w:lang w:val="en-US" w:eastAsia="zh-CN"/>
        </w:rPr>
        <w:t>本项目工程量较小，计划施工人数为10人，工期为2月。施工期产生的生活垃圾按0.5kg/人•d计，生活垃圾产生量5kg/d，0.3t/a。经袋装收集后，由市政环卫部门清运至垃圾填埋场集中处理</w:t>
      </w:r>
      <w:r>
        <w:rPr>
          <w:rFonts w:hint="default" w:ascii="Times New Roman" w:hAnsi="Times New Roman" w:eastAsia="宋体" w:cs="Times New Roman"/>
          <w:color w:val="auto"/>
          <w:sz w:val="24"/>
        </w:rPr>
        <w:t>。</w:t>
      </w:r>
    </w:p>
    <w:p>
      <w:pPr>
        <w:spacing w:line="360" w:lineRule="auto"/>
        <w:ind w:right="97" w:rightChars="46"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采取上述处理措施后，施工中产生的固体废物不会对周围环境产生明显不利影响。</w:t>
      </w:r>
    </w:p>
    <w:p>
      <w:pPr>
        <w:spacing w:beforeLines="50" w:line="360" w:lineRule="auto"/>
        <w:outlineLvl w:val="2"/>
        <w:rPr>
          <w:rFonts w:hint="default" w:ascii="Times New Roman" w:hAnsi="Times New Roman" w:eastAsia="宋体" w:cs="Times New Roman"/>
          <w:b/>
          <w:color w:val="auto"/>
          <w:sz w:val="28"/>
          <w:szCs w:val="28"/>
          <w:lang w:val="en-US" w:eastAsia="zh-CN"/>
        </w:rPr>
      </w:pPr>
      <w:r>
        <w:rPr>
          <w:rFonts w:hint="default" w:ascii="Times New Roman" w:hAnsi="Times New Roman" w:eastAsia="宋体" w:cs="Times New Roman"/>
          <w:b/>
          <w:color w:val="auto"/>
          <w:sz w:val="28"/>
          <w:szCs w:val="28"/>
        </w:rPr>
        <w:t>5.1.</w:t>
      </w:r>
      <w:r>
        <w:rPr>
          <w:rFonts w:hint="default" w:ascii="Times New Roman" w:hAnsi="Times New Roman" w:eastAsia="宋体" w:cs="Times New Roman"/>
          <w:b/>
          <w:color w:val="auto"/>
          <w:sz w:val="28"/>
          <w:szCs w:val="28"/>
          <w:lang w:val="en-US" w:eastAsia="zh-CN"/>
        </w:rPr>
        <w:t>5施工期生态影响分析</w:t>
      </w:r>
    </w:p>
    <w:p>
      <w:pPr>
        <w:pStyle w:val="23"/>
        <w:spacing w:line="360" w:lineRule="auto"/>
        <w:ind w:left="0" w:leftChars="0" w:firstLine="480" w:firstLineChars="200"/>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本项目为扩建项目，新增用地均为北票市冶通矿业有限公司自有工业用地。现状大部分设施已建设完成，大部分路面已硬化，造成水土流失的可能性较小，工程的建设造成少量植被破坏，短期水土流失加剧，随着施工结束，场地进行硬化和绿化，可使水土流失得到有效控制，生态损失得以补偿。</w:t>
      </w:r>
    </w:p>
    <w:p>
      <w:pPr>
        <w:keepNext/>
        <w:keepLines/>
        <w:tabs>
          <w:tab w:val="left" w:pos="432"/>
        </w:tabs>
        <w:spacing w:beforeLines="50" w:line="360" w:lineRule="auto"/>
        <w:outlineLvl w:val="1"/>
        <w:rPr>
          <w:rFonts w:hint="default" w:ascii="Times New Roman" w:hAnsi="Times New Roman" w:eastAsia="宋体" w:cs="Times New Roman"/>
          <w:b/>
          <w:color w:val="auto"/>
          <w:sz w:val="28"/>
        </w:rPr>
      </w:pPr>
      <w:bookmarkStart w:id="230" w:name="_Toc9225"/>
      <w:r>
        <w:rPr>
          <w:rFonts w:hint="default" w:ascii="Times New Roman" w:hAnsi="Times New Roman" w:eastAsia="宋体" w:cs="Times New Roman"/>
          <w:b/>
          <w:color w:val="auto"/>
          <w:sz w:val="28"/>
        </w:rPr>
        <w:t>5.2运营期环境影响分析</w:t>
      </w:r>
      <w:bookmarkEnd w:id="229"/>
      <w:bookmarkEnd w:id="230"/>
    </w:p>
    <w:p>
      <w:pPr>
        <w:spacing w:beforeLines="50" w:line="360" w:lineRule="auto"/>
        <w:outlineLvl w:val="2"/>
        <w:rPr>
          <w:rFonts w:hint="default" w:ascii="Times New Roman" w:hAnsi="Times New Roman" w:eastAsia="宋体" w:cs="Times New Roman"/>
          <w:b/>
          <w:color w:val="auto"/>
          <w:sz w:val="28"/>
          <w:szCs w:val="28"/>
        </w:rPr>
      </w:pPr>
      <w:bookmarkStart w:id="231" w:name="_Toc476639460"/>
      <w:bookmarkStart w:id="232" w:name="_Toc478394807"/>
      <w:bookmarkStart w:id="233" w:name="_Toc478038849"/>
      <w:bookmarkStart w:id="234" w:name="_Toc476225039"/>
      <w:bookmarkStart w:id="235" w:name="_Toc476553975"/>
      <w:bookmarkStart w:id="236" w:name="_Toc99338524"/>
      <w:r>
        <w:rPr>
          <w:rFonts w:hint="default" w:ascii="Times New Roman" w:hAnsi="Times New Roman" w:eastAsia="宋体" w:cs="Times New Roman"/>
          <w:b/>
          <w:color w:val="auto"/>
          <w:sz w:val="28"/>
          <w:szCs w:val="28"/>
        </w:rPr>
        <w:t>5.2.1运营期环境空气影响分析及预测</w:t>
      </w:r>
      <w:bookmarkEnd w:id="231"/>
      <w:bookmarkEnd w:id="232"/>
      <w:bookmarkEnd w:id="233"/>
      <w:bookmarkEnd w:id="234"/>
      <w:bookmarkEnd w:id="235"/>
    </w:p>
    <w:p>
      <w:pPr>
        <w:pStyle w:val="74"/>
        <w:spacing w:beforeLines="50" w:afterLines="20" w:line="360" w:lineRule="auto"/>
        <w:ind w:firstLine="0" w:firstLineChars="0"/>
        <w:rPr>
          <w:rFonts w:hint="default" w:ascii="Times New Roman" w:hAnsi="Times New Roman" w:eastAsia="宋体" w:cs="Times New Roman"/>
          <w:b/>
          <w:color w:val="auto"/>
          <w:sz w:val="28"/>
          <w:szCs w:val="28"/>
        </w:rPr>
      </w:pPr>
      <w:bookmarkStart w:id="237" w:name="_Toc476225196"/>
      <w:bookmarkStart w:id="238" w:name="_Toc476225040"/>
      <w:r>
        <w:rPr>
          <w:rFonts w:hint="default" w:ascii="Times New Roman" w:hAnsi="Times New Roman" w:eastAsia="宋体" w:cs="Times New Roman"/>
          <w:b/>
          <w:color w:val="auto"/>
          <w:sz w:val="28"/>
          <w:szCs w:val="28"/>
        </w:rPr>
        <w:t>5.2.1.1项目所在地污染气象特征分析</w:t>
      </w:r>
      <w:bookmarkEnd w:id="237"/>
      <w:bookmarkEnd w:id="238"/>
    </w:p>
    <w:bookmarkEnd w:id="236"/>
    <w:p>
      <w:pPr>
        <w:snapToGrid w:val="0"/>
        <w:spacing w:beforeLines="50" w:line="360" w:lineRule="auto"/>
        <w:ind w:firstLine="480" w:firstLineChars="200"/>
        <w:rPr>
          <w:rFonts w:hint="default" w:ascii="Times New Roman" w:hAnsi="Times New Roman" w:eastAsia="宋体" w:cs="Times New Roman"/>
          <w:color w:val="auto"/>
          <w:sz w:val="24"/>
        </w:rPr>
      </w:pPr>
      <w:bookmarkStart w:id="239" w:name="_Toc188072331"/>
      <w:bookmarkStart w:id="240" w:name="_Toc114041818"/>
      <w:bookmarkStart w:id="241" w:name="_Toc355284901"/>
      <w:r>
        <w:rPr>
          <w:rFonts w:hint="default" w:ascii="Times New Roman" w:hAnsi="Times New Roman" w:eastAsia="宋体" w:cs="Times New Roman"/>
          <w:color w:val="auto"/>
          <w:sz w:val="24"/>
        </w:rPr>
        <w:t>根据</w:t>
      </w:r>
      <w:r>
        <w:rPr>
          <w:rFonts w:hint="default" w:ascii="Times New Roman" w:hAnsi="Times New Roman" w:eastAsia="宋体" w:cs="Times New Roman"/>
          <w:color w:val="auto"/>
          <w:sz w:val="24"/>
          <w:lang w:eastAsia="zh-CN"/>
        </w:rPr>
        <w:t>北票</w:t>
      </w:r>
      <w:r>
        <w:rPr>
          <w:rFonts w:hint="default" w:ascii="Times New Roman" w:hAnsi="Times New Roman" w:eastAsia="宋体" w:cs="Times New Roman"/>
          <w:color w:val="auto"/>
          <w:sz w:val="24"/>
        </w:rPr>
        <w:t>市观象台多年气象要素统计结果，北票市属中温带亚湿润区季风型大陆性气候，四季分明，雨热同季，昼夜温差大，积温高，光照充足，春季多风，全年主导风向为南风和北风。全年平均气温8.7℃。一月平均气温</w:t>
      </w:r>
      <w:r>
        <w:rPr>
          <w:rFonts w:hint="default"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rPr>
        <w:t>102℃，最低气温</w:t>
      </w:r>
      <w:r>
        <w:rPr>
          <w:rFonts w:hint="default"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rPr>
        <w:t>28.2℃</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七月平均气温24.7℃，最高气温42.3℃。年均无霜期150天左右。年平均日照2855小时。全年平均降水量474.7毫米，降雨多集中在7-8月。平均相对湿度53％。</w:t>
      </w:r>
    </w:p>
    <w:bookmarkEnd w:id="239"/>
    <w:bookmarkEnd w:id="240"/>
    <w:bookmarkEnd w:id="241"/>
    <w:p>
      <w:pPr>
        <w:pStyle w:val="74"/>
        <w:spacing w:beforeLines="50" w:afterLines="20" w:line="360" w:lineRule="auto"/>
        <w:ind w:firstLine="0" w:firstLineChars="0"/>
        <w:rPr>
          <w:rFonts w:hint="default" w:ascii="Times New Roman" w:hAnsi="Times New Roman" w:eastAsia="宋体" w:cs="Times New Roman"/>
          <w:b/>
          <w:color w:val="auto"/>
          <w:sz w:val="28"/>
          <w:szCs w:val="28"/>
        </w:rPr>
      </w:pPr>
      <w:bookmarkStart w:id="242" w:name="_Toc476225197"/>
      <w:bookmarkStart w:id="243" w:name="_Toc476225041"/>
      <w:r>
        <w:rPr>
          <w:rFonts w:hint="default" w:ascii="Times New Roman" w:hAnsi="Times New Roman" w:eastAsia="宋体" w:cs="Times New Roman"/>
          <w:b/>
          <w:color w:val="auto"/>
          <w:sz w:val="28"/>
          <w:szCs w:val="28"/>
        </w:rPr>
        <w:t>5.2.1.2环境空气影响评价</w:t>
      </w:r>
      <w:bookmarkEnd w:id="242"/>
      <w:bookmarkEnd w:id="243"/>
    </w:p>
    <w:p>
      <w:pPr>
        <w:snapToGrid w:val="0"/>
        <w:spacing w:beforeLines="50" w:line="360" w:lineRule="auto"/>
        <w:ind w:firstLine="480" w:firstLineChars="200"/>
        <w:rPr>
          <w:rFonts w:hint="default" w:ascii="Times New Roman" w:hAnsi="Times New Roman" w:eastAsia="宋体" w:cs="Times New Roman"/>
          <w:color w:val="auto"/>
          <w:sz w:val="24"/>
          <w:lang w:eastAsia="zh-CN"/>
        </w:rPr>
      </w:pPr>
      <w:bookmarkStart w:id="244" w:name="_Toc114041819"/>
      <w:bookmarkStart w:id="245" w:name="_Toc188072332"/>
      <w:r>
        <w:rPr>
          <w:rFonts w:hint="default" w:ascii="Times New Roman" w:hAnsi="Times New Roman" w:eastAsia="宋体" w:cs="Times New Roman"/>
          <w:color w:val="auto"/>
          <w:sz w:val="24"/>
        </w:rPr>
        <w:t>根据工程分析，本项目排放的废气包括</w:t>
      </w:r>
      <w:r>
        <w:rPr>
          <w:rFonts w:hint="default" w:ascii="Times New Roman" w:hAnsi="Times New Roman" w:eastAsia="宋体" w:cs="Times New Roman"/>
          <w:color w:val="auto"/>
          <w:sz w:val="24"/>
          <w:lang w:eastAsia="zh-CN"/>
        </w:rPr>
        <w:t>破碎车间、</w:t>
      </w:r>
      <w:r>
        <w:rPr>
          <w:rFonts w:hint="default" w:ascii="Times New Roman" w:hAnsi="Times New Roman" w:eastAsia="宋体" w:cs="Times New Roman"/>
          <w:sz w:val="24"/>
        </w:rPr>
        <w:t>原料卸料扬尘</w:t>
      </w:r>
      <w:r>
        <w:rPr>
          <w:rFonts w:hint="default" w:ascii="Times New Roman" w:hAnsi="Times New Roman" w:eastAsia="宋体" w:cs="Times New Roman"/>
          <w:sz w:val="24"/>
          <w:lang w:eastAsia="zh-CN"/>
        </w:rPr>
        <w:t>及堆存产生的粉尘</w:t>
      </w:r>
      <w:r>
        <w:rPr>
          <w:rFonts w:hint="default" w:ascii="Times New Roman" w:hAnsi="Times New Roman" w:eastAsia="宋体" w:cs="Times New Roman"/>
          <w:color w:val="auto"/>
          <w:sz w:val="24"/>
          <w:lang w:eastAsia="zh-CN"/>
        </w:rPr>
        <w:t>。</w:t>
      </w:r>
    </w:p>
    <w:p>
      <w:pPr>
        <w:snapToGrid w:val="0"/>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（1）预测因子</w:t>
      </w:r>
    </w:p>
    <w:p>
      <w:pPr>
        <w:snapToGrid w:val="0"/>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根据工程分析，确定大气环境空气影响预测因子为</w:t>
      </w:r>
      <w:r>
        <w:rPr>
          <w:rFonts w:hint="default" w:ascii="Times New Roman" w:hAnsi="Times New Roman" w:eastAsia="宋体" w:cs="Times New Roman"/>
          <w:color w:val="auto"/>
          <w:sz w:val="24"/>
          <w:lang w:eastAsia="zh-CN"/>
        </w:rPr>
        <w:t>颗粒物</w:t>
      </w:r>
      <w:r>
        <w:rPr>
          <w:rFonts w:hint="default" w:ascii="Times New Roman" w:hAnsi="Times New Roman" w:eastAsia="宋体" w:cs="Times New Roman"/>
          <w:color w:val="auto"/>
          <w:sz w:val="24"/>
        </w:rPr>
        <w:t>。</w:t>
      </w:r>
    </w:p>
    <w:p>
      <w:pPr>
        <w:snapToGrid w:val="0"/>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（2）预测模型</w:t>
      </w:r>
    </w:p>
    <w:p>
      <w:pPr>
        <w:snapToGrid w:val="0"/>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前述判断，本项目环境影响评价等级为二级，结合建设项目的大气污染源、污染物特征及区域气象和地形条件，本次评价采用导则推荐的AerSCREEN预测模式系统对拟建项目的环境空气影响进行预测，并对污染物排放量进行核算。</w:t>
      </w:r>
    </w:p>
    <w:p>
      <w:pPr>
        <w:snapToGrid w:val="0"/>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（3）预测参数</w:t>
      </w:r>
    </w:p>
    <w:p>
      <w:pPr>
        <w:snapToGrid w:val="0"/>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项目废气排放参数相关信息见表5.2-</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、表5.2-</w:t>
      </w: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、表5.2-</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、表5.2-</w:t>
      </w:r>
      <w:r>
        <w:rPr>
          <w:rFonts w:hint="default"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rPr>
        <w:t>。</w:t>
      </w:r>
    </w:p>
    <w:p>
      <w:pPr>
        <w:snapToGrid w:val="0"/>
        <w:spacing w:beforeLines="5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表5.2-</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 xml:space="preserve">                          环境质量标准</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9"/>
        <w:gridCol w:w="1296"/>
        <w:gridCol w:w="1500"/>
        <w:gridCol w:w="1760"/>
        <w:gridCol w:w="344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9"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污染物名称</w:t>
            </w:r>
          </w:p>
        </w:tc>
        <w:tc>
          <w:tcPr>
            <w:tcW w:w="1296"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功能区</w:t>
            </w:r>
          </w:p>
        </w:tc>
        <w:tc>
          <w:tcPr>
            <w:tcW w:w="1500"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取值时间</w:t>
            </w:r>
          </w:p>
        </w:tc>
        <w:tc>
          <w:tcPr>
            <w:tcW w:w="1760"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标准值(μg/m³)</w:t>
            </w:r>
          </w:p>
        </w:tc>
        <w:tc>
          <w:tcPr>
            <w:tcW w:w="3443"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9"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PM</w:t>
            </w:r>
            <w:r>
              <w:rPr>
                <w:rFonts w:hint="default" w:ascii="Times New Roman" w:hAnsi="Times New Roman" w:eastAsia="宋体" w:cs="Times New Roman"/>
                <w:b w:val="0"/>
                <w:color w:val="auto"/>
                <w:sz w:val="21"/>
                <w:szCs w:val="21"/>
                <w:vertAlign w:val="subscript"/>
              </w:rPr>
              <w:t>10</w:t>
            </w:r>
          </w:p>
        </w:tc>
        <w:tc>
          <w:tcPr>
            <w:tcW w:w="1296"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二类限区</w:t>
            </w:r>
          </w:p>
        </w:tc>
        <w:tc>
          <w:tcPr>
            <w:tcW w:w="1500"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日均</w:t>
            </w:r>
          </w:p>
        </w:tc>
        <w:tc>
          <w:tcPr>
            <w:tcW w:w="1760"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150.0</w:t>
            </w:r>
          </w:p>
        </w:tc>
        <w:tc>
          <w:tcPr>
            <w:tcW w:w="3443" w:type="dxa"/>
            <w:vMerge w:val="restar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环境空气质量标准(GB 3095-2012)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89" w:type="dxa"/>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color w:val="auto"/>
                <w:sz w:val="21"/>
                <w:szCs w:val="21"/>
                <w:lang w:val="en-US" w:eastAsia="zh-CN"/>
              </w:rPr>
              <w:t>TSP</w:t>
            </w:r>
          </w:p>
        </w:tc>
        <w:tc>
          <w:tcPr>
            <w:tcW w:w="1296"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二类限区</w:t>
            </w:r>
          </w:p>
        </w:tc>
        <w:tc>
          <w:tcPr>
            <w:tcW w:w="1500"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日均</w:t>
            </w:r>
          </w:p>
        </w:tc>
        <w:tc>
          <w:tcPr>
            <w:tcW w:w="1760"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300.0</w:t>
            </w:r>
          </w:p>
        </w:tc>
        <w:tc>
          <w:tcPr>
            <w:tcW w:w="3443" w:type="dxa"/>
            <w:vMerge w:val="continue"/>
            <w:vAlign w:val="center"/>
          </w:tcPr>
          <w:p>
            <w:pPr>
              <w:jc w:val="center"/>
              <w:rPr>
                <w:rFonts w:hint="default" w:ascii="Times New Roman" w:hAnsi="Times New Roman" w:eastAsia="宋体" w:cs="Times New Roman"/>
                <w:color w:val="auto"/>
                <w:sz w:val="21"/>
                <w:szCs w:val="21"/>
              </w:rPr>
            </w:pPr>
          </w:p>
        </w:tc>
      </w:tr>
    </w:tbl>
    <w:p>
      <w:pPr>
        <w:rPr>
          <w:rFonts w:hint="default" w:ascii="Times New Roman" w:hAnsi="Times New Roman" w:eastAsia="宋体" w:cs="Times New Roman"/>
          <w:color w:val="auto"/>
        </w:rPr>
        <w:sectPr>
          <w:footerReference r:id="rId14" w:type="even"/>
          <w:pgSz w:w="11906" w:h="16838"/>
          <w:pgMar w:top="1417" w:right="1417" w:bottom="1417" w:left="1417" w:header="850" w:footer="964" w:gutter="0"/>
          <w:pgBorders>
            <w:top w:val="none" w:sz="0" w:space="0"/>
            <w:left w:val="none" w:sz="0" w:space="0"/>
            <w:bottom w:val="none" w:sz="0" w:space="0"/>
            <w:right w:val="none" w:sz="0" w:space="0"/>
          </w:pgBorders>
          <w:pgNumType w:fmt="decimal"/>
          <w:cols w:space="720" w:num="1"/>
          <w:docGrid w:linePitch="326" w:charSpace="-2048"/>
        </w:sectPr>
      </w:pPr>
    </w:p>
    <w:p>
      <w:pPr>
        <w:snapToGrid w:val="0"/>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表5.2-</w:t>
      </w: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 xml:space="preserve">  大气污染物预测模型参数（有组织）</w:t>
      </w:r>
    </w:p>
    <w:tbl>
      <w:tblPr>
        <w:tblStyle w:val="51"/>
        <w:tblW w:w="15614"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0"/>
        <w:gridCol w:w="1404"/>
        <w:gridCol w:w="1425"/>
        <w:gridCol w:w="1350"/>
        <w:gridCol w:w="1313"/>
        <w:gridCol w:w="1106"/>
        <w:gridCol w:w="1219"/>
        <w:gridCol w:w="1256"/>
        <w:gridCol w:w="1125"/>
        <w:gridCol w:w="1331"/>
        <w:gridCol w:w="1200"/>
        <w:gridCol w:w="23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0"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编号</w:t>
            </w:r>
          </w:p>
        </w:tc>
        <w:tc>
          <w:tcPr>
            <w:tcW w:w="1404"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2775" w:type="dxa"/>
            <w:gridSpan w:val="2"/>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排气筒底部中心坐标/m</w:t>
            </w:r>
          </w:p>
        </w:tc>
        <w:tc>
          <w:tcPr>
            <w:tcW w:w="1313"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排气筒底部海拔高度/m</w:t>
            </w:r>
          </w:p>
        </w:tc>
        <w:tc>
          <w:tcPr>
            <w:tcW w:w="1106"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排气筒高度/m</w:t>
            </w:r>
          </w:p>
        </w:tc>
        <w:tc>
          <w:tcPr>
            <w:tcW w:w="1219"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排气筒出口内径/m</w:t>
            </w:r>
          </w:p>
        </w:tc>
        <w:tc>
          <w:tcPr>
            <w:tcW w:w="1256"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烟气流速/(m/s)</w:t>
            </w:r>
          </w:p>
        </w:tc>
        <w:tc>
          <w:tcPr>
            <w:tcW w:w="1125"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烟气温度/℃</w:t>
            </w:r>
          </w:p>
        </w:tc>
        <w:tc>
          <w:tcPr>
            <w:tcW w:w="1331"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年排放小时数/h</w:t>
            </w:r>
          </w:p>
        </w:tc>
        <w:tc>
          <w:tcPr>
            <w:tcW w:w="1200"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排放工况</w:t>
            </w:r>
          </w:p>
        </w:tc>
        <w:tc>
          <w:tcPr>
            <w:tcW w:w="2395"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污染物排放速率/(kg/h)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0" w:type="dxa"/>
            <w:vMerge w:val="continue"/>
            <w:tcBorders>
              <w:tl2br w:val="nil"/>
              <w:tr2bl w:val="nil"/>
            </w:tcBorders>
            <w:vAlign w:val="center"/>
          </w:tcPr>
          <w:p>
            <w:pPr>
              <w:widowControl/>
              <w:jc w:val="left"/>
              <w:rPr>
                <w:rFonts w:hint="default" w:ascii="Times New Roman" w:hAnsi="Times New Roman" w:eastAsia="宋体" w:cs="Times New Roman"/>
                <w:color w:val="auto"/>
                <w:sz w:val="21"/>
                <w:szCs w:val="21"/>
              </w:rPr>
            </w:pPr>
          </w:p>
        </w:tc>
        <w:tc>
          <w:tcPr>
            <w:tcW w:w="1404" w:type="dxa"/>
            <w:vMerge w:val="continue"/>
            <w:tcBorders>
              <w:tl2br w:val="nil"/>
              <w:tr2bl w:val="nil"/>
            </w:tcBorders>
            <w:vAlign w:val="center"/>
          </w:tcPr>
          <w:p>
            <w:pPr>
              <w:widowControl/>
              <w:jc w:val="left"/>
              <w:rPr>
                <w:rFonts w:hint="default" w:ascii="Times New Roman" w:hAnsi="Times New Roman" w:eastAsia="宋体" w:cs="Times New Roman"/>
                <w:color w:val="auto"/>
                <w:sz w:val="21"/>
                <w:szCs w:val="21"/>
              </w:rPr>
            </w:pPr>
          </w:p>
        </w:tc>
        <w:tc>
          <w:tcPr>
            <w:tcW w:w="1425" w:type="dxa"/>
            <w:tcBorders>
              <w:tl2br w:val="nil"/>
              <w:tr2bl w:val="nil"/>
            </w:tcBorders>
            <w:vAlign w:val="center"/>
          </w:tcPr>
          <w:p>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w:t>
            </w:r>
          </w:p>
        </w:tc>
        <w:tc>
          <w:tcPr>
            <w:tcW w:w="1350" w:type="dxa"/>
            <w:tcBorders>
              <w:tl2br w:val="nil"/>
              <w:tr2bl w:val="nil"/>
            </w:tcBorders>
            <w:vAlign w:val="center"/>
          </w:tcPr>
          <w:p>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w:t>
            </w:r>
          </w:p>
        </w:tc>
        <w:tc>
          <w:tcPr>
            <w:tcW w:w="1313" w:type="dxa"/>
            <w:vMerge w:val="continue"/>
            <w:tcBorders>
              <w:tl2br w:val="nil"/>
              <w:tr2bl w:val="nil"/>
            </w:tcBorders>
            <w:vAlign w:val="center"/>
          </w:tcPr>
          <w:p>
            <w:pPr>
              <w:widowControl/>
              <w:jc w:val="left"/>
              <w:rPr>
                <w:rFonts w:hint="default" w:ascii="Times New Roman" w:hAnsi="Times New Roman" w:eastAsia="宋体" w:cs="Times New Roman"/>
                <w:color w:val="auto"/>
                <w:sz w:val="21"/>
                <w:szCs w:val="21"/>
              </w:rPr>
            </w:pPr>
          </w:p>
        </w:tc>
        <w:tc>
          <w:tcPr>
            <w:tcW w:w="1106" w:type="dxa"/>
            <w:vMerge w:val="continue"/>
            <w:tcBorders>
              <w:tl2br w:val="nil"/>
              <w:tr2bl w:val="nil"/>
            </w:tcBorders>
            <w:vAlign w:val="center"/>
          </w:tcPr>
          <w:p>
            <w:pPr>
              <w:widowControl/>
              <w:jc w:val="left"/>
              <w:rPr>
                <w:rFonts w:hint="default" w:ascii="Times New Roman" w:hAnsi="Times New Roman" w:eastAsia="宋体" w:cs="Times New Roman"/>
                <w:color w:val="auto"/>
                <w:sz w:val="21"/>
                <w:szCs w:val="21"/>
              </w:rPr>
            </w:pPr>
          </w:p>
        </w:tc>
        <w:tc>
          <w:tcPr>
            <w:tcW w:w="1219" w:type="dxa"/>
            <w:vMerge w:val="continue"/>
            <w:tcBorders>
              <w:tl2br w:val="nil"/>
              <w:tr2bl w:val="nil"/>
            </w:tcBorders>
            <w:vAlign w:val="center"/>
          </w:tcPr>
          <w:p>
            <w:pPr>
              <w:widowControl/>
              <w:jc w:val="left"/>
              <w:rPr>
                <w:rFonts w:hint="default" w:ascii="Times New Roman" w:hAnsi="Times New Roman" w:eastAsia="宋体" w:cs="Times New Roman"/>
                <w:color w:val="auto"/>
                <w:sz w:val="21"/>
                <w:szCs w:val="21"/>
              </w:rPr>
            </w:pPr>
          </w:p>
        </w:tc>
        <w:tc>
          <w:tcPr>
            <w:tcW w:w="1256" w:type="dxa"/>
            <w:vMerge w:val="continue"/>
            <w:tcBorders>
              <w:tl2br w:val="nil"/>
              <w:tr2bl w:val="nil"/>
            </w:tcBorders>
            <w:vAlign w:val="center"/>
          </w:tcPr>
          <w:p>
            <w:pPr>
              <w:widowControl/>
              <w:jc w:val="left"/>
              <w:rPr>
                <w:rFonts w:hint="default" w:ascii="Times New Roman" w:hAnsi="Times New Roman" w:eastAsia="宋体" w:cs="Times New Roman"/>
                <w:color w:val="auto"/>
                <w:sz w:val="21"/>
                <w:szCs w:val="21"/>
              </w:rPr>
            </w:pPr>
          </w:p>
        </w:tc>
        <w:tc>
          <w:tcPr>
            <w:tcW w:w="1125" w:type="dxa"/>
            <w:vMerge w:val="continue"/>
            <w:tcBorders>
              <w:tl2br w:val="nil"/>
              <w:tr2bl w:val="nil"/>
            </w:tcBorders>
            <w:vAlign w:val="center"/>
          </w:tcPr>
          <w:p>
            <w:pPr>
              <w:widowControl/>
              <w:jc w:val="left"/>
              <w:rPr>
                <w:rFonts w:hint="default" w:ascii="Times New Roman" w:hAnsi="Times New Roman" w:eastAsia="宋体" w:cs="Times New Roman"/>
                <w:color w:val="auto"/>
                <w:sz w:val="21"/>
                <w:szCs w:val="21"/>
              </w:rPr>
            </w:pPr>
          </w:p>
        </w:tc>
        <w:tc>
          <w:tcPr>
            <w:tcW w:w="1331" w:type="dxa"/>
            <w:vMerge w:val="continue"/>
            <w:tcBorders>
              <w:tl2br w:val="nil"/>
              <w:tr2bl w:val="nil"/>
            </w:tcBorders>
            <w:vAlign w:val="center"/>
          </w:tcPr>
          <w:p>
            <w:pPr>
              <w:widowControl/>
              <w:jc w:val="left"/>
              <w:rPr>
                <w:rFonts w:hint="default" w:ascii="Times New Roman" w:hAnsi="Times New Roman" w:eastAsia="宋体" w:cs="Times New Roman"/>
                <w:color w:val="auto"/>
                <w:sz w:val="21"/>
                <w:szCs w:val="21"/>
              </w:rPr>
            </w:pPr>
          </w:p>
        </w:tc>
        <w:tc>
          <w:tcPr>
            <w:tcW w:w="1200" w:type="dxa"/>
            <w:vMerge w:val="continue"/>
            <w:tcBorders>
              <w:tl2br w:val="nil"/>
              <w:tr2bl w:val="nil"/>
            </w:tcBorders>
            <w:vAlign w:val="center"/>
          </w:tcPr>
          <w:p>
            <w:pPr>
              <w:widowControl/>
              <w:jc w:val="left"/>
              <w:rPr>
                <w:rFonts w:hint="default" w:ascii="Times New Roman" w:hAnsi="Times New Roman" w:eastAsia="宋体" w:cs="Times New Roman"/>
                <w:color w:val="auto"/>
                <w:sz w:val="21"/>
                <w:szCs w:val="21"/>
              </w:rPr>
            </w:pPr>
          </w:p>
        </w:tc>
        <w:tc>
          <w:tcPr>
            <w:tcW w:w="2395"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颗粒物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0" w:type="dxa"/>
            <w:tcBorders>
              <w:tl2br w:val="nil"/>
              <w:tr2bl w:val="nil"/>
            </w:tcBorders>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P1</w:t>
            </w:r>
          </w:p>
        </w:tc>
        <w:tc>
          <w:tcPr>
            <w:tcW w:w="1404" w:type="dxa"/>
            <w:tcBorders>
              <w:tl2br w:val="nil"/>
              <w:tr2bl w:val="nil"/>
            </w:tcBorders>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破碎车间</w:t>
            </w:r>
          </w:p>
        </w:tc>
        <w:tc>
          <w:tcPr>
            <w:tcW w:w="1425" w:type="dxa"/>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120.60</w:t>
            </w:r>
            <w:r>
              <w:rPr>
                <w:rFonts w:hint="default" w:ascii="Times New Roman" w:hAnsi="Times New Roman" w:eastAsia="宋体" w:cs="Times New Roman"/>
                <w:b w:val="0"/>
                <w:color w:val="auto"/>
                <w:sz w:val="21"/>
                <w:szCs w:val="21"/>
                <w:lang w:val="en-US" w:eastAsia="zh-CN"/>
              </w:rPr>
              <w:t>1698</w:t>
            </w:r>
          </w:p>
        </w:tc>
        <w:tc>
          <w:tcPr>
            <w:tcW w:w="1350" w:type="dxa"/>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41.911</w:t>
            </w:r>
            <w:r>
              <w:rPr>
                <w:rFonts w:hint="default" w:ascii="Times New Roman" w:hAnsi="Times New Roman" w:eastAsia="宋体" w:cs="Times New Roman"/>
                <w:b w:val="0"/>
                <w:color w:val="auto"/>
                <w:sz w:val="21"/>
                <w:szCs w:val="21"/>
                <w:lang w:val="en-US" w:eastAsia="zh-CN"/>
              </w:rPr>
              <w:t>522</w:t>
            </w:r>
          </w:p>
        </w:tc>
        <w:tc>
          <w:tcPr>
            <w:tcW w:w="1313" w:type="dxa"/>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300</w:t>
            </w:r>
          </w:p>
        </w:tc>
        <w:tc>
          <w:tcPr>
            <w:tcW w:w="1106" w:type="dxa"/>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15</w:t>
            </w:r>
          </w:p>
        </w:tc>
        <w:tc>
          <w:tcPr>
            <w:tcW w:w="1219" w:type="dxa"/>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5</w:t>
            </w:r>
          </w:p>
        </w:tc>
        <w:tc>
          <w:tcPr>
            <w:tcW w:w="1256" w:type="dxa"/>
            <w:tcBorders>
              <w:tl2br w:val="nil"/>
              <w:tr2bl w:val="nil"/>
            </w:tcBorders>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10.5</w:t>
            </w:r>
          </w:p>
        </w:tc>
        <w:tc>
          <w:tcPr>
            <w:tcW w:w="1125" w:type="dxa"/>
            <w:tcBorders>
              <w:tl2br w:val="nil"/>
              <w:tr2bl w:val="nil"/>
            </w:tcBorders>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1331" w:type="dxa"/>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7200</w:t>
            </w:r>
          </w:p>
        </w:tc>
        <w:tc>
          <w:tcPr>
            <w:tcW w:w="1200" w:type="dxa"/>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连续</w:t>
            </w:r>
          </w:p>
        </w:tc>
        <w:tc>
          <w:tcPr>
            <w:tcW w:w="2395"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0.331</w:t>
            </w:r>
          </w:p>
        </w:tc>
      </w:tr>
    </w:tbl>
    <w:p>
      <w:pPr>
        <w:snapToGrid w:val="0"/>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表5.2-</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 xml:space="preserve">                                    大气污染物预测模型参数（无组织）</w:t>
      </w:r>
    </w:p>
    <w:tbl>
      <w:tblPr>
        <w:tblStyle w:val="51"/>
        <w:tblW w:w="15608"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8"/>
        <w:gridCol w:w="1540"/>
        <w:gridCol w:w="1349"/>
        <w:gridCol w:w="1377"/>
        <w:gridCol w:w="1536"/>
        <w:gridCol w:w="2380"/>
        <w:gridCol w:w="1799"/>
        <w:gridCol w:w="1834"/>
        <w:gridCol w:w="302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8"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编号</w:t>
            </w:r>
          </w:p>
        </w:tc>
        <w:tc>
          <w:tcPr>
            <w:tcW w:w="1540"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名称</w:t>
            </w:r>
          </w:p>
        </w:tc>
        <w:tc>
          <w:tcPr>
            <w:tcW w:w="1349"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面源长度/m</w:t>
            </w:r>
          </w:p>
        </w:tc>
        <w:tc>
          <w:tcPr>
            <w:tcW w:w="1377"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面源宽度/m</w:t>
            </w:r>
          </w:p>
        </w:tc>
        <w:tc>
          <w:tcPr>
            <w:tcW w:w="1536"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与正北夹角/°</w:t>
            </w:r>
          </w:p>
        </w:tc>
        <w:tc>
          <w:tcPr>
            <w:tcW w:w="2380"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面源有效排放高度/m</w:t>
            </w:r>
          </w:p>
        </w:tc>
        <w:tc>
          <w:tcPr>
            <w:tcW w:w="1799"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年排放小时数/h</w:t>
            </w:r>
          </w:p>
        </w:tc>
        <w:tc>
          <w:tcPr>
            <w:tcW w:w="1834"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排放工况</w:t>
            </w:r>
          </w:p>
        </w:tc>
        <w:tc>
          <w:tcPr>
            <w:tcW w:w="3025"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排放速率/kg/h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8" w:type="dxa"/>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1540" w:type="dxa"/>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1349" w:type="dxa"/>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1377" w:type="dxa"/>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1536" w:type="dxa"/>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2380" w:type="dxa"/>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1799" w:type="dxa"/>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1834" w:type="dxa"/>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3025"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颗粒物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8" w:type="dxa"/>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M1</w:t>
            </w:r>
          </w:p>
        </w:tc>
        <w:tc>
          <w:tcPr>
            <w:tcW w:w="1540" w:type="dxa"/>
            <w:tcBorders>
              <w:tl2br w:val="nil"/>
              <w:tr2bl w:val="nil"/>
            </w:tcBorders>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破碎车间</w:t>
            </w:r>
          </w:p>
        </w:tc>
        <w:tc>
          <w:tcPr>
            <w:tcW w:w="1349" w:type="dxa"/>
            <w:tcBorders>
              <w:tl2br w:val="nil"/>
              <w:tr2bl w:val="nil"/>
            </w:tcBorders>
            <w:vAlign w:val="center"/>
          </w:tcPr>
          <w:p>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83</w:t>
            </w:r>
          </w:p>
        </w:tc>
        <w:tc>
          <w:tcPr>
            <w:tcW w:w="1377" w:type="dxa"/>
            <w:tcBorders>
              <w:tl2br w:val="nil"/>
              <w:tr2bl w:val="nil"/>
            </w:tcBorders>
            <w:vAlign w:val="center"/>
          </w:tcPr>
          <w:p>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70</w:t>
            </w:r>
          </w:p>
        </w:tc>
        <w:tc>
          <w:tcPr>
            <w:tcW w:w="1536" w:type="dxa"/>
            <w:tcBorders>
              <w:tl2br w:val="nil"/>
              <w:tr2bl w:val="nil"/>
            </w:tcBorders>
            <w:vAlign w:val="center"/>
          </w:tcPr>
          <w:p>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15</w:t>
            </w:r>
          </w:p>
        </w:tc>
        <w:tc>
          <w:tcPr>
            <w:tcW w:w="2380" w:type="dxa"/>
            <w:tcBorders>
              <w:tl2br w:val="nil"/>
              <w:tr2bl w:val="nil"/>
            </w:tcBorders>
            <w:vAlign w:val="center"/>
          </w:tcPr>
          <w:p>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15</w:t>
            </w:r>
          </w:p>
        </w:tc>
        <w:tc>
          <w:tcPr>
            <w:tcW w:w="1799" w:type="dxa"/>
            <w:tcBorders>
              <w:tl2br w:val="nil"/>
              <w:tr2bl w:val="nil"/>
            </w:tcBorders>
            <w:vAlign w:val="center"/>
          </w:tcPr>
          <w:p>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7200</w:t>
            </w:r>
          </w:p>
        </w:tc>
        <w:tc>
          <w:tcPr>
            <w:tcW w:w="1834" w:type="dxa"/>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连续</w:t>
            </w:r>
          </w:p>
        </w:tc>
        <w:tc>
          <w:tcPr>
            <w:tcW w:w="3025" w:type="dxa"/>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lang w:val="en-US" w:eastAsia="zh-CN"/>
              </w:rPr>
              <w:t>0.174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8"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M2</w:t>
            </w:r>
          </w:p>
        </w:tc>
        <w:tc>
          <w:tcPr>
            <w:tcW w:w="1540" w:type="dxa"/>
            <w:tcBorders>
              <w:tl2br w:val="nil"/>
              <w:tr2bl w:val="nil"/>
            </w:tcBorders>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堆存</w:t>
            </w:r>
          </w:p>
        </w:tc>
        <w:tc>
          <w:tcPr>
            <w:tcW w:w="1349" w:type="dxa"/>
            <w:tcBorders>
              <w:tl2br w:val="nil"/>
              <w:tr2bl w:val="nil"/>
            </w:tcBorders>
            <w:vAlign w:val="center"/>
          </w:tcPr>
          <w:p>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25</w:t>
            </w:r>
          </w:p>
        </w:tc>
        <w:tc>
          <w:tcPr>
            <w:tcW w:w="1377" w:type="dxa"/>
            <w:tcBorders>
              <w:tl2br w:val="nil"/>
              <w:tr2bl w:val="nil"/>
            </w:tcBorders>
            <w:vAlign w:val="center"/>
          </w:tcPr>
          <w:p>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w:t>
            </w:r>
          </w:p>
        </w:tc>
        <w:tc>
          <w:tcPr>
            <w:tcW w:w="1536" w:type="dxa"/>
            <w:tcBorders>
              <w:tl2br w:val="nil"/>
              <w:tr2bl w:val="nil"/>
            </w:tcBorders>
            <w:vAlign w:val="center"/>
          </w:tcPr>
          <w:p>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30</w:t>
            </w:r>
          </w:p>
        </w:tc>
        <w:tc>
          <w:tcPr>
            <w:tcW w:w="2380" w:type="dxa"/>
            <w:tcBorders>
              <w:tl2br w:val="nil"/>
              <w:tr2bl w:val="nil"/>
            </w:tcBorders>
            <w:vAlign w:val="center"/>
          </w:tcPr>
          <w:p>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15</w:t>
            </w:r>
          </w:p>
        </w:tc>
        <w:tc>
          <w:tcPr>
            <w:tcW w:w="1799" w:type="dxa"/>
            <w:tcBorders>
              <w:tl2br w:val="nil"/>
              <w:tr2bl w:val="nil"/>
            </w:tcBorders>
            <w:vAlign w:val="center"/>
          </w:tcPr>
          <w:p>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7200</w:t>
            </w:r>
          </w:p>
        </w:tc>
        <w:tc>
          <w:tcPr>
            <w:tcW w:w="1834" w:type="dxa"/>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连续</w:t>
            </w:r>
          </w:p>
        </w:tc>
        <w:tc>
          <w:tcPr>
            <w:tcW w:w="3025" w:type="dxa"/>
            <w:tcBorders>
              <w:tl2br w:val="nil"/>
              <w:tr2bl w:val="nil"/>
            </w:tcBorders>
            <w:vAlign w:val="center"/>
          </w:tcPr>
          <w:p>
            <w:pPr>
              <w:jc w:val="center"/>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lang w:val="en-US" w:eastAsia="zh-CN"/>
              </w:rPr>
              <w:t>0.16</w:t>
            </w:r>
          </w:p>
        </w:tc>
      </w:tr>
    </w:tbl>
    <w:p>
      <w:pPr>
        <w:adjustRightInd w:val="0"/>
        <w:snapToGrid w:val="0"/>
        <w:spacing w:beforeLines="50"/>
        <w:jc w:val="center"/>
        <w:rPr>
          <w:rFonts w:hint="default" w:ascii="Times New Roman" w:hAnsi="Times New Roman" w:eastAsia="宋体" w:cs="Times New Roman"/>
          <w:b/>
          <w:color w:val="auto"/>
          <w:szCs w:val="21"/>
        </w:rPr>
        <w:sectPr>
          <w:pgSz w:w="16838" w:h="11906" w:orient="landscape"/>
          <w:pgMar w:top="720" w:right="720" w:bottom="720" w:left="720" w:header="850" w:footer="964" w:gutter="0"/>
          <w:pgBorders>
            <w:top w:val="none" w:sz="0" w:space="0"/>
            <w:left w:val="none" w:sz="0" w:space="0"/>
            <w:bottom w:val="none" w:sz="0" w:space="0"/>
            <w:right w:val="none" w:sz="0" w:space="0"/>
          </w:pgBorders>
          <w:pgNumType w:fmt="decimal"/>
          <w:cols w:space="720" w:num="1"/>
          <w:docGrid w:linePitch="326" w:charSpace="-2048"/>
        </w:sectPr>
      </w:pPr>
    </w:p>
    <w:p>
      <w:pPr>
        <w:snapToGrid w:val="0"/>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表5.2-</w:t>
      </w:r>
      <w:r>
        <w:rPr>
          <w:rFonts w:hint="default"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rPr>
        <w:t xml:space="preserve">                        估算模型参数表</w:t>
      </w:r>
    </w:p>
    <w:tbl>
      <w:tblPr>
        <w:tblStyle w:val="51"/>
        <w:tblW w:w="928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5"/>
        <w:gridCol w:w="630"/>
        <w:gridCol w:w="3399"/>
        <w:gridCol w:w="345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834" w:type="dxa"/>
            <w:gridSpan w:val="3"/>
            <w:tcBorders>
              <w:tl2br w:val="nil"/>
              <w:tr2bl w:val="nil"/>
            </w:tcBorders>
            <w:vAlign w:val="center"/>
          </w:tcPr>
          <w:p>
            <w:pPr>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参数</w:t>
            </w:r>
          </w:p>
        </w:tc>
        <w:tc>
          <w:tcPr>
            <w:tcW w:w="3453" w:type="dxa"/>
            <w:tcBorders>
              <w:tl2br w:val="nil"/>
              <w:tr2bl w:val="nil"/>
            </w:tcBorders>
            <w:vAlign w:val="center"/>
          </w:tcPr>
          <w:p>
            <w:pPr>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取值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restart"/>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城市/农村选项</w:t>
            </w:r>
          </w:p>
        </w:tc>
        <w:tc>
          <w:tcPr>
            <w:tcW w:w="4029" w:type="dxa"/>
            <w:gridSpan w:val="2"/>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城市/农村</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农村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05" w:type="dxa"/>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4029" w:type="dxa"/>
            <w:gridSpan w:val="2"/>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人口数</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834" w:type="dxa"/>
            <w:gridSpan w:val="3"/>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最高环境温度/℃</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42.3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834" w:type="dxa"/>
            <w:gridSpan w:val="3"/>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最低环境温度/℃</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-28.2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834" w:type="dxa"/>
            <w:gridSpan w:val="3"/>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土地利用类型</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农田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834" w:type="dxa"/>
            <w:gridSpan w:val="3"/>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区域湿度条件</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中等湿度气候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35" w:type="dxa"/>
            <w:gridSpan w:val="2"/>
            <w:vMerge w:val="restart"/>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是否考虑地形</w:t>
            </w:r>
          </w:p>
        </w:tc>
        <w:tc>
          <w:tcPr>
            <w:tcW w:w="3399" w:type="dxa"/>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考虑地形</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   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35" w:type="dxa"/>
            <w:gridSpan w:val="2"/>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3399" w:type="dxa"/>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地形数据分辨率(m)</w:t>
            </w:r>
          </w:p>
        </w:tc>
        <w:tc>
          <w:tcPr>
            <w:tcW w:w="3453" w:type="dxa"/>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35" w:type="dxa"/>
            <w:gridSpan w:val="2"/>
            <w:vMerge w:val="restart"/>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是否考虑岸线熏烟</w:t>
            </w:r>
          </w:p>
        </w:tc>
        <w:tc>
          <w:tcPr>
            <w:tcW w:w="3399" w:type="dxa"/>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考虑岸线熏烟</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   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35" w:type="dxa"/>
            <w:gridSpan w:val="2"/>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3399" w:type="dxa"/>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岸线距离/km</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35" w:type="dxa"/>
            <w:gridSpan w:val="2"/>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3399" w:type="dxa"/>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岸线方向/°</w:t>
            </w:r>
          </w:p>
        </w:tc>
        <w:tc>
          <w:tcPr>
            <w:tcW w:w="3453" w:type="dxa"/>
            <w:tcBorders>
              <w:tl2br w:val="nil"/>
              <w:tr2bl w:val="nil"/>
            </w:tcBorders>
            <w:vAlign w:val="center"/>
          </w:tcPr>
          <w:p>
            <w:pPr>
              <w:pStyle w:val="36"/>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pPr>
        <w:snapToGrid w:val="0"/>
        <w:spacing w:beforeLines="50" w:line="48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（4）地面浓度预测结果及评价</w:t>
      </w:r>
    </w:p>
    <w:p>
      <w:pPr>
        <w:snapToGrid w:val="0"/>
        <w:spacing w:beforeLines="50" w:line="48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采用导则推荐的AERSCREEN模型进行估算，估算结果如下。</w:t>
      </w:r>
    </w:p>
    <w:p>
      <w:pPr>
        <w:snapToGrid w:val="0"/>
        <w:spacing w:beforeLines="50" w:line="48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rPr>
        <w:t>A：</w:t>
      </w:r>
      <w:r>
        <w:rPr>
          <w:rFonts w:hint="default" w:ascii="Times New Roman" w:hAnsi="Times New Roman" w:eastAsia="宋体" w:cs="Times New Roman"/>
          <w:color w:val="auto"/>
          <w:sz w:val="24"/>
          <w:lang w:eastAsia="zh-CN"/>
        </w:rPr>
        <w:t>有组织</w:t>
      </w:r>
    </w:p>
    <w:p>
      <w:pPr>
        <w:snapToGrid w:val="0"/>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表5.2-</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 xml:space="preserve"> 有组织排放估算模式计算结果</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271"/>
        <w:gridCol w:w="3126"/>
        <w:gridCol w:w="289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Merge w:val="restar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下风向距离</w:t>
            </w:r>
          </w:p>
        </w:tc>
        <w:tc>
          <w:tcPr>
            <w:tcW w:w="6016" w:type="dxa"/>
            <w:gridSpan w:val="2"/>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color w:val="auto"/>
                <w:sz w:val="21"/>
                <w:szCs w:val="21"/>
              </w:rPr>
              <w:t>点源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Merge w:val="continue"/>
            <w:vAlign w:val="center"/>
          </w:tcPr>
          <w:p>
            <w:pPr>
              <w:jc w:val="center"/>
              <w:rPr>
                <w:rFonts w:hint="default" w:ascii="Times New Roman" w:hAnsi="Times New Roman" w:eastAsia="宋体" w:cs="Times New Roman"/>
                <w:color w:val="auto"/>
                <w:sz w:val="21"/>
                <w:szCs w:val="21"/>
              </w:rPr>
            </w:pPr>
          </w:p>
        </w:tc>
        <w:tc>
          <w:tcPr>
            <w:tcW w:w="3126"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PM</w:t>
            </w:r>
            <w:r>
              <w:rPr>
                <w:rFonts w:hint="default" w:ascii="Times New Roman" w:hAnsi="Times New Roman" w:eastAsia="宋体" w:cs="Times New Roman"/>
                <w:b w:val="0"/>
                <w:color w:val="auto"/>
                <w:sz w:val="21"/>
                <w:szCs w:val="21"/>
                <w:vertAlign w:val="subscript"/>
              </w:rPr>
              <w:t>10</w:t>
            </w:r>
            <w:r>
              <w:rPr>
                <w:rFonts w:hint="default" w:ascii="Times New Roman" w:hAnsi="Times New Roman" w:eastAsia="宋体" w:cs="Times New Roman"/>
                <w:b w:val="0"/>
                <w:color w:val="auto"/>
                <w:sz w:val="21"/>
                <w:szCs w:val="21"/>
              </w:rPr>
              <w:t>浓度(μg/m³)</w:t>
            </w:r>
          </w:p>
        </w:tc>
        <w:tc>
          <w:tcPr>
            <w:tcW w:w="2890"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PM</w:t>
            </w:r>
            <w:r>
              <w:rPr>
                <w:rFonts w:hint="default" w:ascii="Times New Roman" w:hAnsi="Times New Roman" w:eastAsia="宋体" w:cs="Times New Roman"/>
                <w:b w:val="0"/>
                <w:color w:val="auto"/>
                <w:sz w:val="21"/>
                <w:szCs w:val="21"/>
                <w:vertAlign w:val="subscript"/>
              </w:rPr>
              <w:t>10</w:t>
            </w:r>
            <w:r>
              <w:rPr>
                <w:rFonts w:hint="default" w:ascii="Times New Roman" w:hAnsi="Times New Roman" w:eastAsia="宋体" w:cs="Times New Roman"/>
                <w:b w:val="0"/>
                <w:color w:val="auto"/>
                <w:sz w:val="21"/>
                <w:szCs w:val="21"/>
              </w:rPr>
              <w:t>占标率(%)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50.0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1.2776</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0.2839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100.0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3.1799</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0.7066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200.0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4.8292</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1.0732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300.0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38.6940</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8.5987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400.0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31.9510</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7.1002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500.0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27.4550</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6.1011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600.0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22.7480</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5.0551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700.0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21.9820</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4.8849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800.0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18.0780</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4.0173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900.0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18.2310</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4.0513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1000.0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16.4360</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3.6524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1200.0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9.7297</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2.1622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1400.0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6.3434</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1.4096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1600.0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5.2035</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1.1563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1800.0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6.6843</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1.4854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2000.0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8.5289</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1.8953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2500.0</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6.6822</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1.4849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下风向最大浓度</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40.0200</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8.8933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下风向最大浓度出现距离</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308.0</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308.0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1"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D10%最远距离</w:t>
            </w:r>
          </w:p>
        </w:tc>
        <w:tc>
          <w:tcPr>
            <w:tcW w:w="312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w:t>
            </w:r>
          </w:p>
        </w:tc>
        <w:tc>
          <w:tcPr>
            <w:tcW w:w="289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w:t>
            </w:r>
          </w:p>
        </w:tc>
      </w:tr>
    </w:tbl>
    <w:p>
      <w:pPr>
        <w:snapToGrid w:val="0"/>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B</w:t>
      </w:r>
      <w:r>
        <w:rPr>
          <w:rFonts w:hint="default" w:ascii="Times New Roman" w:hAnsi="Times New Roman" w:eastAsia="宋体" w:cs="Times New Roman"/>
          <w:color w:val="auto"/>
          <w:sz w:val="24"/>
        </w:rPr>
        <w:t>：无组织</w:t>
      </w:r>
    </w:p>
    <w:p>
      <w:pPr>
        <w:snapToGrid w:val="0"/>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表5.2-</w:t>
      </w:r>
      <w:r>
        <w:rPr>
          <w:rFonts w:hint="default" w:ascii="Times New Roman" w:hAnsi="Times New Roman" w:eastAsia="宋体" w:cs="Times New Roman"/>
          <w:color w:val="auto"/>
          <w:sz w:val="24"/>
          <w:lang w:val="en-US" w:eastAsia="zh-CN"/>
        </w:rPr>
        <w:t>6</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 xml:space="preserve">  无组织排放估算模式计算结果</w:t>
      </w:r>
    </w:p>
    <w:tbl>
      <w:tblPr>
        <w:tblStyle w:val="51"/>
        <w:tblW w:w="4996"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4"/>
        <w:gridCol w:w="1940"/>
        <w:gridCol w:w="1940"/>
        <w:gridCol w:w="2060"/>
        <w:gridCol w:w="168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Merge w:val="restart"/>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下风向距离</w:t>
            </w:r>
          </w:p>
        </w:tc>
        <w:tc>
          <w:tcPr>
            <w:tcW w:w="3880" w:type="dxa"/>
            <w:gridSpan w:val="2"/>
            <w:vAlign w:val="center"/>
          </w:tcPr>
          <w:p>
            <w:pPr>
              <w:jc w:val="center"/>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lang w:eastAsia="zh-CN"/>
              </w:rPr>
              <w:t>破碎车间</w:t>
            </w:r>
          </w:p>
        </w:tc>
        <w:tc>
          <w:tcPr>
            <w:tcW w:w="3746" w:type="dxa"/>
            <w:gridSpan w:val="2"/>
            <w:vAlign w:val="center"/>
          </w:tcPr>
          <w:p>
            <w:pPr>
              <w:jc w:val="center"/>
              <w:rPr>
                <w:rFonts w:hint="default" w:ascii="Times New Roman" w:hAnsi="Times New Roman" w:eastAsia="宋体" w:cs="Times New Roman"/>
                <w:b w:val="0"/>
                <w:color w:val="auto"/>
                <w:sz w:val="21"/>
                <w:szCs w:val="21"/>
                <w:lang w:eastAsia="zh-CN"/>
              </w:rPr>
            </w:pPr>
            <w:r>
              <w:rPr>
                <w:rFonts w:hint="default" w:ascii="Times New Roman" w:hAnsi="Times New Roman" w:eastAsia="宋体" w:cs="Times New Roman"/>
                <w:b w:val="0"/>
                <w:color w:val="auto"/>
                <w:sz w:val="21"/>
                <w:szCs w:val="21"/>
                <w:lang w:eastAsia="zh-CN"/>
              </w:rPr>
              <w:t>堆存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Merge w:val="continue"/>
            <w:vAlign w:val="center"/>
          </w:tcPr>
          <w:p>
            <w:pPr>
              <w:jc w:val="center"/>
              <w:rPr>
                <w:rFonts w:hint="default" w:ascii="Times New Roman" w:hAnsi="Times New Roman" w:eastAsia="宋体" w:cs="Times New Roman"/>
                <w:color w:val="auto"/>
                <w:sz w:val="21"/>
                <w:szCs w:val="21"/>
              </w:rPr>
            </w:pPr>
          </w:p>
        </w:tc>
        <w:tc>
          <w:tcPr>
            <w:tcW w:w="1940"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lang w:val="en-US" w:eastAsia="zh-CN"/>
              </w:rPr>
              <w:t>TSP</w:t>
            </w:r>
            <w:r>
              <w:rPr>
                <w:rFonts w:hint="default" w:ascii="Times New Roman" w:hAnsi="Times New Roman" w:eastAsia="宋体" w:cs="Times New Roman"/>
                <w:b w:val="0"/>
                <w:color w:val="auto"/>
                <w:sz w:val="21"/>
                <w:szCs w:val="21"/>
              </w:rPr>
              <w:t>浓度(μg/m³)</w:t>
            </w:r>
          </w:p>
        </w:tc>
        <w:tc>
          <w:tcPr>
            <w:tcW w:w="1940"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lang w:val="en-US" w:eastAsia="zh-CN"/>
              </w:rPr>
              <w:t>TSP</w:t>
            </w:r>
            <w:r>
              <w:rPr>
                <w:rFonts w:hint="default" w:ascii="Times New Roman" w:hAnsi="Times New Roman" w:eastAsia="宋体" w:cs="Times New Roman"/>
                <w:b w:val="0"/>
                <w:color w:val="auto"/>
                <w:sz w:val="21"/>
                <w:szCs w:val="21"/>
              </w:rPr>
              <w:t>占标率(%)</w:t>
            </w:r>
          </w:p>
        </w:tc>
        <w:tc>
          <w:tcPr>
            <w:tcW w:w="2060"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lang w:val="en-US" w:eastAsia="zh-CN"/>
              </w:rPr>
              <w:t>TSP</w:t>
            </w:r>
            <w:r>
              <w:rPr>
                <w:rFonts w:hint="default" w:ascii="Times New Roman" w:hAnsi="Times New Roman" w:eastAsia="宋体" w:cs="Times New Roman"/>
                <w:b w:val="0"/>
                <w:color w:val="auto"/>
                <w:sz w:val="21"/>
                <w:szCs w:val="21"/>
              </w:rPr>
              <w:t>浓度(μg/m³)</w:t>
            </w:r>
          </w:p>
        </w:tc>
        <w:tc>
          <w:tcPr>
            <w:tcW w:w="1686"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color w:val="auto"/>
                <w:sz w:val="21"/>
                <w:szCs w:val="21"/>
                <w:lang w:val="en-US" w:eastAsia="zh-CN"/>
              </w:rPr>
              <w:t>TSP</w:t>
            </w:r>
            <w:r>
              <w:rPr>
                <w:rFonts w:hint="default" w:ascii="Times New Roman" w:hAnsi="Times New Roman" w:eastAsia="宋体" w:cs="Times New Roman"/>
                <w:b w:val="0"/>
                <w:color w:val="auto"/>
                <w:sz w:val="21"/>
                <w:szCs w:val="21"/>
              </w:rPr>
              <w:t>占标率(%)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50.0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54.4120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6.0458</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62.8740</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6.9860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100.0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73.4220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8.1580</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61.0890</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6.7877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200.0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55.5260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6.1696</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39.9460</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4.4384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300.0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43.4560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4.8284</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29.7040</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3.3004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400.0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37.6580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4.1842</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24.1340</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2.6816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500.0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32.1270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3.5697</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20.5650</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2.2850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600.0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28.2280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3.1364</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18.0540</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2.0060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700.0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25.3080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2.8120</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16.1770</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1.7974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800.0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23.0280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2.5587</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14.7130</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1.6348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900.0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21.1890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2.3543</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13.5340</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1.5038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1000.0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19.6710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2.1857</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12.5610</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1.3957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1200.0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17.2990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1.9221</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11.0410</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1.2268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1400.0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15.5190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1.7243</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9.9022</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1.1002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1600.0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14.1270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1.5697</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9.0121</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1.0013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1800.0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13.0050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1.4450</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8.2943</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0.9216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2000.0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12.0760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1.3418</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7.7011</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0.8557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2500.0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10.3240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1.1471</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6.5822</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0.7314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下风向最大浓度</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73.4220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8.1580</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64.6650</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7.1850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下风向最大浓度出现距离</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99.0</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99.0</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71.0</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71.0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4" w:type="dxa"/>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color w:val="auto"/>
                <w:sz w:val="21"/>
                <w:szCs w:val="21"/>
              </w:rPr>
              <w:t>D10%最远距离</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w:t>
            </w:r>
          </w:p>
        </w:tc>
        <w:tc>
          <w:tcPr>
            <w:tcW w:w="194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w:t>
            </w:r>
          </w:p>
        </w:tc>
        <w:tc>
          <w:tcPr>
            <w:tcW w:w="2060"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w:t>
            </w:r>
          </w:p>
        </w:tc>
        <w:tc>
          <w:tcPr>
            <w:tcW w:w="1686" w:type="dxa"/>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b w:val="0"/>
                <w:sz w:val="21"/>
                <w:szCs w:val="21"/>
              </w:rPr>
              <w:t>/</w:t>
            </w:r>
          </w:p>
        </w:tc>
      </w:tr>
    </w:tbl>
    <w:p>
      <w:pPr>
        <w:snapToGrid w:val="0"/>
        <w:spacing w:beforeLines="50" w:line="360" w:lineRule="auto"/>
        <w:ind w:firstLine="504"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pacing w:val="6"/>
          <w:sz w:val="24"/>
        </w:rPr>
        <w:t>由估算结果可知，</w:t>
      </w:r>
      <w:r>
        <w:rPr>
          <w:rFonts w:hint="default" w:ascii="Times New Roman" w:hAnsi="Times New Roman" w:eastAsia="宋体" w:cs="Times New Roman"/>
          <w:b w:val="0"/>
          <w:sz w:val="24"/>
        </w:rPr>
        <w:t>本项目Pmax最大值出现为点源排放的PM</w:t>
      </w:r>
      <w:r>
        <w:rPr>
          <w:rFonts w:hint="default" w:ascii="Times New Roman" w:hAnsi="Times New Roman" w:eastAsia="宋体" w:cs="Times New Roman"/>
          <w:b w:val="0"/>
          <w:sz w:val="24"/>
          <w:vertAlign w:val="subscript"/>
        </w:rPr>
        <w:t>10</w:t>
      </w:r>
      <w:r>
        <w:rPr>
          <w:rFonts w:hint="default" w:ascii="Times New Roman" w:hAnsi="Times New Roman" w:eastAsia="宋体" w:cs="Times New Roman"/>
          <w:b w:val="0"/>
          <w:sz w:val="24"/>
        </w:rPr>
        <w:t>Pmax值为8.8933%，Cmax为40.02μg/m³。根据《环境影响评价技术导则 大气环境》（HJ2.2-2018）分级判据，确定本项目大气环境影响评价工作等级为二级</w:t>
      </w:r>
      <w:r>
        <w:rPr>
          <w:rFonts w:hint="default" w:ascii="Times New Roman" w:hAnsi="Times New Roman" w:eastAsia="宋体" w:cs="Times New Roman"/>
          <w:color w:val="auto"/>
          <w:sz w:val="24"/>
          <w:lang w:eastAsia="zh-CN"/>
        </w:rPr>
        <w:t>。</w:t>
      </w:r>
    </w:p>
    <w:p>
      <w:pPr>
        <w:snapToGrid w:val="0"/>
        <w:spacing w:beforeLines="50"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（5）大气防护距离</w:t>
      </w:r>
    </w:p>
    <w:p>
      <w:pPr>
        <w:snapToGrid w:val="0"/>
        <w:spacing w:beforeLines="50"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根据《环境影响评价</w:t>
      </w:r>
      <w:r>
        <w:rPr>
          <w:rFonts w:hint="default" w:ascii="Times New Roman" w:hAnsi="Times New Roman" w:eastAsia="宋体" w:cs="Times New Roman"/>
          <w:color w:val="auto"/>
          <w:sz w:val="24"/>
        </w:rPr>
        <w:t>技术导则——大气环境》（HJ2.2-2018）中规定，“对于项目厂界浓度满足大气污染物厂界浓度限值，但厂界外大气污染物短期贡献浓度超过环境质量浓度限值的，可以自厂界向外设置一定范围的大气环境防护区域，以确保大气环境保护区域外的污染物贡献浓度满足环境质量标准”。本项目厂界浓度满足大气污染物厂界浓度限值，</w:t>
      </w:r>
      <w:r>
        <w:rPr>
          <w:rFonts w:hint="default" w:ascii="Times New Roman" w:hAnsi="Times New Roman" w:eastAsia="宋体" w:cs="Times New Roman"/>
          <w:color w:val="auto"/>
          <w:sz w:val="24"/>
          <w:lang w:eastAsia="zh-CN"/>
        </w:rPr>
        <w:t>厂界外大气污染物短期贡献浓度未超过环境质量浓度限值，则本项目污染不设置大气防护距离。</w:t>
      </w:r>
    </w:p>
    <w:p>
      <w:pPr>
        <w:snapToGrid w:val="0"/>
        <w:spacing w:beforeLines="50"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（6）卫生防护距离</w:t>
      </w:r>
    </w:p>
    <w:p>
      <w:pPr>
        <w:snapToGrid w:val="0"/>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根据《大气有害</w:t>
      </w:r>
      <w:r>
        <w:rPr>
          <w:rFonts w:hint="default" w:ascii="Times New Roman" w:hAnsi="Times New Roman" w:eastAsia="宋体" w:cs="Times New Roman"/>
          <w:color w:val="auto"/>
          <w:sz w:val="24"/>
        </w:rPr>
        <w:t>物质无组织排放卫生防护距离推导技术导则》</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GB/T 39499-2020</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的有关规定，</w:t>
      </w:r>
      <w:r>
        <w:rPr>
          <w:rFonts w:hint="default" w:ascii="Times New Roman" w:hAnsi="Times New Roman" w:eastAsia="宋体" w:cs="Times New Roman"/>
          <w:color w:val="auto"/>
          <w:sz w:val="24"/>
          <w:lang w:eastAsia="zh-CN"/>
        </w:rPr>
        <w:t>本项目卫生防护距离</w:t>
      </w:r>
      <w:r>
        <w:rPr>
          <w:rFonts w:hint="default" w:ascii="Times New Roman" w:hAnsi="Times New Roman" w:eastAsia="宋体" w:cs="Times New Roman"/>
          <w:color w:val="auto"/>
          <w:sz w:val="24"/>
        </w:rPr>
        <w:t>计算公式如下：</w:t>
      </w:r>
    </w:p>
    <w:p>
      <w:pPr>
        <w:spacing w:beforeLines="50" w:line="480" w:lineRule="exact"/>
        <w:ind w:firstLine="480" w:firstLineChars="20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position w:val="-32"/>
          <w:sz w:val="24"/>
        </w:rPr>
        <w:pict>
          <v:shape id="对象 222" o:spid="_x0000_s2496" o:spt="75" type="#_x0000_t75" style="position:absolute;left:0pt;margin-left:137.85pt;margin-top:1.45pt;height:34pt;width:135pt;z-index:251663360;mso-width-relative:page;mso-height-relative:page;" o:ole="t" filled="f" o:preferrelative="t" stroked="f" coordsize="21600,21600">
            <v:path/>
            <v:fill on="f" focussize="0,0"/>
            <v:stroke on="f" joinstyle="miter"/>
            <v:imagedata r:id="rId45" o:title=""/>
            <o:lock v:ext="edit" aspectratio="t"/>
          </v:shape>
          <o:OLEObject Type="Embed" ProgID="Equation.3" ShapeID="对象 222" DrawAspect="Content" ObjectID="_1468075729" r:id="rId44">
            <o:LockedField>false</o:LockedField>
          </o:OLEObject>
        </w:pict>
      </w:r>
    </w:p>
    <w:p>
      <w:pPr>
        <w:spacing w:beforeLines="50" w:line="48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w:t>
      </w:r>
      <w:r>
        <w:rPr>
          <w:rFonts w:hint="default" w:ascii="Times New Roman" w:hAnsi="Times New Roman" w:eastAsia="宋体" w:cs="Times New Roman"/>
          <w:i/>
          <w:color w:val="auto"/>
          <w:sz w:val="24"/>
        </w:rPr>
        <w:t>C</w:t>
      </w:r>
      <w:r>
        <w:rPr>
          <w:rFonts w:hint="default" w:ascii="Times New Roman" w:hAnsi="Times New Roman" w:eastAsia="宋体" w:cs="Times New Roman"/>
          <w:color w:val="auto"/>
          <w:sz w:val="24"/>
          <w:vertAlign w:val="subscript"/>
        </w:rPr>
        <w:t>m</w:t>
      </w:r>
      <w:r>
        <w:rPr>
          <w:rFonts w:hint="default" w:ascii="Times New Roman" w:hAnsi="Times New Roman" w:eastAsia="宋体" w:cs="Times New Roman"/>
          <w:color w:val="auto"/>
          <w:sz w:val="24"/>
        </w:rPr>
        <w:t>——标准浓度限值，mg/m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p>
    <w:p>
      <w:pPr>
        <w:spacing w:beforeLines="50" w:line="480" w:lineRule="exact"/>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i/>
          <w:color w:val="auto"/>
          <w:sz w:val="24"/>
        </w:rPr>
        <w:t>L</w:t>
      </w:r>
      <w:r>
        <w:rPr>
          <w:rFonts w:hint="default" w:ascii="Times New Roman" w:hAnsi="Times New Roman" w:eastAsia="宋体" w:cs="Times New Roman"/>
          <w:color w:val="auto"/>
          <w:sz w:val="24"/>
        </w:rPr>
        <w:t>——工业企业所需卫生防护距离，m；</w:t>
      </w:r>
    </w:p>
    <w:p>
      <w:pPr>
        <w:spacing w:beforeLines="50" w:line="480" w:lineRule="exact"/>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i/>
          <w:color w:val="auto"/>
          <w:sz w:val="24"/>
        </w:rPr>
        <w:t>Q</w:t>
      </w:r>
      <w:r>
        <w:rPr>
          <w:rFonts w:hint="default" w:ascii="Times New Roman" w:hAnsi="Times New Roman" w:eastAsia="宋体" w:cs="Times New Roman"/>
          <w:color w:val="auto"/>
          <w:sz w:val="24"/>
          <w:vertAlign w:val="subscript"/>
        </w:rPr>
        <w:t>c</w:t>
      </w:r>
      <w:r>
        <w:rPr>
          <w:rFonts w:hint="default" w:ascii="Times New Roman" w:hAnsi="Times New Roman" w:eastAsia="宋体" w:cs="Times New Roman"/>
          <w:color w:val="auto"/>
          <w:sz w:val="24"/>
        </w:rPr>
        <w:t>——工业企业有害气体无组织排放量可以达到的控制水平，kg/h；</w:t>
      </w:r>
    </w:p>
    <w:p>
      <w:pPr>
        <w:spacing w:beforeLines="50" w:line="480" w:lineRule="exact"/>
        <w:ind w:firstLine="1200" w:firstLineChars="500"/>
        <w:rPr>
          <w:rFonts w:hint="default" w:ascii="Times New Roman" w:hAnsi="Times New Roman" w:eastAsia="宋体" w:cs="Times New Roman"/>
          <w:color w:val="auto"/>
          <w:sz w:val="24"/>
          <w:vertAlign w:val="subscript"/>
        </w:rPr>
      </w:pPr>
      <w:r>
        <w:rPr>
          <w:rFonts w:hint="default" w:ascii="Times New Roman" w:hAnsi="Times New Roman" w:eastAsia="宋体" w:cs="Times New Roman"/>
          <w:i/>
          <w:color w:val="auto"/>
          <w:sz w:val="24"/>
        </w:rPr>
        <w:t>r</w:t>
      </w:r>
      <w:r>
        <w:rPr>
          <w:rFonts w:hint="default" w:ascii="Times New Roman" w:hAnsi="Times New Roman" w:eastAsia="宋体" w:cs="Times New Roman"/>
          <w:color w:val="auto"/>
          <w:sz w:val="24"/>
        </w:rPr>
        <w:t>——有害气体无组织排放源所在生产单元的等效半径，m；根据该生产单元占地面积</w:t>
      </w:r>
      <w:r>
        <w:rPr>
          <w:rFonts w:hint="default" w:ascii="Times New Roman" w:hAnsi="Times New Roman" w:eastAsia="宋体" w:cs="Times New Roman"/>
          <w:i/>
          <w:color w:val="auto"/>
          <w:sz w:val="24"/>
        </w:rPr>
        <w:t>S</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）计算，</w:t>
      </w:r>
      <w:r>
        <w:rPr>
          <w:rFonts w:hint="default" w:ascii="Times New Roman" w:hAnsi="Times New Roman" w:eastAsia="宋体" w:cs="Times New Roman"/>
          <w:color w:val="auto"/>
          <w:position w:val="-10"/>
          <w:sz w:val="24"/>
        </w:rPr>
        <w:object>
          <v:shape id="_x0000_i1029" o:spt="75" type="#_x0000_t75" style="height:20pt;width:62pt;" o:ole="t" filled="f" o:preferrelative="t" stroked="f" coordsize="21600,21600">
            <v:path/>
            <v:fill on="f" focussize="0,0"/>
            <v:stroke on="f" joinstyle="miter"/>
            <v:imagedata r:id="rId47" o:title=""/>
            <o:lock v:ext="edit" aspectratio="t"/>
            <w10:wrap type="none"/>
            <w10:anchorlock/>
          </v:shape>
          <o:OLEObject Type="Embed" ProgID="Equation.3" ShapeID="_x0000_i1029" DrawAspect="Content" ObjectID="_1468075730" r:id="rId46">
            <o:LockedField>false</o:LockedField>
          </o:OLEObject>
        </w:object>
      </w:r>
      <w:r>
        <w:rPr>
          <w:rFonts w:hint="default" w:ascii="Times New Roman" w:hAnsi="Times New Roman" w:eastAsia="宋体" w:cs="Times New Roman"/>
          <w:color w:val="auto"/>
          <w:sz w:val="24"/>
        </w:rPr>
        <w:t>；</w:t>
      </w:r>
    </w:p>
    <w:p>
      <w:pPr>
        <w:spacing w:beforeLines="50" w:line="480" w:lineRule="exact"/>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A、B、C、D——卫生防护距离计算系数，无因次；根据工业企业所在地区五年平均风速及工业企业大气污染源构成类别选取。</w:t>
      </w:r>
    </w:p>
    <w:p>
      <w:pPr>
        <w:tabs>
          <w:tab w:val="left" w:pos="2060"/>
        </w:tabs>
        <w:spacing w:beforeLines="50" w:line="48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rPr>
        <w:t>根据《大气有害物质无组织排放卫生防护距离推导技术导则》</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GB/T 39499-2020</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的有关规定，卫生防护距离</w:t>
      </w:r>
      <w:r>
        <w:rPr>
          <w:rFonts w:hint="default" w:ascii="Times New Roman" w:hAnsi="Times New Roman" w:eastAsia="宋体" w:cs="Times New Roman"/>
          <w:color w:val="auto"/>
          <w:sz w:val="24"/>
          <w:lang w:eastAsia="zh-CN"/>
        </w:rPr>
        <w:t>初值小于</w:t>
      </w:r>
      <w:r>
        <w:rPr>
          <w:rFonts w:hint="default" w:ascii="Times New Roman" w:hAnsi="Times New Roman" w:eastAsia="宋体" w:cs="Times New Roman"/>
          <w:color w:val="auto"/>
          <w:sz w:val="24"/>
          <w:lang w:val="en-US" w:eastAsia="zh-CN"/>
        </w:rPr>
        <w:t>50</w:t>
      </w:r>
      <w:r>
        <w:rPr>
          <w:rFonts w:hint="default" w:ascii="Times New Roman" w:hAnsi="Times New Roman" w:eastAsia="宋体" w:cs="Times New Roman"/>
          <w:color w:val="auto"/>
          <w:sz w:val="24"/>
        </w:rPr>
        <w:t>m时，级差为50m</w:t>
      </w:r>
      <w:r>
        <w:rPr>
          <w:rFonts w:hint="default" w:ascii="Times New Roman" w:hAnsi="Times New Roman" w:eastAsia="宋体" w:cs="Times New Roman"/>
          <w:color w:val="auto"/>
          <w:sz w:val="24"/>
          <w:lang w:eastAsia="zh-CN"/>
        </w:rPr>
        <w:t>。</w:t>
      </w:r>
    </w:p>
    <w:p>
      <w:pPr>
        <w:tabs>
          <w:tab w:val="left" w:pos="2060"/>
        </w:tabs>
        <w:spacing w:beforeLines="50" w:line="480" w:lineRule="exact"/>
        <w:ind w:firstLine="504"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pacing w:val="6"/>
          <w:sz w:val="24"/>
        </w:rPr>
        <w:t>本项目卫生防护距离计算结果见表5.2-</w:t>
      </w:r>
      <w:r>
        <w:rPr>
          <w:rFonts w:hint="default" w:ascii="Times New Roman" w:hAnsi="Times New Roman" w:eastAsia="宋体" w:cs="Times New Roman"/>
          <w:color w:val="auto"/>
          <w:spacing w:val="6"/>
          <w:sz w:val="24"/>
          <w:lang w:val="en-US" w:eastAsia="zh-CN"/>
        </w:rPr>
        <w:t>7</w:t>
      </w:r>
      <w:r>
        <w:rPr>
          <w:rFonts w:hint="default" w:ascii="Times New Roman" w:hAnsi="Times New Roman" w:eastAsia="宋体" w:cs="Times New Roman"/>
          <w:color w:val="auto"/>
          <w:spacing w:val="6"/>
          <w:sz w:val="24"/>
        </w:rPr>
        <w:t>。</w:t>
      </w:r>
    </w:p>
    <w:p>
      <w:pPr>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表5.2-</w:t>
      </w:r>
      <w:r>
        <w:rPr>
          <w:rFonts w:hint="default" w:ascii="Times New Roman" w:hAnsi="Times New Roman" w:eastAsia="宋体" w:cs="Times New Roman"/>
          <w:color w:val="auto"/>
          <w:sz w:val="24"/>
          <w:lang w:val="en-US" w:eastAsia="zh-CN"/>
        </w:rPr>
        <w:t xml:space="preserve">7  </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 xml:space="preserve">  厂区无组织排放污染物参数及卫生防护距离一览表</w:t>
      </w:r>
    </w:p>
    <w:tbl>
      <w:tblPr>
        <w:tblStyle w:val="51"/>
        <w:tblW w:w="90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68"/>
        <w:gridCol w:w="1109"/>
        <w:gridCol w:w="839"/>
        <w:gridCol w:w="846"/>
        <w:gridCol w:w="811"/>
        <w:gridCol w:w="895"/>
        <w:gridCol w:w="966"/>
        <w:gridCol w:w="953"/>
        <w:gridCol w:w="891"/>
        <w:gridCol w:w="89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8" w:type="dxa"/>
            <w:vMerge w:val="restart"/>
            <w:tcBorders>
              <w:top w:val="single" w:color="auto" w:sz="4" w:space="0"/>
              <w:left w:val="nil"/>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r>
              <w:rPr>
                <w:rFonts w:hint="default" w:ascii="Times New Roman" w:hAnsi="Times New Roman" w:eastAsia="宋体" w:cs="Times New Roman"/>
                <w:b w:val="0"/>
                <w:bCs/>
                <w:color w:val="auto"/>
              </w:rPr>
              <w:t>废气来源</w:t>
            </w:r>
          </w:p>
        </w:tc>
        <w:tc>
          <w:tcPr>
            <w:tcW w:w="1109" w:type="dxa"/>
            <w:vMerge w:val="restart"/>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r>
              <w:rPr>
                <w:rFonts w:hint="default" w:ascii="Times New Roman" w:hAnsi="Times New Roman" w:eastAsia="宋体" w:cs="Times New Roman"/>
                <w:b w:val="0"/>
                <w:bCs/>
                <w:color w:val="auto"/>
              </w:rPr>
              <w:t>污染物</w:t>
            </w:r>
          </w:p>
        </w:tc>
        <w:tc>
          <w:tcPr>
            <w:tcW w:w="3391" w:type="dxa"/>
            <w:gridSpan w:val="4"/>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r>
              <w:rPr>
                <w:rFonts w:hint="default" w:ascii="Times New Roman" w:hAnsi="Times New Roman" w:eastAsia="宋体" w:cs="Times New Roman"/>
                <w:b w:val="0"/>
                <w:bCs/>
                <w:color w:val="auto"/>
              </w:rPr>
              <w:t>计算系数</w:t>
            </w:r>
          </w:p>
        </w:tc>
        <w:tc>
          <w:tcPr>
            <w:tcW w:w="966" w:type="dxa"/>
            <w:vMerge w:val="restart"/>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vertAlign w:val="subscript"/>
              </w:rPr>
            </w:pPr>
            <w:r>
              <w:rPr>
                <w:rFonts w:hint="default" w:ascii="Times New Roman" w:hAnsi="Times New Roman" w:eastAsia="宋体" w:cs="Times New Roman"/>
                <w:b w:val="0"/>
                <w:bCs/>
                <w:color w:val="auto"/>
              </w:rPr>
              <w:t>Q</w:t>
            </w:r>
            <w:r>
              <w:rPr>
                <w:rFonts w:hint="default" w:ascii="Times New Roman" w:hAnsi="Times New Roman" w:eastAsia="宋体" w:cs="Times New Roman"/>
                <w:b w:val="0"/>
                <w:bCs/>
                <w:color w:val="auto"/>
                <w:vertAlign w:val="subscript"/>
              </w:rPr>
              <w:t>c</w:t>
            </w:r>
          </w:p>
          <w:p>
            <w:pPr>
              <w:widowControl/>
              <w:spacing w:line="240" w:lineRule="exact"/>
              <w:jc w:val="center"/>
              <w:rPr>
                <w:rFonts w:hint="default" w:ascii="Times New Roman" w:hAnsi="Times New Roman" w:eastAsia="宋体" w:cs="Times New Roman"/>
                <w:b w:val="0"/>
                <w:bCs/>
                <w:color w:val="auto"/>
              </w:rPr>
            </w:pPr>
            <w:r>
              <w:rPr>
                <w:rFonts w:hint="default" w:ascii="Times New Roman" w:hAnsi="Times New Roman" w:eastAsia="宋体" w:cs="Times New Roman"/>
                <w:b w:val="0"/>
                <w:bCs/>
                <w:color w:val="auto"/>
              </w:rPr>
              <w:t>（kg/h）</w:t>
            </w:r>
          </w:p>
        </w:tc>
        <w:tc>
          <w:tcPr>
            <w:tcW w:w="953" w:type="dxa"/>
            <w:vMerge w:val="restart"/>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r>
              <w:rPr>
                <w:rFonts w:hint="default" w:ascii="Times New Roman" w:hAnsi="Times New Roman" w:eastAsia="宋体" w:cs="Times New Roman"/>
                <w:b w:val="0"/>
                <w:bCs/>
                <w:color w:val="auto"/>
              </w:rPr>
              <w:t>Cm</w:t>
            </w:r>
          </w:p>
          <w:p>
            <w:pPr>
              <w:widowControl/>
              <w:spacing w:line="240" w:lineRule="exact"/>
              <w:jc w:val="center"/>
              <w:rPr>
                <w:rFonts w:hint="default" w:ascii="Times New Roman" w:hAnsi="Times New Roman" w:eastAsia="宋体" w:cs="Times New Roman"/>
                <w:b w:val="0"/>
                <w:bCs/>
                <w:color w:val="auto"/>
              </w:rPr>
            </w:pPr>
            <w:r>
              <w:rPr>
                <w:rFonts w:hint="default" w:ascii="Times New Roman" w:hAnsi="Times New Roman" w:eastAsia="宋体" w:cs="Times New Roman"/>
                <w:b w:val="0"/>
                <w:bCs/>
                <w:color w:val="auto"/>
              </w:rPr>
              <w:t>（μg/m</w:t>
            </w:r>
            <w:r>
              <w:rPr>
                <w:rFonts w:hint="default" w:ascii="Times New Roman" w:hAnsi="Times New Roman" w:eastAsia="宋体" w:cs="Times New Roman"/>
                <w:b w:val="0"/>
                <w:bCs/>
                <w:color w:val="auto"/>
                <w:vertAlign w:val="superscript"/>
              </w:rPr>
              <w:t>3</w:t>
            </w:r>
            <w:r>
              <w:rPr>
                <w:rFonts w:hint="default" w:ascii="Times New Roman" w:hAnsi="Times New Roman" w:eastAsia="宋体" w:cs="Times New Roman"/>
                <w:b w:val="0"/>
                <w:bCs/>
                <w:color w:val="auto"/>
              </w:rPr>
              <w:t>）</w:t>
            </w:r>
          </w:p>
        </w:tc>
        <w:tc>
          <w:tcPr>
            <w:tcW w:w="891" w:type="dxa"/>
            <w:vMerge w:val="restart"/>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r>
              <w:rPr>
                <w:rFonts w:hint="default" w:ascii="Times New Roman" w:hAnsi="Times New Roman" w:eastAsia="宋体" w:cs="Times New Roman"/>
                <w:b w:val="0"/>
                <w:bCs/>
                <w:color w:val="auto"/>
              </w:rPr>
              <w:t>计算结果</w:t>
            </w:r>
          </w:p>
        </w:tc>
        <w:tc>
          <w:tcPr>
            <w:tcW w:w="893" w:type="dxa"/>
            <w:vMerge w:val="restart"/>
            <w:tcBorders>
              <w:top w:val="single" w:color="auto" w:sz="4" w:space="0"/>
              <w:left w:val="single" w:color="auto" w:sz="4" w:space="0"/>
              <w:bottom w:val="single" w:color="auto" w:sz="4" w:space="0"/>
              <w:right w:val="nil"/>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r>
              <w:rPr>
                <w:rFonts w:hint="default" w:ascii="Times New Roman" w:hAnsi="Times New Roman" w:eastAsia="宋体" w:cs="Times New Roman"/>
                <w:b w:val="0"/>
                <w:bCs/>
                <w:color w:val="auto"/>
              </w:rPr>
              <w:t>卫生防护距离（m）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8" w:type="dxa"/>
            <w:vMerge w:val="continue"/>
            <w:tcBorders>
              <w:top w:val="single" w:color="auto" w:sz="4" w:space="0"/>
              <w:left w:val="nil"/>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p>
        </w:tc>
        <w:tc>
          <w:tcPr>
            <w:tcW w:w="1109" w:type="dxa"/>
            <w:vMerge w:val="continue"/>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p>
        </w:tc>
        <w:tc>
          <w:tcPr>
            <w:tcW w:w="839"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r>
              <w:rPr>
                <w:rFonts w:hint="default" w:ascii="Times New Roman" w:hAnsi="Times New Roman" w:eastAsia="宋体" w:cs="Times New Roman"/>
                <w:b w:val="0"/>
                <w:bCs/>
                <w:color w:val="auto"/>
              </w:rPr>
              <w:t>A</w:t>
            </w:r>
          </w:p>
        </w:tc>
        <w:tc>
          <w:tcPr>
            <w:tcW w:w="846"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r>
              <w:rPr>
                <w:rFonts w:hint="default" w:ascii="Times New Roman" w:hAnsi="Times New Roman" w:eastAsia="宋体" w:cs="Times New Roman"/>
                <w:b w:val="0"/>
                <w:bCs/>
                <w:color w:val="auto"/>
              </w:rPr>
              <w:t>B</w:t>
            </w:r>
          </w:p>
        </w:tc>
        <w:tc>
          <w:tcPr>
            <w:tcW w:w="811"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r>
              <w:rPr>
                <w:rFonts w:hint="default" w:ascii="Times New Roman" w:hAnsi="Times New Roman" w:eastAsia="宋体" w:cs="Times New Roman"/>
                <w:b w:val="0"/>
                <w:bCs/>
                <w:color w:val="auto"/>
              </w:rPr>
              <w:t>C</w:t>
            </w:r>
          </w:p>
        </w:tc>
        <w:tc>
          <w:tcPr>
            <w:tcW w:w="895"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r>
              <w:rPr>
                <w:rFonts w:hint="default" w:ascii="Times New Roman" w:hAnsi="Times New Roman" w:eastAsia="宋体" w:cs="Times New Roman"/>
                <w:b w:val="0"/>
                <w:bCs/>
                <w:color w:val="auto"/>
              </w:rPr>
              <w:t>D</w:t>
            </w:r>
          </w:p>
        </w:tc>
        <w:tc>
          <w:tcPr>
            <w:tcW w:w="966" w:type="dxa"/>
            <w:vMerge w:val="continue"/>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p>
        </w:tc>
        <w:tc>
          <w:tcPr>
            <w:tcW w:w="953" w:type="dxa"/>
            <w:vMerge w:val="continue"/>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p>
        </w:tc>
        <w:tc>
          <w:tcPr>
            <w:tcW w:w="891" w:type="dxa"/>
            <w:vMerge w:val="continue"/>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p>
        </w:tc>
        <w:tc>
          <w:tcPr>
            <w:tcW w:w="893" w:type="dxa"/>
            <w:vMerge w:val="continue"/>
            <w:tcBorders>
              <w:top w:val="single" w:color="auto" w:sz="4" w:space="0"/>
              <w:left w:val="single" w:color="auto" w:sz="4" w:space="0"/>
              <w:bottom w:val="single" w:color="auto" w:sz="4" w:space="0"/>
              <w:right w:val="nil"/>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8" w:type="dxa"/>
            <w:tcBorders>
              <w:top w:val="single" w:color="auto" w:sz="4" w:space="0"/>
              <w:left w:val="nil"/>
              <w:bottom w:val="single" w:color="auto" w:sz="4" w:space="0"/>
              <w:right w:val="single" w:color="auto" w:sz="4" w:space="0"/>
              <w:tl2br w:val="nil"/>
              <w:tr2bl w:val="nil"/>
            </w:tcBorders>
            <w:noWrap/>
            <w:vAlign w:val="center"/>
          </w:tcPr>
          <w:p>
            <w:pPr>
              <w:widowControl/>
              <w:spacing w:line="280" w:lineRule="exact"/>
              <w:jc w:val="center"/>
              <w:rPr>
                <w:rFonts w:hint="default" w:ascii="Times New Roman" w:hAnsi="Times New Roman" w:eastAsia="宋体" w:cs="Times New Roman"/>
                <w:b w:val="0"/>
                <w:bCs/>
                <w:color w:val="auto"/>
                <w:lang w:eastAsia="zh-CN"/>
              </w:rPr>
            </w:pPr>
            <w:r>
              <w:rPr>
                <w:rFonts w:hint="default" w:ascii="Times New Roman" w:hAnsi="Times New Roman" w:eastAsia="宋体" w:cs="Times New Roman"/>
                <w:b w:val="0"/>
                <w:bCs/>
                <w:color w:val="auto"/>
                <w:lang w:eastAsia="zh-CN"/>
              </w:rPr>
              <w:t>破碎车间</w:t>
            </w:r>
          </w:p>
        </w:tc>
        <w:tc>
          <w:tcPr>
            <w:tcW w:w="1109"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80" w:lineRule="exact"/>
              <w:jc w:val="center"/>
              <w:rPr>
                <w:rFonts w:hint="default" w:ascii="Times New Roman" w:hAnsi="Times New Roman" w:eastAsia="宋体" w:cs="Times New Roman"/>
                <w:b w:val="0"/>
                <w:bCs/>
                <w:color w:val="auto"/>
                <w:lang w:eastAsia="zh-CN"/>
              </w:rPr>
            </w:pPr>
            <w:r>
              <w:rPr>
                <w:rFonts w:hint="default" w:ascii="Times New Roman" w:hAnsi="Times New Roman" w:eastAsia="宋体" w:cs="Times New Roman"/>
                <w:b w:val="0"/>
                <w:bCs/>
                <w:color w:val="auto"/>
                <w:lang w:eastAsia="zh-CN"/>
              </w:rPr>
              <w:t>颗粒物</w:t>
            </w:r>
          </w:p>
        </w:tc>
        <w:tc>
          <w:tcPr>
            <w:tcW w:w="839"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470</w:t>
            </w:r>
          </w:p>
        </w:tc>
        <w:tc>
          <w:tcPr>
            <w:tcW w:w="84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0.021</w:t>
            </w:r>
          </w:p>
        </w:tc>
        <w:tc>
          <w:tcPr>
            <w:tcW w:w="811"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1.85</w:t>
            </w:r>
          </w:p>
        </w:tc>
        <w:tc>
          <w:tcPr>
            <w:tcW w:w="89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0.84</w:t>
            </w:r>
          </w:p>
        </w:tc>
        <w:tc>
          <w:tcPr>
            <w:tcW w:w="966"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0.174</w:t>
            </w:r>
          </w:p>
        </w:tc>
        <w:tc>
          <w:tcPr>
            <w:tcW w:w="953"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0.15</w:t>
            </w:r>
          </w:p>
        </w:tc>
        <w:tc>
          <w:tcPr>
            <w:tcW w:w="891"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4.485</w:t>
            </w:r>
          </w:p>
        </w:tc>
        <w:tc>
          <w:tcPr>
            <w:tcW w:w="893" w:type="dxa"/>
            <w:tcBorders>
              <w:top w:val="single" w:color="auto" w:sz="4" w:space="0"/>
              <w:left w:val="single" w:color="auto" w:sz="4" w:space="0"/>
              <w:bottom w:val="single" w:color="auto" w:sz="4" w:space="0"/>
              <w:right w:val="nil"/>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rPr>
            </w:pPr>
            <w:r>
              <w:rPr>
                <w:rFonts w:hint="default" w:ascii="Times New Roman" w:hAnsi="Times New Roman" w:eastAsia="宋体" w:cs="Times New Roman"/>
                <w:b w:val="0"/>
                <w:bCs/>
                <w:color w:val="auto"/>
              </w:rPr>
              <w:t>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68" w:type="dxa"/>
            <w:tcBorders>
              <w:top w:val="single" w:color="auto" w:sz="4" w:space="0"/>
              <w:left w:val="nil"/>
              <w:bottom w:val="single" w:color="auto" w:sz="4" w:space="0"/>
              <w:right w:val="single" w:color="auto" w:sz="4" w:space="0"/>
              <w:tl2br w:val="nil"/>
              <w:tr2bl w:val="nil"/>
            </w:tcBorders>
            <w:noWrap/>
            <w:vAlign w:val="center"/>
          </w:tcPr>
          <w:p>
            <w:pPr>
              <w:widowControl/>
              <w:spacing w:line="280" w:lineRule="exact"/>
              <w:jc w:val="center"/>
              <w:rPr>
                <w:rFonts w:hint="default" w:ascii="Times New Roman" w:hAnsi="Times New Roman" w:eastAsia="宋体" w:cs="Times New Roman"/>
                <w:b w:val="0"/>
                <w:bCs/>
                <w:color w:val="auto"/>
                <w:lang w:eastAsia="zh-CN"/>
              </w:rPr>
            </w:pPr>
            <w:r>
              <w:rPr>
                <w:rFonts w:hint="eastAsia" w:ascii="Times New Roman" w:hAnsi="Times New Roman" w:eastAsia="宋体" w:cs="Times New Roman"/>
                <w:b w:val="0"/>
                <w:bCs/>
                <w:color w:val="auto"/>
                <w:lang w:eastAsia="zh-CN"/>
              </w:rPr>
              <w:t>尾矿</w:t>
            </w:r>
            <w:r>
              <w:rPr>
                <w:rFonts w:hint="default" w:ascii="Times New Roman" w:hAnsi="Times New Roman" w:eastAsia="宋体" w:cs="Times New Roman"/>
                <w:b w:val="0"/>
                <w:bCs/>
                <w:color w:val="auto"/>
                <w:lang w:eastAsia="zh-CN"/>
              </w:rPr>
              <w:t>仓</w:t>
            </w:r>
          </w:p>
        </w:tc>
        <w:tc>
          <w:tcPr>
            <w:tcW w:w="1109"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80" w:lineRule="exact"/>
              <w:jc w:val="center"/>
              <w:rPr>
                <w:rFonts w:hint="default" w:ascii="Times New Roman" w:hAnsi="Times New Roman" w:eastAsia="宋体" w:cs="Times New Roman"/>
                <w:b w:val="0"/>
                <w:bCs/>
                <w:color w:val="auto"/>
                <w:lang w:eastAsia="zh-CN"/>
              </w:rPr>
            </w:pPr>
            <w:r>
              <w:rPr>
                <w:rFonts w:hint="default" w:ascii="Times New Roman" w:hAnsi="Times New Roman" w:eastAsia="宋体" w:cs="Times New Roman"/>
                <w:b w:val="0"/>
                <w:bCs/>
                <w:color w:val="auto"/>
                <w:lang w:eastAsia="zh-CN"/>
              </w:rPr>
              <w:t>颗粒物</w:t>
            </w:r>
          </w:p>
        </w:tc>
        <w:tc>
          <w:tcPr>
            <w:tcW w:w="839"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470</w:t>
            </w:r>
          </w:p>
        </w:tc>
        <w:tc>
          <w:tcPr>
            <w:tcW w:w="846"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0.021</w:t>
            </w:r>
          </w:p>
        </w:tc>
        <w:tc>
          <w:tcPr>
            <w:tcW w:w="811"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1.85</w:t>
            </w:r>
          </w:p>
        </w:tc>
        <w:tc>
          <w:tcPr>
            <w:tcW w:w="895" w:type="dxa"/>
            <w:tcBorders>
              <w:top w:val="single" w:color="auto" w:sz="4" w:space="0"/>
              <w:left w:val="single" w:color="auto" w:sz="4" w:space="0"/>
              <w:bottom w:val="single" w:color="auto" w:sz="4" w:space="0"/>
              <w:right w:val="single" w:color="auto" w:sz="4" w:space="0"/>
              <w:tl2br w:val="nil"/>
              <w:tr2bl w:val="nil"/>
            </w:tcBorders>
            <w:noWrap/>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0.84</w:t>
            </w:r>
          </w:p>
        </w:tc>
        <w:tc>
          <w:tcPr>
            <w:tcW w:w="966"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0.16</w:t>
            </w:r>
          </w:p>
        </w:tc>
        <w:tc>
          <w:tcPr>
            <w:tcW w:w="953"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0.15</w:t>
            </w:r>
          </w:p>
        </w:tc>
        <w:tc>
          <w:tcPr>
            <w:tcW w:w="891" w:type="dxa"/>
            <w:tcBorders>
              <w:top w:val="single" w:color="auto" w:sz="4" w:space="0"/>
              <w:left w:val="single" w:color="auto" w:sz="4" w:space="0"/>
              <w:bottom w:val="single" w:color="auto" w:sz="4" w:space="0"/>
              <w:right w:val="single" w:color="auto" w:sz="4" w:space="0"/>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3.973</w:t>
            </w:r>
          </w:p>
        </w:tc>
        <w:tc>
          <w:tcPr>
            <w:tcW w:w="893" w:type="dxa"/>
            <w:tcBorders>
              <w:top w:val="single" w:color="auto" w:sz="4" w:space="0"/>
              <w:left w:val="single" w:color="auto" w:sz="4" w:space="0"/>
              <w:bottom w:val="single" w:color="auto" w:sz="4" w:space="0"/>
              <w:right w:val="nil"/>
              <w:tl2br w:val="nil"/>
              <w:tr2bl w:val="nil"/>
            </w:tcBorders>
            <w:noWrap/>
            <w:vAlign w:val="center"/>
          </w:tcPr>
          <w:p>
            <w:pPr>
              <w:widowControl/>
              <w:spacing w:line="240" w:lineRule="exact"/>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50</w:t>
            </w:r>
          </w:p>
        </w:tc>
      </w:tr>
    </w:tbl>
    <w:p>
      <w:pPr>
        <w:spacing w:beforeLines="50" w:line="48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根据计算，本项目最大卫生防护距离计算结果为</w:t>
      </w:r>
      <w:r>
        <w:rPr>
          <w:rFonts w:hint="default" w:ascii="Times New Roman" w:hAnsi="Times New Roman" w:eastAsia="宋体" w:cs="Times New Roman"/>
          <w:color w:val="auto"/>
          <w:sz w:val="24"/>
          <w:lang w:val="en-US" w:eastAsia="zh-CN"/>
        </w:rPr>
        <w:t>0.324</w:t>
      </w:r>
      <w:r>
        <w:rPr>
          <w:rFonts w:hint="default" w:ascii="Times New Roman" w:hAnsi="Times New Roman" w:eastAsia="宋体" w:cs="Times New Roman"/>
          <w:color w:val="auto"/>
          <w:sz w:val="24"/>
          <w:lang w:eastAsia="zh-CN"/>
        </w:rPr>
        <w:t>m ，根据卫生防护距离确定原则，100m以内级差为50m，提级后卫生防护距离均为50m。环评建议以破碎车间和</w:t>
      </w:r>
      <w:r>
        <w:rPr>
          <w:rFonts w:hint="eastAsia" w:ascii="Times New Roman" w:hAnsi="Times New Roman" w:eastAsia="宋体" w:cs="Times New Roman"/>
          <w:color w:val="auto"/>
          <w:sz w:val="24"/>
          <w:lang w:eastAsia="zh-CN"/>
        </w:rPr>
        <w:t>尾矿</w:t>
      </w:r>
      <w:r>
        <w:rPr>
          <w:rFonts w:hint="default" w:ascii="Times New Roman" w:hAnsi="Times New Roman" w:eastAsia="宋体" w:cs="Times New Roman"/>
          <w:color w:val="auto"/>
          <w:sz w:val="24"/>
          <w:lang w:eastAsia="zh-CN"/>
        </w:rPr>
        <w:t>仓为单元卫生防护距离为车间外50m范围。</w:t>
      </w:r>
    </w:p>
    <w:p>
      <w:pPr>
        <w:spacing w:beforeLines="50" w:line="480" w:lineRule="exact"/>
        <w:ind w:firstLine="480" w:firstLineChars="200"/>
        <w:rPr>
          <w:rFonts w:hint="default" w:ascii="Times New Roman" w:hAnsi="Times New Roman" w:eastAsia="宋体" w:cs="Times New Roman"/>
          <w:color w:val="auto"/>
          <w:lang w:val="en-US" w:eastAsia="zh-CN"/>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sz w:val="24"/>
          <w:lang w:eastAsia="zh-CN"/>
        </w:rPr>
        <w:t>现场调查可知，项目破碎车间和</w:t>
      </w:r>
      <w:r>
        <w:rPr>
          <w:rFonts w:hint="eastAsia" w:ascii="Times New Roman" w:hAnsi="Times New Roman" w:eastAsia="宋体" w:cs="Times New Roman"/>
          <w:color w:val="auto"/>
          <w:sz w:val="24"/>
          <w:lang w:eastAsia="zh-CN"/>
        </w:rPr>
        <w:t>尾矿</w:t>
      </w:r>
      <w:r>
        <w:rPr>
          <w:rFonts w:hint="default" w:ascii="Times New Roman" w:hAnsi="Times New Roman" w:eastAsia="宋体" w:cs="Times New Roman"/>
          <w:color w:val="auto"/>
          <w:sz w:val="24"/>
          <w:lang w:eastAsia="zh-CN"/>
        </w:rPr>
        <w:t>仓周围</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eastAsia="zh-CN"/>
        </w:rPr>
        <w:t>0m范围内无居民点、饮用水源地等，项目选址符合防护距离的要求，环评要求防护距离范围内不得新建居民住宅、</w:t>
      </w:r>
      <w:r>
        <w:rPr>
          <w:rFonts w:hint="default" w:ascii="Times New Roman" w:hAnsi="Times New Roman" w:eastAsia="宋体" w:cs="Times New Roman"/>
          <w:color w:val="auto"/>
          <w:sz w:val="24"/>
          <w:lang w:val="en-US" w:eastAsia="zh-CN"/>
        </w:rPr>
        <w:t>学校、医院等环境敏感建筑</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eastAsia="zh-CN"/>
        </w:rPr>
        <w:t>卫生防护距离包络线图见图</w:t>
      </w:r>
      <w:r>
        <w:rPr>
          <w:rFonts w:hint="default" w:ascii="Times New Roman" w:hAnsi="Times New Roman" w:eastAsia="宋体" w:cs="Times New Roman"/>
          <w:color w:val="auto"/>
          <w:sz w:val="24"/>
          <w:lang w:val="en-US" w:eastAsia="zh-CN"/>
        </w:rPr>
        <w:t>5.2-1。</w:t>
      </w:r>
    </w:p>
    <w:p>
      <w:pPr>
        <w:jc w:val="center"/>
        <w:rPr>
          <w:rFonts w:hint="default" w:ascii="Times New Roman" w:hAnsi="Times New Roman" w:eastAsia="宋体" w:cs="Times New Roman"/>
          <w:color w:val="auto"/>
          <w:szCs w:val="21"/>
        </w:rPr>
      </w:pPr>
    </w:p>
    <w:p>
      <w:pPr>
        <w:jc w:val="center"/>
        <w:rPr>
          <w:rFonts w:hint="default" w:ascii="Times New Roman" w:hAnsi="Times New Roman" w:eastAsia="宋体" w:cs="Times New Roman"/>
          <w:color w:val="auto"/>
        </w:rPr>
      </w:pPr>
      <w:r>
        <w:rPr>
          <w:rFonts w:hint="default" w:ascii="Times New Roman" w:hAnsi="Times New Roman" w:eastAsia="宋体" w:cs="Times New Roman"/>
          <w:color w:val="auto"/>
          <w:sz w:val="21"/>
        </w:rPr>
        <w:pict>
          <v:shape id="_x0000_s2970" o:spid="_x0000_s2970" style="position:absolute;left:0pt;margin-left:337.8pt;margin-top:164.55pt;height:18.35pt;width:43.1pt;rotation:-4653056f;z-index:251864064;mso-width-relative:page;mso-height-relative:page;" filled="f" stroked="t" coordsize="436,187" path="m0,24hbc20,19,65,4,109,2hbc153,0,174,1,218,14hbc262,27,283,32,327,67hbc371,102,416,164,436,187hbe">
            <v:path arrowok="t"/>
            <v:fill on="f" focussize="0,0"/>
            <v:stroke color="#FFC000"/>
            <v:imagedata o:title=""/>
            <o:lock v:ext="edit" aspectratio="f"/>
          </v:shape>
        </w:pict>
      </w:r>
      <w:r>
        <w:rPr>
          <w:rFonts w:hint="default" w:ascii="Times New Roman" w:hAnsi="Times New Roman" w:eastAsia="宋体" w:cs="Times New Roman"/>
          <w:color w:val="auto"/>
          <w:sz w:val="21"/>
        </w:rPr>
        <w:pict>
          <v:line id="_x0000_s2965" o:spid="_x0000_s2965" o:spt="20" style="position:absolute;left:0pt;margin-left:433.2pt;margin-top:163.5pt;height:40.25pt;width:11.2pt;z-index:251858944;mso-width-relative:page;mso-height-relative:page;" filled="f" stroked="t" coordsize="21600,21600">
            <v:path arrowok="t"/>
            <v:fill on="f" focussize="0,0"/>
            <v:stroke color="#FFC000"/>
            <v:imagedata o:title=""/>
            <o:lock v:ext="edit" aspectratio="f"/>
          </v:line>
        </w:pict>
      </w:r>
      <w:r>
        <w:rPr>
          <w:rFonts w:hint="default" w:ascii="Times New Roman" w:hAnsi="Times New Roman" w:eastAsia="宋体" w:cs="Times New Roman"/>
          <w:color w:val="auto"/>
          <w:sz w:val="21"/>
        </w:rPr>
        <w:pict>
          <v:shape id="_x0000_s2969" o:spid="_x0000_s2969" style="position:absolute;left:0pt;margin-left:398.75pt;margin-top:148.65pt;height:15.35pt;width:35.05pt;z-index:251863040;mso-width-relative:page;mso-height-relative:page;" filled="f" stroked="t" coordsize="436,187" path="m0,24hbc20,19,65,4,109,2hbc153,0,174,1,218,14hbc262,27,283,32,327,67hbc371,102,416,164,436,187hbe">
            <v:path arrowok="t"/>
            <v:fill on="f" focussize="0,0"/>
            <v:stroke color="#FFC000"/>
            <v:imagedata o:title=""/>
            <o:lock v:ext="edit" aspectratio="f"/>
          </v:shape>
        </w:pict>
      </w:r>
      <w:r>
        <w:rPr>
          <w:rFonts w:hint="default" w:ascii="Times New Roman" w:hAnsi="Times New Roman" w:eastAsia="宋体" w:cs="Times New Roman"/>
          <w:color w:val="auto"/>
          <w:sz w:val="21"/>
        </w:rPr>
        <w:pict>
          <v:shape id="_x0000_s2968" o:spid="_x0000_s2968" style="position:absolute;left:0pt;margin-left:410.4pt;margin-top:210.75pt;height:18.35pt;width:43.1pt;rotation:6881280f;z-index:251862016;mso-width-relative:page;mso-height-relative:page;" filled="f" stroked="t" coordsize="436,187" path="m0,24hbc20,19,65,4,109,2hbc153,0,174,1,218,14hbc262,27,283,32,327,67hbc371,102,416,164,436,187hbe">
            <v:path arrowok="t"/>
            <v:fill on="f" focussize="0,0"/>
            <v:stroke color="#FFC000"/>
            <v:imagedata o:title=""/>
            <o:lock v:ext="edit" aspectratio="f"/>
          </v:shape>
        </w:pict>
      </w:r>
      <w:r>
        <w:rPr>
          <w:rFonts w:hint="default" w:ascii="Times New Roman" w:hAnsi="Times New Roman" w:eastAsia="宋体" w:cs="Times New Roman"/>
          <w:color w:val="auto"/>
          <w:sz w:val="21"/>
        </w:rPr>
        <w:pict>
          <v:line id="_x0000_s2964" o:spid="_x0000_s2964" o:spt="20" style="position:absolute;left:0pt;flip:y;margin-left:393.55pt;margin-top:237.35pt;height:7.1pt;width:26.2pt;z-index:251857920;mso-width-relative:page;mso-height-relative:page;" filled="f" stroked="t" coordsize="21600,21600">
            <v:path arrowok="t"/>
            <v:fill on="f" focussize="0,0"/>
            <v:stroke color="#FFC000"/>
            <v:imagedata o:title=""/>
            <o:lock v:ext="edit" aspectratio="f"/>
          </v:line>
        </w:pict>
      </w:r>
      <w:r>
        <w:rPr>
          <w:rFonts w:hint="default" w:ascii="Times New Roman" w:hAnsi="Times New Roman" w:eastAsia="宋体" w:cs="Times New Roman"/>
          <w:color w:val="auto"/>
          <w:sz w:val="21"/>
        </w:rPr>
        <w:pict>
          <v:shape id="_x0000_s2967" o:spid="_x0000_s2967" style="position:absolute;left:0pt;margin-left:355.2pt;margin-top:226.95pt;height:18.35pt;width:43.1pt;rotation:11796480f;z-index:251860992;mso-width-relative:page;mso-height-relative:page;" filled="f" stroked="t" coordsize="436,187" path="m0,24hbc20,19,65,4,109,2hbc153,0,174,1,218,14hbc262,27,283,32,327,67hbc371,102,416,164,436,187hbe">
            <v:path arrowok="t"/>
            <v:fill on="f" focussize="0,0"/>
            <v:stroke color="#FFC000"/>
            <v:imagedata o:title=""/>
            <o:lock v:ext="edit" aspectratio="f"/>
          </v:shape>
        </w:pict>
      </w:r>
      <w:r>
        <w:rPr>
          <w:rFonts w:hint="default" w:ascii="Times New Roman" w:hAnsi="Times New Roman" w:eastAsia="宋体" w:cs="Times New Roman"/>
          <w:color w:val="auto"/>
          <w:sz w:val="21"/>
        </w:rPr>
        <w:pict>
          <v:line id="_x0000_s2966" o:spid="_x0000_s2966" o:spt="20" style="position:absolute;left:0pt;margin-left:345.5pt;margin-top:191.6pt;height:37.95pt;width:10.7pt;z-index:251859968;mso-width-relative:page;mso-height-relative:page;" filled="f" stroked="t" coordsize="21600,21600">
            <v:path arrowok="t"/>
            <v:fill on="f" focussize="0,0"/>
            <v:stroke color="#FFC000"/>
            <v:imagedata o:title=""/>
            <o:lock v:ext="edit" aspectratio="f"/>
          </v:line>
        </w:pict>
      </w:r>
      <w:r>
        <w:rPr>
          <w:rFonts w:hint="default" w:ascii="Times New Roman" w:hAnsi="Times New Roman" w:eastAsia="宋体" w:cs="Times New Roman"/>
          <w:color w:val="auto"/>
          <w:sz w:val="28"/>
        </w:rPr>
        <w:pict>
          <v:shape id="_x0000_s2499" o:spid="_x0000_s2499" o:spt="202" type="#_x0000_t202" style="position:absolute;left:0pt;margin-left:309.95pt;margin-top:101.7pt;height:19.65pt;width:54.8pt;rotation:-1638400f;z-index:251665408;mso-width-relative:page;mso-height-relative:page;" filled="f" stroked="f" coordsize="21600,21600" o:gfxdata="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lvQZ32AAAAAsBAAAPAAAAAAAAAAEAIAAAACIA&#10;AABkcnMvZG93bnJldi54bWxQSwECFAAUAAAACACHTuJAK+HfiEICAAB2BAAADgAAAAAAAAABACAA&#10;AAAnAQAAZHJzL2Uyb0RvYy54bWxQSwUGAAAAAAYABgBZAQAA2wUAAAAA&#10;">
            <v:path/>
            <v:fill on="f" focussize="0,0"/>
            <v:stroke on="f" weight="0.5pt"/>
            <v:imagedata o:title=""/>
            <o:lock v:ext="edit" aspectratio="f"/>
            <v:textbox>
              <w:txbxContent>
                <w:p>
                  <w:pPr>
                    <w:rPr>
                      <w:b/>
                      <w:bCs/>
                      <w:color w:val="FFFF00"/>
                    </w:rPr>
                  </w:pPr>
                  <w:r>
                    <w:rPr>
                      <w:rFonts w:hint="eastAsia"/>
                      <w:b/>
                      <w:bCs/>
                      <w:color w:val="FFFF00"/>
                    </w:rPr>
                    <w:t>D=</w:t>
                  </w:r>
                  <w:r>
                    <w:rPr>
                      <w:rFonts w:hint="eastAsia"/>
                      <w:b/>
                      <w:bCs/>
                      <w:color w:val="FFFF00"/>
                      <w:lang w:val="en-US" w:eastAsia="zh-CN"/>
                    </w:rPr>
                    <w:t>5</w:t>
                  </w:r>
                  <w:r>
                    <w:rPr>
                      <w:rFonts w:hint="eastAsia"/>
                      <w:b/>
                      <w:bCs/>
                      <w:color w:val="FFFF00"/>
                    </w:rPr>
                    <w:t>0m</w:t>
                  </w:r>
                </w:p>
              </w:txbxContent>
            </v:textbox>
          </v:shape>
        </w:pict>
      </w:r>
      <w:r>
        <w:rPr>
          <w:rFonts w:hint="default" w:ascii="Times New Roman" w:hAnsi="Times New Roman" w:eastAsia="宋体" w:cs="Times New Roman"/>
          <w:color w:val="auto"/>
          <w:sz w:val="21"/>
        </w:rPr>
        <w:pict>
          <v:line id="_x0000_s2963" o:spid="_x0000_s2963" o:spt="20" style="position:absolute;left:0pt;flip:y;margin-left:373.15pt;margin-top:150.35pt;height:7.1pt;width:26.2pt;z-index:251856896;mso-width-relative:page;mso-height-relative:page;" filled="f" stroked="t" coordsize="21600,21600">
            <v:path arrowok="t"/>
            <v:fill on="f" focussize="0,0"/>
            <v:stroke color="#FFC000"/>
            <v:imagedata o:title=""/>
            <o:lock v:ext="edit" aspectratio="f"/>
          </v:line>
        </w:pict>
      </w:r>
      <w:r>
        <w:rPr>
          <w:rFonts w:hint="default" w:ascii="Times New Roman" w:hAnsi="Times New Roman" w:eastAsia="宋体" w:cs="Times New Roman"/>
          <w:color w:val="auto"/>
        </w:rPr>
        <w:pict>
          <v:rect id="_x0000_s2962" o:spid="_x0000_s2962" o:spt="1" style="position:absolute;left:0pt;margin-left:549.4pt;margin-top:330.15pt;height:7.25pt;width:9.55pt;rotation:-1769472f;z-index:251855872;v-text-anchor:middle;mso-width-relative:page;mso-height-relative:page;" filled="f" stroked="t" coordsize="21600,21600">
            <v:path/>
            <v:fill on="f" focussize="0,0"/>
            <v:stroke weight="1.5pt" color="#7030A0" joinstyle="round"/>
            <v:imagedata o:title=""/>
            <o:lock v:ext="edit" aspectratio="f"/>
          </v:rect>
        </w:pict>
      </w:r>
      <w:r>
        <w:rPr>
          <w:rFonts w:hint="default" w:ascii="Times New Roman" w:hAnsi="Times New Roman" w:eastAsia="宋体" w:cs="Times New Roman"/>
          <w:color w:val="auto"/>
        </w:rPr>
        <w:pict>
          <v:rect id="_x0000_s2599" o:spid="_x0000_s2599" o:spt="1" style="position:absolute;left:0pt;margin-left:548.7pt;margin-top:344.45pt;height:7.25pt;width:9.55pt;rotation:-1769472f;z-index:251693056;v-text-anchor:middle;mso-width-relative:page;mso-height-relative:page;" filled="f" stroked="t" coordsize="21600,21600" o:gfxdata="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KZOKzfZAAAADQEAAA8AAAAAAAAAAQAgAAAAIgAAAGRycy9kb3ducmV2LnhtbFBL&#10;AQIUABQAAAAIAIdO4kAw/L6XZwIAAMUEAAAOAAAAAAAAAAEAIAAAACgBAABkcnMvZTJvRG9jLnht&#10;bFBLBQYAAAAABgAGAFkBAAABBgAAAAA=&#10;">
            <v:path/>
            <v:fill on="f" focussize="0,0"/>
            <v:stroke weight="1.5pt" color="#FFC000" joinstyle="round"/>
            <v:imagedata o:title=""/>
            <o:lock v:ext="edit"/>
          </v:rect>
        </w:pict>
      </w:r>
      <w:r>
        <w:rPr>
          <w:rFonts w:hint="default" w:ascii="Times New Roman" w:hAnsi="Times New Roman" w:eastAsia="宋体" w:cs="Times New Roman"/>
          <w:color w:val="auto"/>
        </w:rPr>
        <w:pict>
          <v:rect id="_x0000_s2961" o:spid="_x0000_s2961" o:spt="1" style="position:absolute;left:0pt;margin-left:381.55pt;margin-top:187.2pt;height:16.95pt;width:25.65pt;rotation:-6881280f;z-index:251854848;v-text-anchor:middle;mso-width-relative:page;mso-height-relative:page;" filled="f" stroked="t" coordsize="21600,21600">
            <v:path/>
            <v:fill on="f" focussize="0,0"/>
            <v:stroke weight="1.5pt" color="#7030A0" joinstyle="round"/>
            <v:imagedata o:title=""/>
            <o:lock v:ext="edit" aspectratio="f"/>
          </v:rect>
        </w:pict>
      </w:r>
      <w:r>
        <w:rPr>
          <w:rFonts w:hint="default" w:ascii="Times New Roman" w:hAnsi="Times New Roman" w:eastAsia="宋体" w:cs="Times New Roman"/>
          <w:color w:val="auto"/>
          <w:sz w:val="21"/>
        </w:rPr>
        <w:pict>
          <v:line id="_x0000_s2601" o:spid="_x0000_s2601" o:spt="20" style="position:absolute;left:0pt;flip:y;margin-left:343.5pt;margin-top:198.65pt;height:10.65pt;width:37.95pt;z-index:251698176;mso-width-relative:page;mso-height-relative:page;" filled="f" stroked="t" coordsize="21600,21600">
            <v:path arrowok="t"/>
            <v:fill on="f" focussize="0,0"/>
            <v:stroke color="#FFC000"/>
            <v:imagedata o:title=""/>
            <o:lock v:ext="edit" aspectratio="f"/>
          </v:line>
        </w:pict>
      </w:r>
      <w:r>
        <w:rPr>
          <w:rFonts w:hint="default" w:ascii="Times New Roman" w:hAnsi="Times New Roman" w:eastAsia="宋体" w:cs="Times New Roman"/>
          <w:color w:val="auto"/>
          <w:sz w:val="21"/>
        </w:rPr>
        <w:pict>
          <v:shape id="_x0000_s2960" o:spid="_x0000_s2960" style="position:absolute;left:0pt;margin-left:370.8pt;margin-top:172.95pt;height:18.35pt;width:43.1pt;rotation:6881280f;z-index:251853824;mso-width-relative:page;mso-height-relative:page;" filled="f" stroked="t" coordsize="436,187" path="m0,24hbc20,19,65,4,109,2hbc153,0,174,1,218,14hbc262,27,283,32,327,67hbc371,102,416,164,436,187hbe">
            <v:path arrowok="t"/>
            <v:fill on="f" focussize="0,0"/>
            <v:stroke color="#FFC000"/>
            <v:imagedata o:title=""/>
            <o:lock v:ext="edit" aspectratio="f"/>
          </v:shape>
        </w:pict>
      </w:r>
      <w:r>
        <w:rPr>
          <w:rFonts w:hint="default" w:ascii="Times New Roman" w:hAnsi="Times New Roman" w:eastAsia="宋体" w:cs="Times New Roman"/>
          <w:color w:val="auto"/>
          <w:sz w:val="21"/>
        </w:rPr>
        <w:pict>
          <v:shape id="_x0000_s2819" o:spid="_x0000_s2819" style="position:absolute;left:0pt;margin-left:300.6pt;margin-top:192.75pt;height:18.35pt;width:43.1pt;rotation:11796480f;z-index:251722752;mso-width-relative:page;mso-height-relative:page;" filled="f" stroked="t" coordsize="436,187" path="m0,24hbc20,19,65,4,109,2hbc153,0,174,1,218,14hbc262,27,283,32,327,67hbc371,102,416,164,436,187hbe">
            <v:path arrowok="t"/>
            <v:fill on="f" focussize="0,0"/>
            <v:stroke color="#FFC000"/>
            <v:imagedata o:title=""/>
            <o:lock v:ext="edit" aspectratio="f"/>
          </v:shape>
        </w:pict>
      </w:r>
      <w:r>
        <w:rPr>
          <w:rFonts w:hint="default" w:ascii="Times New Roman" w:hAnsi="Times New Roman" w:eastAsia="宋体" w:cs="Times New Roman"/>
          <w:color w:val="auto"/>
          <w:sz w:val="21"/>
        </w:rPr>
        <w:pict>
          <v:shape id="_x0000_s2818" o:spid="_x0000_s2818" style="position:absolute;left:0pt;margin-left:285.25pt;margin-top:136.85pt;height:27.15pt;width:36.9pt;rotation:-6160384f;z-index:251721728;mso-width-relative:page;mso-height-relative:page;" filled="f" stroked="t" coordsize="436,187" path="m0,24hbc20,19,65,4,109,2hbc153,0,174,1,218,14hbc262,27,283,32,327,67hbc371,102,416,164,436,187hbe">
            <v:path arrowok="t"/>
            <v:fill on="f" focussize="0,0"/>
            <v:stroke color="#FFC000"/>
            <v:imagedata o:title=""/>
            <o:lock v:ext="edit" aspectratio="f"/>
          </v:shape>
        </w:pict>
      </w:r>
      <w:r>
        <w:rPr>
          <w:rFonts w:hint="default" w:ascii="Times New Roman" w:hAnsi="Times New Roman" w:eastAsia="宋体" w:cs="Times New Roman"/>
          <w:color w:val="auto"/>
          <w:sz w:val="21"/>
        </w:rPr>
        <w:pict>
          <v:shape id="_x0000_s2751" o:spid="_x0000_s2751" style="position:absolute;left:0pt;margin-left:356.75pt;margin-top:117.45pt;height:21.35pt;width:41.6pt;z-index:251703296;mso-width-relative:page;mso-height-relative:page;" filled="f" stroked="t" coordsize="436,187" path="m0,24hbc20,19,65,4,109,2hbc153,0,174,1,218,14hbc262,27,283,32,327,67hbc371,102,416,164,436,187hbe">
            <v:path arrowok="t"/>
            <v:fill on="f" focussize="0,0"/>
            <v:stroke color="#FFC000"/>
            <v:imagedata o:title=""/>
            <o:lock v:ext="edit" aspectratio="f"/>
          </v:shape>
        </w:pict>
      </w:r>
      <w:r>
        <w:rPr>
          <w:rFonts w:hint="default" w:ascii="Times New Roman" w:hAnsi="Times New Roman" w:eastAsia="宋体" w:cs="Times New Roman"/>
          <w:color w:val="auto"/>
          <w:sz w:val="21"/>
        </w:rPr>
        <w:pict>
          <v:line id="_x0000_s2609" o:spid="_x0000_s2609" o:spt="20" style="position:absolute;left:0pt;margin-left:292.85pt;margin-top:166pt;height:26.8pt;width:7.85pt;z-index:251696128;mso-width-relative:page;mso-height-relative:page;" filled="f" stroked="t" coordsize="21600,21600">
            <v:path arrowok="t"/>
            <v:fill on="f" focussize="0,0"/>
            <v:stroke color="#FFC000"/>
            <v:imagedata o:title=""/>
            <o:lock v:ext="edit" aspectratio="f"/>
          </v:line>
        </w:pict>
      </w:r>
      <w:r>
        <w:rPr>
          <w:rFonts w:hint="default" w:ascii="Times New Roman" w:hAnsi="Times New Roman" w:eastAsia="宋体" w:cs="Times New Roman"/>
          <w:color w:val="auto"/>
          <w:sz w:val="21"/>
        </w:rPr>
        <w:pict>
          <v:line id="_x0000_s2608" o:spid="_x0000_s2608" o:spt="20" style="position:absolute;left:0pt;flip:y;margin-left:315.6pt;margin-top:120.35pt;height:11.3pt;width:41.15pt;z-index:251695104;mso-width-relative:page;mso-height-relative:page;" filled="f" stroked="t" coordsize="21600,21600">
            <v:path arrowok="t"/>
            <v:fill on="f" focussize="0,0"/>
            <v:stroke color="#FFC000"/>
            <v:imagedata o:title=""/>
            <o:lock v:ext="edit" aspectratio="f"/>
          </v:line>
        </w:pict>
      </w:r>
      <w:r>
        <w:rPr>
          <w:rFonts w:hint="default" w:ascii="Times New Roman" w:hAnsi="Times New Roman" w:eastAsia="宋体" w:cs="Times New Roman"/>
          <w:color w:val="auto"/>
          <w:sz w:val="21"/>
        </w:rPr>
        <w:pict>
          <v:line id="_x0000_s2606" o:spid="_x0000_s2606" o:spt="20" style="position:absolute;left:0pt;margin-left:397.9pt;margin-top:137.5pt;height:26.75pt;width:7pt;z-index:251697152;mso-width-relative:page;mso-height-relative:page;" filled="f" stroked="t" coordsize="21600,21600">
            <v:path arrowok="t"/>
            <v:fill on="f" focussize="0,0"/>
            <v:stroke color="#FFC000"/>
            <v:imagedata o:title=""/>
            <o:lock v:ext="edit" aspectratio="f"/>
          </v:line>
        </w:pict>
      </w:r>
      <w:r>
        <w:rPr>
          <w:rFonts w:hint="default" w:ascii="Times New Roman" w:hAnsi="Times New Roman" w:eastAsia="宋体" w:cs="Times New Roman"/>
          <w:color w:val="auto"/>
        </w:rPr>
        <w:pict>
          <v:rect id="_x0000_s2816" o:spid="_x0000_s2816" o:spt="1" style="position:absolute;left:0pt;margin-left:325.9pt;margin-top:151pt;height:26.95pt;width:44.45pt;rotation:-1048576f;z-index:251720704;v-text-anchor:middle;mso-width-relative:page;mso-height-relative:page;" filled="f" stroked="t" coordsize="21600,21600">
            <v:path/>
            <v:fill on="f" focussize="0,0"/>
            <v:stroke weight="1.5pt" color="#FF0000" joinstyle="round"/>
            <v:imagedata o:title=""/>
            <o:lock v:ext="edit" aspectratio="f"/>
          </v:rect>
        </w:pict>
      </w:r>
      <w:r>
        <w:rPr>
          <w:rFonts w:hint="default" w:ascii="Times New Roman" w:hAnsi="Times New Roman" w:eastAsia="宋体" w:cs="Times New Roman"/>
          <w:color w:val="auto"/>
        </w:rPr>
        <w:pict>
          <v:rect id="_x0000_s2598" o:spid="_x0000_s2598" o:spt="1" style="position:absolute;left:0pt;margin-left:548.8pt;margin-top:315.75pt;height:7.25pt;width:9.55pt;rotation:-1769472f;z-index:251699200;v-text-anchor:middle;mso-width-relative:page;mso-height-relative:page;" filled="f" stroked="t" coordsize="21600,21600">
            <v:path/>
            <v:fill on="f" focussize="0,0"/>
            <v:stroke weight="1.5pt" color="#FF0000" joinstyle="round"/>
            <v:imagedata o:title=""/>
            <o:lock v:ext="edit" aspectratio="f"/>
          </v:rect>
        </w:pict>
      </w:r>
      <w:r>
        <w:rPr>
          <w:rFonts w:hint="default" w:ascii="Times New Roman" w:hAnsi="Times New Roman" w:eastAsia="宋体" w:cs="Times New Roman"/>
          <w:color w:val="auto"/>
        </w:rPr>
        <w:pict>
          <v:shape id="_x0000_s2600" o:spid="_x0000_s2600" o:spt="202" type="#_x0000_t202" style="position:absolute;left:0pt;margin-left:533.6pt;margin-top:295.35pt;height:83.8pt;width:164.15pt;z-index:251692032;mso-width-relative:page;mso-height-relative:page;" fillcolor="#FFFFFF" filled="t" stroked="t" coordsize="21600,21600" o:gfxdata="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dBq+DY&#10;AAAADQEAAA8AAAAAAAAAAQAgAAAAIgAAAGRycy9kb3ducmV2LnhtbFBLAQIUABQAAAAIAIdO4kAp&#10;xUCEWQIAALwEAAAOAAAAAAAAAAEAIAAAACcBAABkcnMvZTJvRG9jLnhtbFBLBQYAAAAABgAGAFkB&#10;AADyBQAAAAA=&#10;">
            <v:path/>
            <v:fill on="t" color2="#FFFFFF" focussize="0,0"/>
            <v:stroke weight="0.5pt" color="#000000" joinstyle="round"/>
            <v:imagedata o:title=""/>
            <o:lock v:ext="edit" aspectratio="f"/>
            <v:textbox>
              <w:txbxContent>
                <w:p>
                  <w:pPr>
                    <w:jc w:val="center"/>
                  </w:pPr>
                  <w:r>
                    <w:rPr>
                      <w:rFonts w:hint="eastAsia"/>
                    </w:rPr>
                    <w:t>图例</w:t>
                  </w:r>
                </w:p>
                <w:p>
                  <w:pPr>
                    <w:ind w:firstLine="420" w:firstLineChars="200"/>
                    <w:rPr>
                      <w:rFonts w:hint="eastAsia"/>
                      <w:lang w:eastAsia="zh-CN"/>
                    </w:rPr>
                  </w:pPr>
                  <w:r>
                    <w:rPr>
                      <w:rFonts w:hint="eastAsia"/>
                      <w:lang w:eastAsia="zh-CN"/>
                    </w:rPr>
                    <w:t>破碎车间</w:t>
                  </w:r>
                </w:p>
                <w:p>
                  <w:pPr>
                    <w:ind w:firstLine="420" w:firstLineChars="200"/>
                  </w:pPr>
                  <w:r>
                    <w:rPr>
                      <w:rFonts w:hint="eastAsia"/>
                      <w:lang w:eastAsia="zh-CN"/>
                    </w:rPr>
                    <w:t>尾矿仓</w:t>
                  </w:r>
                </w:p>
                <w:p>
                  <w:pPr>
                    <w:pStyle w:val="36"/>
                    <w:ind w:firstLine="420" w:firstLineChars="20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 xml:space="preserve">卫生防护距离包络线 </w:t>
                  </w:r>
                </w:p>
                <w:p>
                  <w:pPr>
                    <w:pStyle w:val="36"/>
                    <w:ind w:firstLine="360" w:firstLineChars="200"/>
                  </w:pPr>
                  <w:r>
                    <w:rPr>
                      <w:rFonts w:hint="eastAsia"/>
                    </w:rPr>
                    <w:t xml:space="preserve">    </w:t>
                  </w:r>
                </w:p>
                <w:p>
                  <w:r>
                    <w:rPr>
                      <w:rFonts w:hint="eastAsia"/>
                    </w:rPr>
                    <w:t>比例尺1：</w:t>
                  </w:r>
                  <w:r>
                    <w:rPr>
                      <w:rFonts w:hint="eastAsia"/>
                      <w:lang w:val="en-US" w:eastAsia="zh-CN"/>
                    </w:rPr>
                    <w:t>5</w:t>
                  </w:r>
                  <w:r>
                    <w:rPr>
                      <w:rFonts w:hint="eastAsia"/>
                    </w:rPr>
                    <w:t>000</w:t>
                  </w:r>
                </w:p>
              </w:txbxContent>
            </v:textbox>
          </v:shape>
        </w:pict>
      </w:r>
      <w:r>
        <w:rPr>
          <w:rFonts w:hint="default" w:ascii="Times New Roman" w:hAnsi="Times New Roman" w:eastAsia="宋体" w:cs="Times New Roman"/>
        </w:rPr>
        <w:drawing>
          <wp:inline distT="0" distB="0" distL="114300" distR="114300">
            <wp:extent cx="8840470" cy="4858385"/>
            <wp:effectExtent l="0" t="0" r="13970" b="3175"/>
            <wp:docPr id="3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1"/>
                    <pic:cNvPicPr>
                      <a:picLocks noChangeAspect="1"/>
                    </pic:cNvPicPr>
                  </pic:nvPicPr>
                  <pic:blipFill>
                    <a:blip r:embed="rId27"/>
                    <a:srcRect t="8923" r="11276" b="4411"/>
                    <a:stretch>
                      <a:fillRect/>
                    </a:stretch>
                  </pic:blipFill>
                  <pic:spPr>
                    <a:xfrm>
                      <a:off x="0" y="0"/>
                      <a:ext cx="8840470" cy="4858385"/>
                    </a:xfrm>
                    <a:prstGeom prst="rect">
                      <a:avLst/>
                    </a:prstGeom>
                    <a:noFill/>
                    <a:ln>
                      <a:noFill/>
                    </a:ln>
                  </pic:spPr>
                </pic:pic>
              </a:graphicData>
            </a:graphic>
          </wp:inline>
        </w:drawing>
      </w:r>
      <w:r>
        <w:rPr>
          <w:rFonts w:hint="default" w:ascii="Times New Roman" w:hAnsi="Times New Roman" w:eastAsia="宋体" w:cs="Times New Roman"/>
          <w:color w:val="auto"/>
        </w:rPr>
        <w:drawing>
          <wp:anchor distT="0" distB="0" distL="114300" distR="114300" simplePos="0" relativeHeight="251700224" behindDoc="0" locked="0" layoutInCell="1" allowOverlap="1">
            <wp:simplePos x="0" y="0"/>
            <wp:positionH relativeFrom="column">
              <wp:posOffset>8234680</wp:posOffset>
            </wp:positionH>
            <wp:positionV relativeFrom="paragraph">
              <wp:posOffset>50800</wp:posOffset>
            </wp:positionV>
            <wp:extent cx="626745" cy="721995"/>
            <wp:effectExtent l="0" t="0" r="1905" b="1905"/>
            <wp:wrapNone/>
            <wp:docPr id="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
                    <pic:cNvPicPr>
                      <a:picLocks noChangeAspect="1"/>
                    </pic:cNvPicPr>
                  </pic:nvPicPr>
                  <pic:blipFill>
                    <a:blip r:embed="rId26"/>
                    <a:stretch>
                      <a:fillRect/>
                    </a:stretch>
                  </pic:blipFill>
                  <pic:spPr>
                    <a:xfrm>
                      <a:off x="0" y="0"/>
                      <a:ext cx="626745" cy="721995"/>
                    </a:xfrm>
                    <a:prstGeom prst="rect">
                      <a:avLst/>
                    </a:prstGeom>
                    <a:noFill/>
                    <a:ln>
                      <a:noFill/>
                    </a:ln>
                  </pic:spPr>
                </pic:pic>
              </a:graphicData>
            </a:graphic>
          </wp:anchor>
        </w:drawing>
      </w:r>
    </w:p>
    <w:p>
      <w:pPr>
        <w:jc w:val="center"/>
        <w:rPr>
          <w:rFonts w:hint="default" w:ascii="Times New Roman" w:hAnsi="Times New Roman" w:eastAsia="宋体" w:cs="Times New Roman"/>
          <w:color w:val="auto"/>
        </w:rPr>
      </w:pPr>
    </w:p>
    <w:p>
      <w:pPr>
        <w:snapToGrid w:val="0"/>
        <w:spacing w:beforeLines="5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8"/>
        </w:rPr>
        <w:pict>
          <v:rect id="_x0000_s2500" o:spid="_x0000_s2500" o:spt="1" style="position:absolute;left:0pt;margin-left:586.2pt;margin-top:331.9pt;height:9.25pt;width:17.35pt;z-index:251670528;v-text-anchor:middle;mso-width-relative:page;mso-height-relative:page;" filled="f" stroked="t" coordsize="21600,21600" o:gfxdata="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w/gSGtoAAAANAQAADwAAAAAAAAABACAAAAAiAAAAZHJzL2Rvd25yZXYueG1sUEsBAhQAFAAA&#10;AAgAh07iQLFA0xFfAgAAtwQAAA4AAAAAAAAAAQAgAAAAKQEAAGRycy9lMm9Eb2MueG1sUEsFBgAA&#10;AAAGAAYAWQEAAPoFAAAAAA==&#10;">
            <v:path/>
            <v:fill on="f" focussize="0,0"/>
            <v:stroke weight="2pt" color="#FFC000" joinstyle="round"/>
            <v:imagedata o:title=""/>
            <o:lock v:ext="edit"/>
          </v:rect>
        </w:pict>
      </w:r>
      <w:r>
        <w:rPr>
          <w:rFonts w:hint="default" w:ascii="Times New Roman" w:hAnsi="Times New Roman" w:eastAsia="宋体" w:cs="Times New Roman"/>
          <w:color w:val="auto"/>
          <w:sz w:val="28"/>
        </w:rPr>
        <w:pict>
          <v:rect id="_x0000_s2501" o:spid="_x0000_s2501" o:spt="1" style="position:absolute;left:0pt;margin-left:585.75pt;margin-top:317.6pt;height:9.25pt;width:17.35pt;z-index:251669504;v-text-anchor:middle;mso-width-relative:page;mso-height-relative:page;" filled="f" stroked="t" coordsize="21600,21600" o:gfxdata="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9Asfe2wAAAA0BAAAPAAAAAAAAAAEAIAAAACIAAABkcnMvZG93bnJl&#10;di54bWxQSwECFAAUAAAACACHTuJANHECJmwCAADDBAAADgAAAAAAAAABACAAAAAqAQAAZHJzL2Uy&#10;b0RvYy54bWxQSwUGAAAAAAYABgBZAQAACAYAAAAA&#10;">
            <v:path/>
            <v:fill on="f" focussize="0,0"/>
            <v:stroke weight="2pt" color="#FF0000" joinstyle="round"/>
            <v:imagedata o:title=""/>
            <o:lock v:ext="edit"/>
          </v:rect>
        </w:pict>
      </w:r>
      <w:r>
        <w:rPr>
          <w:rFonts w:hint="default" w:ascii="Times New Roman" w:hAnsi="Times New Roman" w:eastAsia="宋体" w:cs="Times New Roman"/>
          <w:color w:val="auto"/>
          <w:sz w:val="28"/>
        </w:rPr>
        <w:pict>
          <v:shape id="_x0000_s2502" o:spid="_x0000_s2502" o:spt="202" type="#_x0000_t202" style="position:absolute;left:0pt;margin-left:577.4pt;margin-top:299.15pt;height:65.25pt;width:113.3pt;z-index:251662336;mso-width-relative:page;mso-height-relative:page;" fillcolor="#FFFFFF" filled="t" coordsize="21600,21600" o:gfxdata="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VJ&#10;6cjZAAAADQEAAA8AAAAAAAAAAQAgAAAAIgAAAGRycy9kb3ducmV2LnhtbFBLAQIUABQAAAAIAIdO&#10;4kDN+cqvWwIAALsEAAAOAAAAAAAAAAEAIAAAACgBAABkcnMvZTJvRG9jLnhtbFBLBQYAAAAABgAG&#10;AFkBAAD1BQAAAAA=&#10;">
            <v:path/>
            <v:fill on="t" focussize="0,0"/>
            <v:stroke weight="0.5pt" joinstyle="round"/>
            <v:imagedata o:title=""/>
            <o:lock v:ext="edit"/>
            <v:textbox>
              <w:txbxContent>
                <w:p>
                  <w:pPr>
                    <w:jc w:val="center"/>
                  </w:pPr>
                  <w:r>
                    <w:rPr>
                      <w:rFonts w:hint="eastAsia"/>
                    </w:rPr>
                    <w:t>图例</w:t>
                  </w:r>
                </w:p>
                <w:p>
                  <w:pPr>
                    <w:ind w:firstLine="420" w:firstLineChars="200"/>
                  </w:pPr>
                  <w:r>
                    <w:rPr>
                      <w:rFonts w:hint="eastAsia"/>
                    </w:rPr>
                    <w:t>为厂区</w:t>
                  </w:r>
                </w:p>
                <w:p>
                  <w:pPr>
                    <w:ind w:firstLine="420" w:firstLineChars="200"/>
                  </w:pPr>
                  <w:r>
                    <w:rPr>
                      <w:rFonts w:hint="eastAsia"/>
                    </w:rPr>
                    <w:t>为卫生防护距离</w:t>
                  </w:r>
                </w:p>
                <w:p>
                  <w:pPr>
                    <w:ind w:firstLine="420" w:firstLineChars="200"/>
                  </w:pPr>
                  <w:r>
                    <w:rPr>
                      <w:rFonts w:hint="eastAsia"/>
                    </w:rPr>
                    <w:t>比例尺1:8000</w:t>
                  </w:r>
                </w:p>
              </w:txbxContent>
            </v:textbox>
          </v:shape>
        </w:pict>
      </w:r>
    </w:p>
    <w:p>
      <w:pPr>
        <w:jc w:val="center"/>
        <w:rPr>
          <w:rFonts w:hint="default" w:ascii="Times New Roman" w:hAnsi="Times New Roman" w:eastAsia="宋体" w:cs="Times New Roman"/>
          <w:b/>
          <w:bCs/>
          <w:color w:val="auto"/>
          <w:sz w:val="24"/>
          <w:highlight w:val="none"/>
        </w:rPr>
        <w:sectPr>
          <w:headerReference r:id="rId15" w:type="default"/>
          <w:footerReference r:id="rId16" w:type="default"/>
          <w:pgSz w:w="16840" w:h="11907" w:orient="landscape"/>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color w:val="auto"/>
          <w:sz w:val="24"/>
          <w:highlight w:val="none"/>
        </w:rPr>
        <w:t>图5.2-</w:t>
      </w:r>
      <w:r>
        <w:rPr>
          <w:rFonts w:hint="default"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rPr>
        <w:t xml:space="preserve">  卫生防护距离包络图</w:t>
      </w:r>
    </w:p>
    <w:p>
      <w:pPr>
        <w:snapToGrid w:val="0"/>
        <w:spacing w:beforeLines="50" w:line="48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（7）污染物排放量核算</w:t>
      </w:r>
    </w:p>
    <w:p>
      <w:pPr>
        <w:snapToGrid w:val="0"/>
        <w:spacing w:beforeLines="50" w:line="48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①有组织排放量核算</w:t>
      </w:r>
    </w:p>
    <w:p>
      <w:pPr>
        <w:snapToGrid w:val="0"/>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表5.2-</w:t>
      </w:r>
      <w:r>
        <w:rPr>
          <w:rFonts w:hint="default" w:ascii="Times New Roman" w:hAnsi="Times New Roman" w:eastAsia="宋体" w:cs="Times New Roman"/>
          <w:color w:val="auto"/>
          <w:sz w:val="24"/>
          <w:lang w:val="en-US" w:eastAsia="zh-CN"/>
        </w:rPr>
        <w:t>8</w:t>
      </w:r>
      <w:r>
        <w:rPr>
          <w:rFonts w:hint="default" w:ascii="Times New Roman" w:hAnsi="Times New Roman" w:eastAsia="宋体" w:cs="Times New Roman"/>
          <w:color w:val="auto"/>
          <w:sz w:val="24"/>
        </w:rPr>
        <w:t xml:space="preserve">                 大气污染物有组织排放量核算表</w:t>
      </w:r>
    </w:p>
    <w:tbl>
      <w:tblPr>
        <w:tblStyle w:val="51"/>
        <w:tblW w:w="9287"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2"/>
        <w:gridCol w:w="1425"/>
        <w:gridCol w:w="1308"/>
        <w:gridCol w:w="2116"/>
        <w:gridCol w:w="1883"/>
        <w:gridCol w:w="181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42"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序号</w:t>
            </w:r>
          </w:p>
        </w:tc>
        <w:tc>
          <w:tcPr>
            <w:tcW w:w="1425"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排放口编号</w:t>
            </w:r>
          </w:p>
        </w:tc>
        <w:tc>
          <w:tcPr>
            <w:tcW w:w="1308"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w:t>
            </w:r>
          </w:p>
        </w:tc>
        <w:tc>
          <w:tcPr>
            <w:tcW w:w="2116"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核算排放浓度/</w:t>
            </w:r>
          </w:p>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（mg/m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w:t>
            </w:r>
          </w:p>
        </w:tc>
        <w:tc>
          <w:tcPr>
            <w:tcW w:w="1883"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核算排放速率/</w:t>
            </w:r>
          </w:p>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（kg/h）</w:t>
            </w:r>
          </w:p>
        </w:tc>
        <w:tc>
          <w:tcPr>
            <w:tcW w:w="1813"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核算年排放量/</w:t>
            </w:r>
          </w:p>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87" w:type="dxa"/>
            <w:gridSpan w:val="6"/>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一般排放口</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42"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1425"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P</w:t>
            </w:r>
            <w:r>
              <w:rPr>
                <w:rFonts w:hint="default" w:ascii="Times New Roman" w:hAnsi="Times New Roman" w:eastAsia="宋体" w:cs="Times New Roman"/>
                <w:color w:val="auto"/>
                <w:szCs w:val="21"/>
                <w:lang w:val="en-US" w:eastAsia="zh-CN"/>
              </w:rPr>
              <w:t>1</w:t>
            </w:r>
          </w:p>
        </w:tc>
        <w:tc>
          <w:tcPr>
            <w:tcW w:w="1308"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颗粒物</w:t>
            </w:r>
          </w:p>
        </w:tc>
        <w:tc>
          <w:tcPr>
            <w:tcW w:w="2116" w:type="dxa"/>
            <w:tcBorders>
              <w:tl2br w:val="nil"/>
              <w:tr2bl w:val="nil"/>
            </w:tcBorders>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1.655</w:t>
            </w:r>
          </w:p>
        </w:tc>
        <w:tc>
          <w:tcPr>
            <w:tcW w:w="1883" w:type="dxa"/>
            <w:tcBorders>
              <w:tl2br w:val="nil"/>
              <w:tr2bl w:val="nil"/>
            </w:tcBorders>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0.331</w:t>
            </w:r>
          </w:p>
        </w:tc>
        <w:tc>
          <w:tcPr>
            <w:tcW w:w="1813" w:type="dxa"/>
            <w:tcBorders>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2.38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67" w:type="dxa"/>
            <w:gridSpan w:val="2"/>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主要排放口合计</w:t>
            </w:r>
          </w:p>
        </w:tc>
        <w:tc>
          <w:tcPr>
            <w:tcW w:w="5307" w:type="dxa"/>
            <w:gridSpan w:val="3"/>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1813" w:type="dxa"/>
            <w:tcBorders>
              <w:tl2br w:val="nil"/>
              <w:tr2bl w:val="nil"/>
            </w:tcBorders>
            <w:vAlign w:val="center"/>
          </w:tcPr>
          <w:p>
            <w:pPr>
              <w:pStyle w:val="74"/>
              <w:spacing w:before="0" w:line="360" w:lineRule="exact"/>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67" w:type="dxa"/>
            <w:gridSpan w:val="2"/>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一般排放口合计</w:t>
            </w:r>
          </w:p>
        </w:tc>
        <w:tc>
          <w:tcPr>
            <w:tcW w:w="5307" w:type="dxa"/>
            <w:gridSpan w:val="3"/>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颗粒物</w:t>
            </w:r>
          </w:p>
        </w:tc>
        <w:tc>
          <w:tcPr>
            <w:tcW w:w="1813" w:type="dxa"/>
            <w:tcBorders>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2.38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67" w:type="dxa"/>
            <w:gridSpan w:val="2"/>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有组织排放合计</w:t>
            </w:r>
          </w:p>
        </w:tc>
        <w:tc>
          <w:tcPr>
            <w:tcW w:w="5307" w:type="dxa"/>
            <w:gridSpan w:val="3"/>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颗粒物</w:t>
            </w:r>
          </w:p>
        </w:tc>
        <w:tc>
          <w:tcPr>
            <w:tcW w:w="1813" w:type="dxa"/>
            <w:tcBorders>
              <w:tl2br w:val="nil"/>
              <w:tr2bl w:val="nil"/>
            </w:tcBorders>
            <w:vAlign w:val="center"/>
          </w:tcPr>
          <w:p>
            <w:pPr>
              <w:pStyle w:val="74"/>
              <w:spacing w:before="0"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2.38</w:t>
            </w:r>
          </w:p>
        </w:tc>
      </w:tr>
    </w:tbl>
    <w:p>
      <w:pPr>
        <w:snapToGrid w:val="0"/>
        <w:spacing w:beforeLines="50" w:line="48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②无组织排放量核算</w:t>
      </w:r>
    </w:p>
    <w:p>
      <w:pPr>
        <w:snapToGrid w:val="0"/>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表5.2-</w:t>
      </w:r>
      <w:r>
        <w:rPr>
          <w:rFonts w:hint="default" w:ascii="Times New Roman" w:hAnsi="Times New Roman" w:eastAsia="宋体" w:cs="Times New Roman"/>
          <w:color w:val="auto"/>
          <w:sz w:val="24"/>
          <w:lang w:val="en-US" w:eastAsia="zh-CN"/>
        </w:rPr>
        <w:t>9</w:t>
      </w:r>
      <w:r>
        <w:rPr>
          <w:rFonts w:hint="default" w:ascii="Times New Roman" w:hAnsi="Times New Roman" w:eastAsia="宋体" w:cs="Times New Roman"/>
          <w:color w:val="auto"/>
          <w:sz w:val="24"/>
        </w:rPr>
        <w:t xml:space="preserve">                 大气污染物无组织排放量核算表</w:t>
      </w:r>
    </w:p>
    <w:tbl>
      <w:tblPr>
        <w:tblStyle w:val="51"/>
        <w:tblW w:w="9287"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2"/>
        <w:gridCol w:w="1073"/>
        <w:gridCol w:w="1077"/>
        <w:gridCol w:w="938"/>
        <w:gridCol w:w="1016"/>
        <w:gridCol w:w="2084"/>
        <w:gridCol w:w="1270"/>
        <w:gridCol w:w="110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2"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序号</w:t>
            </w:r>
          </w:p>
        </w:tc>
        <w:tc>
          <w:tcPr>
            <w:tcW w:w="1073"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位置</w:t>
            </w:r>
          </w:p>
        </w:tc>
        <w:tc>
          <w:tcPr>
            <w:tcW w:w="1077"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产污环节</w:t>
            </w:r>
          </w:p>
        </w:tc>
        <w:tc>
          <w:tcPr>
            <w:tcW w:w="938"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w:t>
            </w:r>
          </w:p>
        </w:tc>
        <w:tc>
          <w:tcPr>
            <w:tcW w:w="1016"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主要污染防治措施</w:t>
            </w:r>
          </w:p>
        </w:tc>
        <w:tc>
          <w:tcPr>
            <w:tcW w:w="3354" w:type="dxa"/>
            <w:gridSpan w:val="2"/>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国家或地方污染物排放标准</w:t>
            </w:r>
          </w:p>
        </w:tc>
        <w:tc>
          <w:tcPr>
            <w:tcW w:w="1107"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年排放量/（t/a）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2" w:type="dxa"/>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1073" w:type="dxa"/>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1077" w:type="dxa"/>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938" w:type="dxa"/>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1016" w:type="dxa"/>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c>
          <w:tcPr>
            <w:tcW w:w="2084"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标准名称</w:t>
            </w:r>
          </w:p>
        </w:tc>
        <w:tc>
          <w:tcPr>
            <w:tcW w:w="1270"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浓度限值（μg/m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w:t>
            </w:r>
          </w:p>
        </w:tc>
        <w:tc>
          <w:tcPr>
            <w:tcW w:w="1107" w:type="dxa"/>
            <w:vMerge w:val="continue"/>
            <w:tcBorders>
              <w:tl2br w:val="nil"/>
              <w:tr2bl w:val="nil"/>
            </w:tcBorders>
            <w:vAlign w:val="center"/>
          </w:tcPr>
          <w:p>
            <w:pPr>
              <w:widowControl/>
              <w:jc w:val="left"/>
              <w:rPr>
                <w:rFonts w:hint="default" w:ascii="Times New Roman" w:hAnsi="Times New Roman" w:eastAsia="宋体" w:cs="Times New Roman"/>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2"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w:t>
            </w:r>
          </w:p>
        </w:tc>
        <w:tc>
          <w:tcPr>
            <w:tcW w:w="1073" w:type="dxa"/>
            <w:tcBorders>
              <w:tl2br w:val="nil"/>
              <w:tr2bl w:val="nil"/>
            </w:tcBorders>
            <w:vAlign w:val="center"/>
          </w:tcPr>
          <w:p>
            <w:pPr>
              <w:widowControl/>
              <w:spacing w:line="280" w:lineRule="exact"/>
              <w:jc w:val="center"/>
              <w:rPr>
                <w:rFonts w:hint="default" w:ascii="Times New Roman" w:hAnsi="Times New Roman" w:eastAsia="宋体" w:cs="Times New Roman"/>
                <w:b w:val="0"/>
                <w:bCs/>
                <w:color w:val="auto"/>
                <w:kern w:val="2"/>
                <w:sz w:val="21"/>
                <w:szCs w:val="24"/>
                <w:lang w:val="en-US" w:eastAsia="zh-CN" w:bidi="ar-SA"/>
              </w:rPr>
            </w:pPr>
            <w:r>
              <w:rPr>
                <w:rFonts w:hint="default" w:ascii="Times New Roman" w:hAnsi="Times New Roman" w:eastAsia="宋体" w:cs="Times New Roman"/>
                <w:b w:val="0"/>
                <w:bCs/>
                <w:color w:val="auto"/>
                <w:lang w:eastAsia="zh-CN"/>
              </w:rPr>
              <w:t>破碎车间</w:t>
            </w:r>
          </w:p>
        </w:tc>
        <w:tc>
          <w:tcPr>
            <w:tcW w:w="1077"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破碎筛分</w:t>
            </w:r>
          </w:p>
        </w:tc>
        <w:tc>
          <w:tcPr>
            <w:tcW w:w="938"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颗粒物</w:t>
            </w:r>
          </w:p>
        </w:tc>
        <w:tc>
          <w:tcPr>
            <w:tcW w:w="1016"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厂房阻隔，洒水逸尘</w:t>
            </w:r>
          </w:p>
        </w:tc>
        <w:tc>
          <w:tcPr>
            <w:tcW w:w="2084"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《大气污染物综合排放标准》（GB16297-1996）</w:t>
            </w:r>
          </w:p>
        </w:tc>
        <w:tc>
          <w:tcPr>
            <w:tcW w:w="1270" w:type="dxa"/>
            <w:vMerge w:val="restart"/>
            <w:tcBorders>
              <w:tl2br w:val="nil"/>
              <w:tr2bl w:val="nil"/>
            </w:tcBorders>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1000</w:t>
            </w:r>
          </w:p>
        </w:tc>
        <w:tc>
          <w:tcPr>
            <w:tcW w:w="1107" w:type="dxa"/>
            <w:tcBorders>
              <w:tl2br w:val="nil"/>
              <w:tr2bl w:val="nil"/>
            </w:tcBorders>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1.278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2"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2</w:t>
            </w:r>
          </w:p>
        </w:tc>
        <w:tc>
          <w:tcPr>
            <w:tcW w:w="1073" w:type="dxa"/>
            <w:tcBorders>
              <w:tl2br w:val="nil"/>
              <w:tr2bl w:val="nil"/>
            </w:tcBorders>
            <w:vAlign w:val="center"/>
          </w:tcPr>
          <w:p>
            <w:pPr>
              <w:widowControl/>
              <w:spacing w:line="280" w:lineRule="exact"/>
              <w:jc w:val="center"/>
              <w:rPr>
                <w:rFonts w:hint="default" w:ascii="Times New Roman" w:hAnsi="Times New Roman" w:eastAsia="宋体" w:cs="Times New Roman"/>
                <w:b w:val="0"/>
                <w:bCs/>
                <w:color w:val="auto"/>
                <w:kern w:val="2"/>
                <w:sz w:val="21"/>
                <w:szCs w:val="24"/>
                <w:lang w:val="en-US" w:eastAsia="zh-CN" w:bidi="ar-SA"/>
              </w:rPr>
            </w:pPr>
            <w:r>
              <w:rPr>
                <w:rFonts w:hint="eastAsia" w:ascii="Times New Roman" w:hAnsi="Times New Roman" w:eastAsia="宋体" w:cs="Times New Roman"/>
                <w:b w:val="0"/>
                <w:bCs/>
                <w:color w:val="auto"/>
                <w:lang w:eastAsia="zh-CN"/>
              </w:rPr>
              <w:t>尾矿</w:t>
            </w:r>
            <w:r>
              <w:rPr>
                <w:rFonts w:hint="default" w:ascii="Times New Roman" w:hAnsi="Times New Roman" w:eastAsia="宋体" w:cs="Times New Roman"/>
                <w:b w:val="0"/>
                <w:bCs/>
                <w:color w:val="auto"/>
                <w:lang w:eastAsia="zh-CN"/>
              </w:rPr>
              <w:t>仓</w:t>
            </w:r>
          </w:p>
        </w:tc>
        <w:tc>
          <w:tcPr>
            <w:tcW w:w="1077"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堆存</w:t>
            </w:r>
          </w:p>
        </w:tc>
        <w:tc>
          <w:tcPr>
            <w:tcW w:w="938"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颗粒物</w:t>
            </w:r>
          </w:p>
        </w:tc>
        <w:tc>
          <w:tcPr>
            <w:tcW w:w="1016" w:type="dxa"/>
            <w:vMerge w:val="continue"/>
            <w:tcBorders>
              <w:tl2br w:val="nil"/>
              <w:tr2bl w:val="nil"/>
            </w:tcBorders>
            <w:vAlign w:val="center"/>
          </w:tcPr>
          <w:p>
            <w:pPr>
              <w:adjustRightInd w:val="0"/>
              <w:snapToGrid w:val="0"/>
              <w:jc w:val="center"/>
              <w:rPr>
                <w:rFonts w:hint="default" w:ascii="Times New Roman" w:hAnsi="Times New Roman" w:eastAsia="宋体" w:cs="Times New Roman"/>
                <w:color w:val="auto"/>
                <w:szCs w:val="21"/>
                <w:lang w:eastAsia="zh-CN"/>
              </w:rPr>
            </w:pPr>
          </w:p>
        </w:tc>
        <w:tc>
          <w:tcPr>
            <w:tcW w:w="2084" w:type="dxa"/>
            <w:vMerge w:val="continue"/>
            <w:tcBorders>
              <w:tl2br w:val="nil"/>
              <w:tr2bl w:val="nil"/>
            </w:tcBorders>
            <w:vAlign w:val="center"/>
          </w:tcPr>
          <w:p>
            <w:pPr>
              <w:adjustRightInd w:val="0"/>
              <w:snapToGrid w:val="0"/>
              <w:jc w:val="center"/>
              <w:rPr>
                <w:rFonts w:hint="default" w:ascii="Times New Roman" w:hAnsi="Times New Roman" w:eastAsia="宋体" w:cs="Times New Roman"/>
                <w:color w:val="auto"/>
              </w:rPr>
            </w:pPr>
          </w:p>
        </w:tc>
        <w:tc>
          <w:tcPr>
            <w:tcW w:w="1270" w:type="dxa"/>
            <w:vMerge w:val="continue"/>
            <w:tcBorders>
              <w:tl2br w:val="nil"/>
              <w:tr2bl w:val="nil"/>
            </w:tcBorders>
            <w:vAlign w:val="center"/>
          </w:tcPr>
          <w:p>
            <w:pPr>
              <w:adjustRightInd w:val="0"/>
              <w:snapToGrid w:val="0"/>
              <w:jc w:val="center"/>
              <w:rPr>
                <w:rFonts w:hint="default" w:ascii="Times New Roman" w:hAnsi="Times New Roman" w:eastAsia="宋体" w:cs="Times New Roman"/>
                <w:color w:val="auto"/>
                <w:szCs w:val="21"/>
                <w:lang w:val="en-US" w:eastAsia="zh-CN"/>
              </w:rPr>
            </w:pPr>
          </w:p>
        </w:tc>
        <w:tc>
          <w:tcPr>
            <w:tcW w:w="1107" w:type="dxa"/>
            <w:tcBorders>
              <w:tl2br w:val="nil"/>
              <w:tr2bl w:val="nil"/>
            </w:tcBorders>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1.12</w:t>
            </w:r>
          </w:p>
        </w:tc>
      </w:tr>
    </w:tbl>
    <w:p>
      <w:pPr>
        <w:snapToGrid w:val="0"/>
        <w:spacing w:beforeLines="50" w:line="48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③项目大气污染物年排放量核算</w:t>
      </w:r>
    </w:p>
    <w:p>
      <w:pPr>
        <w:snapToGrid w:val="0"/>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表5.2-1</w:t>
      </w:r>
      <w:r>
        <w:rPr>
          <w:rFonts w:hint="default" w:ascii="Times New Roman" w:hAnsi="Times New Roman" w:eastAsia="宋体" w:cs="Times New Roman"/>
          <w:color w:val="auto"/>
          <w:sz w:val="24"/>
          <w:lang w:val="en-US" w:eastAsia="zh-CN"/>
        </w:rPr>
        <w:t>0</w:t>
      </w:r>
      <w:r>
        <w:rPr>
          <w:rFonts w:hint="default" w:ascii="Times New Roman" w:hAnsi="Times New Roman" w:eastAsia="宋体" w:cs="Times New Roman"/>
          <w:color w:val="auto"/>
          <w:sz w:val="24"/>
        </w:rPr>
        <w:t xml:space="preserve">                   大气污染物年排放量核算表</w:t>
      </w:r>
    </w:p>
    <w:tbl>
      <w:tblPr>
        <w:tblStyle w:val="51"/>
        <w:tblW w:w="9287"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63"/>
        <w:gridCol w:w="2480"/>
        <w:gridCol w:w="494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63"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序号</w:t>
            </w:r>
          </w:p>
        </w:tc>
        <w:tc>
          <w:tcPr>
            <w:tcW w:w="2480"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w:t>
            </w:r>
          </w:p>
        </w:tc>
        <w:tc>
          <w:tcPr>
            <w:tcW w:w="4944"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年排放量（t/a）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63"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val="en-US" w:eastAsia="zh-CN"/>
              </w:rPr>
              <w:t>1</w:t>
            </w:r>
          </w:p>
        </w:tc>
        <w:tc>
          <w:tcPr>
            <w:tcW w:w="2480"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颗粒物</w:t>
            </w:r>
          </w:p>
        </w:tc>
        <w:tc>
          <w:tcPr>
            <w:tcW w:w="4944" w:type="dxa"/>
            <w:tcBorders>
              <w:tl2br w:val="nil"/>
              <w:tr2bl w:val="nil"/>
            </w:tcBorders>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Cs w:val="21"/>
                <w:lang w:val="en-US"/>
              </w:rPr>
            </w:pPr>
            <w:r>
              <w:rPr>
                <w:rFonts w:hint="default" w:ascii="Times New Roman" w:hAnsi="Times New Roman" w:eastAsia="宋体" w:cs="Times New Roman"/>
                <w:color w:val="auto"/>
                <w:sz w:val="21"/>
                <w:szCs w:val="21"/>
                <w:vertAlign w:val="baseline"/>
                <w:lang w:val="en-US" w:eastAsia="zh-CN"/>
              </w:rPr>
              <w:t>4.778</w:t>
            </w:r>
          </w:p>
        </w:tc>
      </w:tr>
    </w:tbl>
    <w:p>
      <w:pPr>
        <w:snapToGrid w:val="0"/>
        <w:spacing w:beforeLines="50" w:line="480" w:lineRule="exact"/>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sz w:val="24"/>
        </w:rPr>
        <w:t>④非正常排放量核算</w:t>
      </w:r>
    </w:p>
    <w:p>
      <w:pPr>
        <w:snapToGrid w:val="0"/>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表5.2-1</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 xml:space="preserve">  污染源非正常排放量核算表</w:t>
      </w:r>
    </w:p>
    <w:bookmarkEnd w:id="244"/>
    <w:bookmarkEnd w:id="245"/>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2"/>
        <w:gridCol w:w="923"/>
        <w:gridCol w:w="1085"/>
        <w:gridCol w:w="1054"/>
        <w:gridCol w:w="1361"/>
        <w:gridCol w:w="1410"/>
        <w:gridCol w:w="1079"/>
        <w:gridCol w:w="995"/>
        <w:gridCol w:w="7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5" w:type="pct"/>
            <w:tcBorders>
              <w:top w:val="single" w:color="auto" w:sz="12" w:space="0"/>
              <w:left w:val="nil"/>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bookmarkStart w:id="246" w:name="_Toc476553976"/>
            <w:bookmarkStart w:id="247" w:name="_Toc478394808"/>
            <w:bookmarkStart w:id="248" w:name="_Toc478038850"/>
            <w:bookmarkStart w:id="249" w:name="_Toc476639461"/>
            <w:bookmarkStart w:id="250" w:name="_Toc476225044"/>
            <w:r>
              <w:rPr>
                <w:rFonts w:hint="default" w:ascii="Times New Roman" w:hAnsi="Times New Roman" w:eastAsia="宋体" w:cs="Times New Roman"/>
                <w:b w:val="0"/>
                <w:bCs/>
                <w:color w:val="auto"/>
                <w:sz w:val="21"/>
                <w:szCs w:val="21"/>
              </w:rPr>
              <w:t>序号</w:t>
            </w:r>
          </w:p>
        </w:tc>
        <w:tc>
          <w:tcPr>
            <w:tcW w:w="496" w:type="pct"/>
            <w:tcBorders>
              <w:top w:val="single" w:color="auto" w:sz="12"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污染源</w:t>
            </w:r>
          </w:p>
        </w:tc>
        <w:tc>
          <w:tcPr>
            <w:tcW w:w="584" w:type="pct"/>
            <w:tcBorders>
              <w:top w:val="single" w:color="auto" w:sz="12"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非正常排放原因</w:t>
            </w:r>
          </w:p>
        </w:tc>
        <w:tc>
          <w:tcPr>
            <w:tcW w:w="567" w:type="pct"/>
            <w:tcBorders>
              <w:top w:val="single" w:color="auto" w:sz="12"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污染物</w:t>
            </w:r>
          </w:p>
        </w:tc>
        <w:tc>
          <w:tcPr>
            <w:tcW w:w="732" w:type="pct"/>
            <w:tcBorders>
              <w:top w:val="single" w:color="auto" w:sz="12"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非正常排放浓度/（ug/m</w:t>
            </w:r>
            <w:r>
              <w:rPr>
                <w:rFonts w:hint="default" w:ascii="Times New Roman" w:hAnsi="Times New Roman" w:eastAsia="宋体" w:cs="Times New Roman"/>
                <w:b w:val="0"/>
                <w:bCs/>
                <w:color w:val="auto"/>
                <w:sz w:val="21"/>
                <w:szCs w:val="21"/>
                <w:vertAlign w:val="superscript"/>
              </w:rPr>
              <w:t>3</w:t>
            </w:r>
            <w:r>
              <w:rPr>
                <w:rFonts w:hint="default" w:ascii="Times New Roman" w:hAnsi="Times New Roman" w:eastAsia="宋体" w:cs="Times New Roman"/>
                <w:b w:val="0"/>
                <w:bCs/>
                <w:color w:val="auto"/>
                <w:sz w:val="21"/>
                <w:szCs w:val="21"/>
              </w:rPr>
              <w:t>）</w:t>
            </w:r>
          </w:p>
        </w:tc>
        <w:tc>
          <w:tcPr>
            <w:tcW w:w="759" w:type="pct"/>
            <w:tcBorders>
              <w:top w:val="single" w:color="auto" w:sz="12"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非正常排放速率/（kg/h）</w:t>
            </w:r>
          </w:p>
        </w:tc>
        <w:tc>
          <w:tcPr>
            <w:tcW w:w="580" w:type="pct"/>
            <w:tcBorders>
              <w:top w:val="single" w:color="auto" w:sz="12"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单次持续时间 /h</w:t>
            </w:r>
          </w:p>
        </w:tc>
        <w:tc>
          <w:tcPr>
            <w:tcW w:w="535" w:type="pct"/>
            <w:tcBorders>
              <w:top w:val="single" w:color="auto" w:sz="12"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年发生频次/次</w:t>
            </w:r>
          </w:p>
        </w:tc>
        <w:tc>
          <w:tcPr>
            <w:tcW w:w="397" w:type="pct"/>
            <w:tcBorders>
              <w:top w:val="single" w:color="auto" w:sz="12" w:space="0"/>
              <w:left w:val="single" w:color="auto" w:sz="4" w:space="0"/>
              <w:bottom w:val="single" w:color="auto" w:sz="4" w:space="0"/>
              <w:right w:val="nil"/>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应对措施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5" w:type="pct"/>
            <w:tcBorders>
              <w:top w:val="single" w:color="auto" w:sz="4" w:space="0"/>
              <w:left w:val="nil"/>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1</w:t>
            </w:r>
          </w:p>
        </w:tc>
        <w:tc>
          <w:tcPr>
            <w:tcW w:w="496"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rPr>
            </w:pPr>
            <w:r>
              <w:rPr>
                <w:rFonts w:hint="default" w:ascii="Times New Roman" w:hAnsi="Times New Roman" w:eastAsia="宋体" w:cs="Times New Roman"/>
                <w:color w:val="auto"/>
                <w:sz w:val="21"/>
                <w:szCs w:val="21"/>
                <w:vertAlign w:val="baseline"/>
                <w:lang w:val="en-US" w:eastAsia="zh-CN"/>
              </w:rPr>
              <w:t>P1</w:t>
            </w:r>
          </w:p>
        </w:tc>
        <w:tc>
          <w:tcPr>
            <w:tcW w:w="584" w:type="pct"/>
            <w:tcBorders>
              <w:top w:val="single" w:color="auto" w:sz="4"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废气处理设施发生故障</w:t>
            </w:r>
          </w:p>
        </w:tc>
        <w:tc>
          <w:tcPr>
            <w:tcW w:w="567" w:type="pct"/>
            <w:tcBorders>
              <w:top w:val="single" w:color="auto" w:sz="4"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颗粒物</w:t>
            </w:r>
          </w:p>
        </w:tc>
        <w:tc>
          <w:tcPr>
            <w:tcW w:w="732" w:type="pct"/>
            <w:tcBorders>
              <w:top w:val="single" w:color="auto" w:sz="4"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308600</w:t>
            </w:r>
          </w:p>
        </w:tc>
        <w:tc>
          <w:tcPr>
            <w:tcW w:w="759" w:type="pct"/>
            <w:tcBorders>
              <w:top w:val="single" w:color="auto" w:sz="4"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61.72</w:t>
            </w:r>
          </w:p>
        </w:tc>
        <w:tc>
          <w:tcPr>
            <w:tcW w:w="580" w:type="pct"/>
            <w:tcBorders>
              <w:top w:val="single" w:color="auto" w:sz="4"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0.1</w:t>
            </w:r>
          </w:p>
        </w:tc>
        <w:tc>
          <w:tcPr>
            <w:tcW w:w="535" w:type="pct"/>
            <w:tcBorders>
              <w:top w:val="single" w:color="auto" w:sz="4" w:space="0"/>
              <w:left w:val="single" w:color="auto" w:sz="4" w:space="0"/>
              <w:bottom w:val="single" w:color="auto" w:sz="4" w:space="0"/>
              <w:right w:val="single" w:color="auto" w:sz="4" w:space="0"/>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1次/年</w:t>
            </w:r>
          </w:p>
        </w:tc>
        <w:tc>
          <w:tcPr>
            <w:tcW w:w="397" w:type="pct"/>
            <w:tcBorders>
              <w:top w:val="single" w:color="auto" w:sz="4" w:space="0"/>
              <w:left w:val="single" w:color="auto" w:sz="4" w:space="0"/>
              <w:bottom w:val="single" w:color="auto" w:sz="4" w:space="0"/>
              <w:right w:val="nil"/>
              <w:tl2br w:val="nil"/>
              <w:tr2bl w:val="nil"/>
            </w:tcBorders>
            <w:noWrap w:val="0"/>
            <w:vAlign w:val="center"/>
          </w:tcPr>
          <w:p>
            <w:pPr>
              <w:spacing w:beforeLines="0" w:afterLine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加强管理</w:t>
            </w:r>
          </w:p>
        </w:tc>
      </w:tr>
    </w:tbl>
    <w:p>
      <w:pPr>
        <w:spacing w:beforeLines="50" w:line="360" w:lineRule="auto"/>
        <w:outlineLvl w:val="2"/>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5.2.2运营期地表水环境影响分析</w:t>
      </w:r>
      <w:bookmarkEnd w:id="246"/>
      <w:bookmarkEnd w:id="247"/>
      <w:bookmarkEnd w:id="248"/>
      <w:bookmarkEnd w:id="249"/>
      <w:bookmarkEnd w:id="250"/>
    </w:p>
    <w:p>
      <w:pPr>
        <w:spacing w:line="360" w:lineRule="auto"/>
        <w:rPr>
          <w:rFonts w:hint="default" w:ascii="Times New Roman" w:hAnsi="Times New Roman" w:eastAsia="宋体" w:cs="Times New Roman"/>
          <w:b/>
          <w:color w:val="auto"/>
          <w:sz w:val="28"/>
          <w:szCs w:val="28"/>
        </w:rPr>
      </w:pPr>
      <w:bookmarkStart w:id="251" w:name="_Toc478038851"/>
      <w:bookmarkStart w:id="252" w:name="_Toc478394809"/>
      <w:bookmarkStart w:id="253" w:name="_Toc476639462"/>
      <w:bookmarkStart w:id="254" w:name="_Toc476225045"/>
      <w:bookmarkStart w:id="255" w:name="_Toc476553977"/>
      <w:bookmarkStart w:id="256" w:name="_Toc355284910"/>
      <w:bookmarkStart w:id="257" w:name="_Toc93751671"/>
      <w:r>
        <w:rPr>
          <w:rFonts w:hint="default" w:ascii="Times New Roman" w:hAnsi="Times New Roman" w:eastAsia="宋体" w:cs="Times New Roman"/>
          <w:b/>
          <w:color w:val="auto"/>
          <w:sz w:val="28"/>
          <w:szCs w:val="28"/>
        </w:rPr>
        <w:t>5.2.2.1 评价等级</w:t>
      </w:r>
    </w:p>
    <w:p>
      <w:pPr>
        <w:spacing w:beforeLines="50" w:line="480" w:lineRule="exact"/>
        <w:ind w:firstLine="480" w:firstLineChars="200"/>
        <w:rPr>
          <w:rFonts w:hint="default" w:ascii="Times New Roman" w:hAnsi="Times New Roman" w:eastAsia="宋体" w:cs="Times New Roman"/>
          <w:sz w:val="24"/>
          <w:szCs w:val="20"/>
        </w:rPr>
      </w:pPr>
      <w:r>
        <w:rPr>
          <w:rFonts w:hint="default" w:ascii="Times New Roman" w:hAnsi="Times New Roman" w:eastAsia="宋体" w:cs="Times New Roman"/>
          <w:sz w:val="24"/>
          <w:szCs w:val="20"/>
        </w:rPr>
        <w:t>本项目无废水外排，选矿废水全部厂区内循环回用于生产，生活污水排入1座有效容积约15m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防渗化粪池（防渗系数≤1.0×10</w:t>
      </w:r>
      <w:r>
        <w:rPr>
          <w:rFonts w:hint="default" w:ascii="Times New Roman" w:hAnsi="Times New Roman" w:eastAsia="宋体" w:cs="Times New Roman"/>
          <w:sz w:val="24"/>
          <w:szCs w:val="20"/>
          <w:vertAlign w:val="superscript"/>
        </w:rPr>
        <w:t>-7</w:t>
      </w:r>
      <w:r>
        <w:rPr>
          <w:rFonts w:hint="default" w:ascii="Times New Roman" w:hAnsi="Times New Roman" w:eastAsia="宋体" w:cs="Times New Roman"/>
          <w:sz w:val="24"/>
          <w:szCs w:val="20"/>
        </w:rPr>
        <w:t>cm/s），化粪池定期清掏、用作农肥。</w:t>
      </w:r>
    </w:p>
    <w:p>
      <w:pPr>
        <w:spacing w:beforeLines="20" w:afterLines="2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sz w:val="24"/>
          <w:szCs w:val="20"/>
        </w:rPr>
        <w:t>根据《环境影响评价技术导则——地表水环境》（HJ2.3-2018），建设项目生产工艺中有废水产生，但作为回水利用，不排放到外环境的，按三级B评价，可不进行水环境影响预测，仅分析其依托污水处理设施环境可行性。</w:t>
      </w:r>
    </w:p>
    <w:p>
      <w:pPr>
        <w:spacing w:line="360" w:lineRule="auto"/>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5.2.2.2 地表水环境影响分析</w:t>
      </w:r>
    </w:p>
    <w:p>
      <w:pPr>
        <w:spacing w:beforeLines="20" w:afterLines="20" w:line="360" w:lineRule="auto"/>
        <w:ind w:firstLine="420" w:firstLineChars="200"/>
        <w:rPr>
          <w:rFonts w:hint="default" w:ascii="Times New Roman" w:hAnsi="Times New Roman" w:eastAsia="宋体" w:cs="Times New Roman"/>
          <w:sz w:val="24"/>
          <w:szCs w:val="20"/>
        </w:rPr>
      </w:pPr>
      <w:r>
        <w:rPr>
          <w:rFonts w:hint="default" w:ascii="Times New Roman" w:hAnsi="Times New Roman" w:eastAsia="宋体" w:cs="Times New Roman"/>
          <w:color w:val="auto"/>
        </w:rPr>
        <w:t xml:space="preserve"> </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sz w:val="24"/>
          <w:szCs w:val="20"/>
        </w:rPr>
        <w:t>（1）选矿废水</w:t>
      </w:r>
    </w:p>
    <w:p>
      <w:pPr>
        <w:spacing w:beforeLines="50" w:line="360" w:lineRule="auto"/>
        <w:ind w:firstLine="480" w:firstLineChars="200"/>
        <w:rPr>
          <w:rFonts w:hint="default" w:ascii="Times New Roman" w:hAnsi="Times New Roman" w:eastAsia="宋体" w:cs="Times New Roman"/>
          <w:sz w:val="24"/>
          <w:szCs w:val="20"/>
        </w:rPr>
      </w:pPr>
      <w:r>
        <w:rPr>
          <w:rFonts w:hint="default" w:ascii="Times New Roman" w:hAnsi="Times New Roman" w:eastAsia="宋体" w:cs="Times New Roman"/>
          <w:sz w:val="24"/>
          <w:szCs w:val="20"/>
        </w:rPr>
        <w:t>选矿废水全部排入尾矿干排系统，尾矿浆经旋流脱水后送至</w:t>
      </w:r>
      <w:r>
        <w:rPr>
          <w:rFonts w:hint="default" w:ascii="Times New Roman" w:hAnsi="Times New Roman" w:eastAsia="宋体" w:cs="Times New Roman"/>
          <w:sz w:val="24"/>
          <w:szCs w:val="20"/>
          <w:lang w:eastAsia="zh-CN"/>
        </w:rPr>
        <w:t>浓密罐</w:t>
      </w:r>
      <w:r>
        <w:rPr>
          <w:rFonts w:hint="default" w:ascii="Times New Roman" w:hAnsi="Times New Roman" w:eastAsia="宋体" w:cs="Times New Roman"/>
          <w:sz w:val="24"/>
          <w:szCs w:val="20"/>
        </w:rPr>
        <w:t>进行浓缩沉淀（容积约为1800m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），上清液通过回水管路返回选矿循环利用，不外排。</w:t>
      </w:r>
    </w:p>
    <w:p>
      <w:pPr>
        <w:spacing w:beforeLines="50" w:line="360" w:lineRule="auto"/>
        <w:ind w:firstLine="480" w:firstLineChars="200"/>
        <w:rPr>
          <w:rFonts w:hint="default" w:ascii="Times New Roman" w:hAnsi="Times New Roman" w:eastAsia="宋体" w:cs="Times New Roman"/>
          <w:sz w:val="24"/>
          <w:szCs w:val="20"/>
        </w:rPr>
      </w:pPr>
      <w:r>
        <w:rPr>
          <w:rFonts w:hint="default" w:ascii="Times New Roman" w:hAnsi="Times New Roman" w:eastAsia="宋体" w:cs="Times New Roman"/>
          <w:sz w:val="24"/>
          <w:szCs w:val="20"/>
        </w:rPr>
        <w:t>本项目为磁选工艺，废水中主要污染物为SS。</w:t>
      </w:r>
      <w:r>
        <w:rPr>
          <w:rFonts w:hint="default" w:ascii="Times New Roman" w:hAnsi="Times New Roman" w:eastAsia="宋体" w:cs="Times New Roman"/>
          <w:sz w:val="24"/>
          <w:szCs w:val="20"/>
          <w:lang w:eastAsia="zh-CN"/>
        </w:rPr>
        <w:t>浓密罐</w:t>
      </w:r>
      <w:r>
        <w:rPr>
          <w:rFonts w:hint="default" w:ascii="Times New Roman" w:hAnsi="Times New Roman" w:eastAsia="宋体" w:cs="Times New Roman"/>
          <w:sz w:val="24"/>
          <w:szCs w:val="20"/>
        </w:rPr>
        <w:t>水力停留时间均大于2h，废水SS沉降曲线参考《河东金矿废水回用研究与应用》（作者：王建国，马杰；源自《有色金属（选矿部分）》，2008年第3期）。</w:t>
      </w:r>
    </w:p>
    <w:p>
      <w:pPr>
        <w:spacing w:line="360" w:lineRule="auto"/>
        <w:ind w:firstLine="420" w:firstLineChars="200"/>
        <w:jc w:val="center"/>
        <w:rPr>
          <w:rFonts w:hint="default" w:ascii="Times New Roman" w:hAnsi="Times New Roman" w:eastAsia="宋体" w:cs="Times New Roman"/>
          <w:sz w:val="24"/>
          <w:szCs w:val="20"/>
        </w:rPr>
      </w:pPr>
      <w:r>
        <w:rPr>
          <w:rFonts w:hint="default" w:ascii="Times New Roman" w:hAnsi="Times New Roman" w:eastAsia="宋体" w:cs="Times New Roman"/>
        </w:rPr>
        <w:drawing>
          <wp:inline distT="0" distB="0" distL="114300" distR="114300">
            <wp:extent cx="4391025" cy="3257550"/>
            <wp:effectExtent l="0" t="0" r="13335" b="3810"/>
            <wp:docPr id="4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1"/>
                    <pic:cNvPicPr>
                      <a:picLocks noChangeAspect="1"/>
                    </pic:cNvPicPr>
                  </pic:nvPicPr>
                  <pic:blipFill>
                    <a:blip r:embed="rId48" cstate="print"/>
                    <a:stretch>
                      <a:fillRect/>
                    </a:stretch>
                  </pic:blipFill>
                  <pic:spPr>
                    <a:xfrm>
                      <a:off x="0" y="0"/>
                      <a:ext cx="4391025" cy="3257550"/>
                    </a:xfrm>
                    <a:prstGeom prst="rect">
                      <a:avLst/>
                    </a:prstGeom>
                    <a:noFill/>
                    <a:ln>
                      <a:noFill/>
                    </a:ln>
                  </pic:spPr>
                </pic:pic>
              </a:graphicData>
            </a:graphic>
          </wp:inline>
        </w:drawing>
      </w:r>
    </w:p>
    <w:p>
      <w:pPr>
        <w:widowControl/>
        <w:spacing w:line="360" w:lineRule="auto"/>
        <w:jc w:val="center"/>
        <w:rPr>
          <w:rFonts w:hint="default" w:ascii="Times New Roman" w:hAnsi="Times New Roman" w:eastAsia="宋体" w:cs="Times New Roman"/>
        </w:rPr>
      </w:pPr>
      <w:r>
        <w:rPr>
          <w:rFonts w:hint="default" w:ascii="Times New Roman" w:hAnsi="Times New Roman" w:eastAsia="宋体" w:cs="Times New Roman"/>
          <w:b/>
          <w:color w:val="000000"/>
          <w:kern w:val="0"/>
          <w:sz w:val="24"/>
        </w:rPr>
        <w:t>图</w:t>
      </w:r>
      <w:r>
        <w:rPr>
          <w:rFonts w:hint="default" w:ascii="Times New Roman" w:hAnsi="Times New Roman" w:eastAsia="宋体" w:cs="Times New Roman"/>
          <w:b/>
          <w:color w:val="000000"/>
          <w:kern w:val="0"/>
          <w:sz w:val="24"/>
          <w:lang w:val="en-US" w:eastAsia="zh-CN"/>
        </w:rPr>
        <w:t>5.2-2</w:t>
      </w:r>
      <w:r>
        <w:rPr>
          <w:rFonts w:hint="default" w:ascii="Times New Roman" w:hAnsi="Times New Roman" w:eastAsia="宋体" w:cs="Times New Roman"/>
          <w:b/>
          <w:color w:val="000000"/>
          <w:kern w:val="0"/>
          <w:sz w:val="24"/>
        </w:rPr>
        <w:t xml:space="preserve">  尾矿沉降曲线</w:t>
      </w:r>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选矿车间产生的矿浆进入尾矿渣甩干脱水机进行脱水浓缩，在此过程中废水容易出现跑浑现象，使得溢流水含有少量SS。为了除去这部分SS，设计在</w:t>
      </w:r>
      <w:r>
        <w:rPr>
          <w:rFonts w:hint="default" w:ascii="Times New Roman" w:hAnsi="Times New Roman" w:eastAsia="宋体" w:cs="Times New Roman"/>
          <w:color w:val="000000"/>
          <w:kern w:val="0"/>
          <w:sz w:val="24"/>
          <w:lang w:eastAsia="zh-CN"/>
        </w:rPr>
        <w:t>浓密罐</w:t>
      </w:r>
      <w:r>
        <w:rPr>
          <w:rFonts w:hint="default" w:ascii="Times New Roman" w:hAnsi="Times New Roman" w:eastAsia="宋体" w:cs="Times New Roman"/>
          <w:color w:val="000000"/>
          <w:kern w:val="0"/>
          <w:sz w:val="24"/>
        </w:rPr>
        <w:t>中添加少量絮凝剂聚丙烯酰胺（PAM），添加量为5g/m</w:t>
      </w:r>
      <w:r>
        <w:rPr>
          <w:rFonts w:hint="default" w:ascii="Times New Roman" w:hAnsi="Times New Roman" w:eastAsia="宋体" w:cs="Times New Roman"/>
          <w:color w:val="000000"/>
          <w:kern w:val="0"/>
          <w:sz w:val="24"/>
          <w:vertAlign w:val="superscript"/>
        </w:rPr>
        <w:t>3</w:t>
      </w:r>
      <w:r>
        <w:rPr>
          <w:rFonts w:hint="default" w:ascii="Times New Roman" w:hAnsi="Times New Roman" w:eastAsia="宋体" w:cs="Times New Roman"/>
          <w:color w:val="000000"/>
          <w:kern w:val="0"/>
          <w:sz w:val="24"/>
        </w:rPr>
        <w:t>。</w:t>
      </w:r>
    </w:p>
    <w:p>
      <w:pPr>
        <w:widowControl/>
        <w:spacing w:beforeLines="50" w:line="360" w:lineRule="auto"/>
        <w:ind w:firstLine="480" w:firstLineChars="200"/>
        <w:jc w:val="left"/>
        <w:rPr>
          <w:rFonts w:hint="default" w:ascii="Times New Roman" w:hAnsi="Times New Roman" w:eastAsia="宋体" w:cs="Times New Roman"/>
        </w:rPr>
      </w:pPr>
      <w:r>
        <w:rPr>
          <w:rFonts w:hint="default" w:ascii="Times New Roman" w:hAnsi="Times New Roman" w:eastAsia="宋体" w:cs="Times New Roman"/>
          <w:color w:val="000000"/>
          <w:kern w:val="0"/>
          <w:sz w:val="24"/>
        </w:rPr>
        <w:t>根据该沉降曲线分析，尾矿沉降时间大于30分钟后，沉降效率变化不大，澄清层高度可达到230mm，沉降效率可达到90%；当水力停留时间为50min时，预计沉降效率可达到95%。</w:t>
      </w:r>
    </w:p>
    <w:p>
      <w:pPr>
        <w:widowControl/>
        <w:spacing w:beforeLines="50" w:line="360" w:lineRule="auto"/>
        <w:ind w:firstLine="480" w:firstLineChars="200"/>
        <w:jc w:val="left"/>
        <w:rPr>
          <w:rFonts w:hint="default" w:ascii="Times New Roman" w:hAnsi="Times New Roman" w:eastAsia="宋体" w:cs="Times New Roman"/>
        </w:rPr>
      </w:pPr>
      <w:r>
        <w:rPr>
          <w:rFonts w:hint="default" w:ascii="Times New Roman" w:hAnsi="Times New Roman" w:eastAsia="宋体" w:cs="Times New Roman"/>
          <w:color w:val="000000"/>
          <w:kern w:val="0"/>
          <w:sz w:val="24"/>
        </w:rPr>
        <w:t>本项目尾矿沉降效率均将大于95%，可满足回水要求。本项目工艺较为简单，矿过程基本以物理过程为主，水污染物以SS为主，根据水平衡分析，正常情况下可以实现废水的零排放，对环境的影响较小。</w:t>
      </w:r>
    </w:p>
    <w:p>
      <w:pPr>
        <w:spacing w:beforeLines="50" w:line="360" w:lineRule="auto"/>
        <w:ind w:firstLine="480" w:firstLineChars="200"/>
        <w:rPr>
          <w:rFonts w:hint="default" w:ascii="Times New Roman" w:hAnsi="Times New Roman" w:eastAsia="宋体" w:cs="Times New Roman"/>
          <w:sz w:val="24"/>
          <w:szCs w:val="20"/>
        </w:rPr>
      </w:pPr>
      <w:r>
        <w:rPr>
          <w:rFonts w:hint="default" w:ascii="Times New Roman" w:hAnsi="Times New Roman" w:eastAsia="宋体" w:cs="Times New Roman"/>
          <w:sz w:val="24"/>
          <w:szCs w:val="20"/>
        </w:rPr>
        <w:t>（2）生活污水</w:t>
      </w:r>
    </w:p>
    <w:p>
      <w:pPr>
        <w:spacing w:beforeLines="50" w:line="360" w:lineRule="auto"/>
        <w:ind w:firstLine="480" w:firstLineChars="200"/>
        <w:rPr>
          <w:rFonts w:hint="default" w:ascii="Times New Roman" w:hAnsi="Times New Roman" w:eastAsia="宋体" w:cs="Times New Roman"/>
          <w:kern w:val="0"/>
          <w:sz w:val="24"/>
        </w:rPr>
      </w:pPr>
      <w:r>
        <w:rPr>
          <w:rFonts w:hint="default" w:ascii="Times New Roman" w:hAnsi="Times New Roman" w:eastAsia="宋体" w:cs="Times New Roman"/>
          <w:sz w:val="24"/>
        </w:rPr>
        <w:t>生活污水排放量按实际用水量的80%计算，约0.48m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/d，</w:t>
      </w:r>
      <w:r>
        <w:rPr>
          <w:rFonts w:hint="default" w:ascii="Times New Roman" w:hAnsi="Times New Roman" w:eastAsia="宋体" w:cs="Times New Roman"/>
          <w:sz w:val="24"/>
          <w:lang w:val="en-US" w:eastAsia="zh-CN"/>
        </w:rPr>
        <w:t>144</w:t>
      </w:r>
      <w:r>
        <w:rPr>
          <w:rFonts w:hint="default" w:ascii="Times New Roman" w:hAnsi="Times New Roman" w:eastAsia="宋体" w:cs="Times New Roman"/>
          <w:sz w:val="24"/>
        </w:rPr>
        <w:t>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/a，</w:t>
      </w:r>
      <w:r>
        <w:rPr>
          <w:rFonts w:hint="default" w:ascii="Times New Roman" w:hAnsi="Times New Roman" w:eastAsia="宋体" w:cs="Times New Roman"/>
          <w:sz w:val="24"/>
          <w:szCs w:val="20"/>
        </w:rPr>
        <w:t>主要污染物为SS、COD、NH</w:t>
      </w:r>
      <w:r>
        <w:rPr>
          <w:rFonts w:hint="default" w:ascii="Times New Roman" w:hAnsi="Times New Roman" w:eastAsia="宋体" w:cs="Times New Roman"/>
          <w:sz w:val="24"/>
          <w:szCs w:val="20"/>
          <w:vertAlign w:val="subscript"/>
        </w:rPr>
        <w:t>3</w:t>
      </w:r>
      <w:r>
        <w:rPr>
          <w:rFonts w:hint="default" w:ascii="Times New Roman" w:hAnsi="Times New Roman" w:eastAsia="宋体" w:cs="Times New Roman"/>
          <w:sz w:val="24"/>
          <w:szCs w:val="20"/>
        </w:rPr>
        <w:t>-N等，</w:t>
      </w:r>
      <w:r>
        <w:rPr>
          <w:rFonts w:hint="default" w:ascii="Times New Roman" w:hAnsi="Times New Roman" w:eastAsia="宋体" w:cs="Times New Roman"/>
          <w:sz w:val="24"/>
        </w:rPr>
        <w:t>排入1座有效容积约15m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的防渗旱厕（防渗系数≤1.0×10</w:t>
      </w:r>
      <w:r>
        <w:rPr>
          <w:rFonts w:hint="default" w:ascii="Times New Roman" w:hAnsi="Times New Roman" w:eastAsia="宋体" w:cs="Times New Roman"/>
          <w:sz w:val="24"/>
          <w:vertAlign w:val="superscript"/>
        </w:rPr>
        <w:t>-7</w:t>
      </w:r>
      <w:r>
        <w:rPr>
          <w:rFonts w:hint="default" w:ascii="Times New Roman" w:hAnsi="Times New Roman" w:eastAsia="宋体" w:cs="Times New Roman"/>
          <w:sz w:val="24"/>
        </w:rPr>
        <w:t>cm/s），旱厕定期清掏、用作农肥。</w:t>
      </w:r>
    </w:p>
    <w:p>
      <w:pPr>
        <w:bidi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sz w:val="24"/>
          <w:szCs w:val="20"/>
        </w:rPr>
        <w:t>综上所述，本项目正常工况下，污水处理设施可行，可实现废水零排放，对地表水环境的影响很小</w:t>
      </w:r>
      <w:r>
        <w:rPr>
          <w:rFonts w:hint="default" w:ascii="Times New Roman" w:hAnsi="Times New Roman" w:eastAsia="宋体" w:cs="Times New Roman"/>
          <w:color w:val="auto"/>
          <w:sz w:val="24"/>
          <w:lang w:val="en-US" w:eastAsia="zh-CN"/>
        </w:rPr>
        <w:t>。</w:t>
      </w:r>
      <w:bookmarkStart w:id="594" w:name="_GoBack"/>
      <w:bookmarkEnd w:id="594"/>
    </w:p>
    <w:p>
      <w:pPr>
        <w:spacing w:beforeLines="50" w:line="360" w:lineRule="auto"/>
        <w:outlineLvl w:val="2"/>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color w:val="auto"/>
          <w:sz w:val="28"/>
          <w:szCs w:val="28"/>
          <w:highlight w:val="none"/>
        </w:rPr>
        <w:t>5.2.3运营期地下水环境影响分析</w:t>
      </w:r>
    </w:p>
    <w:p>
      <w:pPr>
        <w:spacing w:line="360" w:lineRule="auto"/>
        <w:ind w:firstLine="504" w:firstLineChars="200"/>
        <w:rPr>
          <w:rFonts w:hint="default" w:ascii="Times New Roman" w:hAnsi="Times New Roman" w:eastAsia="宋体" w:cs="Times New Roman"/>
          <w:color w:val="auto"/>
          <w:spacing w:val="6"/>
          <w:sz w:val="24"/>
          <w:lang w:val="en-US" w:eastAsia="zh-CN"/>
        </w:rPr>
      </w:pPr>
      <w:bookmarkStart w:id="258" w:name="_Toc24879971"/>
      <w:r>
        <w:rPr>
          <w:rFonts w:hint="default" w:ascii="Times New Roman" w:hAnsi="Times New Roman" w:eastAsia="宋体" w:cs="Times New Roman"/>
          <w:color w:val="auto"/>
          <w:spacing w:val="6"/>
          <w:sz w:val="24"/>
          <w:lang w:val="en-US" w:eastAsia="zh-CN"/>
        </w:rPr>
        <w:t>1.区域水文地质概况</w:t>
      </w:r>
      <w:bookmarkEnd w:id="258"/>
    </w:p>
    <w:p>
      <w:pPr>
        <w:spacing w:line="360" w:lineRule="auto"/>
        <w:ind w:firstLine="504" w:firstLineChars="200"/>
        <w:rPr>
          <w:rFonts w:hint="default" w:ascii="Times New Roman" w:hAnsi="Times New Roman" w:eastAsia="宋体" w:cs="Times New Roman"/>
          <w:color w:val="auto"/>
          <w:spacing w:val="6"/>
          <w:sz w:val="24"/>
          <w:lang w:val="en-US" w:eastAsia="zh-CN"/>
        </w:rPr>
      </w:pPr>
      <w:bookmarkStart w:id="259" w:name="_Toc24879972"/>
      <w:bookmarkStart w:id="260" w:name="_Toc324749441"/>
      <w:r>
        <w:rPr>
          <w:rFonts w:hint="default" w:ascii="Times New Roman" w:hAnsi="Times New Roman" w:eastAsia="宋体" w:cs="Times New Roman"/>
          <w:color w:val="auto"/>
          <w:spacing w:val="6"/>
          <w:sz w:val="24"/>
          <w:lang w:val="en-US" w:eastAsia="zh-CN"/>
        </w:rPr>
        <w:t>（1）地下水类型及富水性</w:t>
      </w:r>
      <w:bookmarkEnd w:id="259"/>
    </w:p>
    <w:bookmarkEnd w:id="260"/>
    <w:p>
      <w:pPr>
        <w:spacing w:line="360" w:lineRule="auto"/>
        <w:ind w:firstLine="504" w:firstLineChars="200"/>
        <w:rPr>
          <w:rFonts w:hint="default" w:ascii="Times New Roman" w:hAnsi="Times New Roman" w:eastAsia="宋体" w:cs="Times New Roman"/>
          <w:color w:val="auto"/>
          <w:spacing w:val="6"/>
          <w:sz w:val="24"/>
          <w:lang w:val="en-US" w:eastAsia="zh-CN"/>
        </w:rPr>
      </w:pPr>
      <w:bookmarkStart w:id="261" w:name="_Toc353949609"/>
      <w:r>
        <w:rPr>
          <w:rFonts w:hint="default" w:ascii="Times New Roman" w:hAnsi="Times New Roman" w:eastAsia="宋体" w:cs="Times New Roman"/>
          <w:color w:val="auto"/>
          <w:spacing w:val="6"/>
          <w:sz w:val="24"/>
          <w:lang w:val="en-US" w:eastAsia="zh-CN"/>
        </w:rPr>
        <w:t>工作区地下水的赋存条件受地层岩性、构造、地貌及水文、气象等自然因素控制。根据区内地下水的赋存条件、水力特征、水理性质，将地下水分为松散岩类孔隙水，碎屑岩类裂隙水，基岩裂隙水。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1）松散岩类孔隙水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松散岩类孔隙水赋存于大凌河及支流河谷含水层中，其富水程度主要受含水层厚度、分选磨圆程度、地貌部位等条件的控制，以厚度变化的影响较为突出。按单井涌水量将富水程度分四级，水量丰富区（单井涌水量＞3000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/d）；水量较丰富区（单井涌水量1000~3000m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/d）；水量中等区（单井涌水量100~1000m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/d）；水量贫乏区（单井涌水量＜100m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①河谷平原及山间河谷区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地下水赋存于河漫滩及一级阶地含水层中，含水层由砂、砂砾卵石组成，分布较为连续，但厚度变化大，5~40m不等，水质较好，为重碳酸钙型水，矿化度一般为0.3~0.7g/L，其富水等级分三级：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水量丰富区（单井涌水量＞3000m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/d）：小面积分布于朝阳市区附近，含水层以全新统冲积物组成，具二元结构，含水层厚度可达40m，渗透系数200~350m/d，地下水埋深4~8m，开采强度较大的市区埋深可达10~20m。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水量较丰富区（单井涌水量1000~3000m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/d）：沿大凌河河谷呈条带状分布，含水层由全新统冲积物构成，其厚度变化较大为10~20m，含水层渗透系数100~200m/d，地下水位埋深3~5m。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水量中等区（单井涌水量100~1000m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分布于大凌河支流的十家子河、东五宫营子河、黑城子河漫滩及两侧不连续的一级阶地，含水层由砂砾石、中粗砂组成。含水层厚度在垂向及水平方向上变化较大，含水层渗透系数为30~70m/d。地下水埋深变化较大，一般在3~10m，含水层之上普遍有2~6m亚砂土、亚粘土覆盖，局部地段地下水具微承压。</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②坡洪积扇裙、山间谷地区</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含水层由砂砾卵石、砂砾碎石混土组成，呈薄层或透镜体状，地下水化学类型为重碳酸钙型水，矿化度一般小于0.5g/L，其富水等级为水量贫乏区。</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水量贫乏区（单井涌水量＜100m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/d）：主要分布于大凌河支流两侧的坡洪积扇裙和山间谷地之中，含水层分布不稳定，厚度变化大，含水层厚度从山前到扇裙前缘或谷地由薄到厚，由小于5m到5~10m，个别可达20m。单井涌水量＜100m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/d，个别大于100 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/d，地下水位埋深一般5~10m，个别大于10m，渗透系数变化较大0.3~140m/d，多为孔隙潜水。</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2）碎屑岩裂隙孔隙水</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该类别水埋藏于朝阳、北票~哈尔脑盆地及大平房单斜等贮水构造中，含水岩组由侏罗系砂砾岩、砂岩、油页岩及煤系地层组成。地下水的赋存条件除受岩性、地貌控制外，亦受构造控制，在构造不同部位，富水性亦随之变化，一般在断层或裂隙密集发育地带，富水性较好，单井涌水量100~1000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/d，而裂隙不发育区，单井涌水量多＜100m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/d，多为承压水，水化学类型为重碳酸钙钠型水，矿化度在0.5~1.0g/L。</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①朝阳盆地裂隙孔隙水</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朝阳盆地为一中生代向斜盆地，东部以南天门断裂为界，北部、西部以不整合关系与义县组火山岩接触，走向北东25~30°，宽约10km，长约20km，由侏罗系九佛堂组与阜新组砂页岩夹砂砾岩和油页岩组成。地层倾角一般小于10°，翼部倾角17~34°，外转折端可达30~60°，低次序张裂隙发育，大部分地区被第四系所覆盖。含水岩组由砂岩、砂砾岩组成，隔水层为页岩、油页岩。从轴部到翼部，从上到下，大致可分成三段。</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一段以页岩为主，夹油页岩和砂岩，分布于轴部，厚度较小，约50~110m。</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二段在轴部外围，东翼较发育，垂向上在一段下部，以砂页岩为主，夹油页岩，颗粒稍粗。</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三段分布于翼部，西翼较发育，以砂岩、含砾粗砂岩为主，厚约200m。</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朝阳盆地是比较富水的，钻孔涌水一般在100~1000m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/d，水位埋深2.4~21.97m，其富水程度主要受构造控制，岩性次之。</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②北票~哈尔脑盆地裂隙孔隙水</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北票~哈尔脑盆地为一不对称的中生代复向斜构造盆地，东南、西北两侧均以断裂为界，盆地轴向50~60°，宽17km，长60km，由侏罗系碎屑岩、含煤碎屑岩及火山岩组成。次级构造还划分为大馒沟向斜、矫麻子沟背斜、莱阳营子~哈尔脑向斜等。</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由于长期受构造运动影响，盆地边界条件变得比较复杂，所以盆地内属于裂隙孔隙水区的范围和边界条件，即不完整又不能和盆地边界相吻合。</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区内表层以风化裂隙为主，风化壳厚7.6~20.86m，出露泉点流量大于0.11/s。</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③大平房子单斜裂隙孔隙水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大坪房子单斜主要由九佛堂、阜新组砂砾岩夹页岩和煤层组成，胶结较差，岩性结构比较疏松，孔隙裂隙均较发育，表层风化裂隙比较发育，大部分地区泉流量大于0.11/s，局部小于0.11/s，根据地层结构特征、泉点流量特征、邻近钻孔出水量推测大坪房子单斜深部含有裂隙孔隙水，单井涌水量可达100~1000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/d，局部小于100m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3）基岩裂隙水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工作区内基岩区除碎屑岩类裂隙孔隙水、碳酸盐岩类裂隙岩溶水外，余者皆为基岩裂隙水。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基岩裂隙水赋存于变质岩、侵入岩、火山岩、碎屑岩及火山碎屑岩风化裂隙、层间裂隙及成岩裂隙之中。按岩性、裂隙性质、发育程度及地下水的赋存特征分为块状岩类裂隙水和层状岩类裂隙水。</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①块状岩类裂隙水</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分布于西北部的娄家店乡、东五官营子乡、东五家子、及中部的老西山等地，其它地段零星分布。含水层为太古界（Ar）片麻岩类，侏罗系、白垩系安山岩、安山质熔岩、安山集块岩、玄武岩及各期侵入花岗岩、闪长岩、辉绿岩等，风化裂隙、构造裂隙和侵入岩成岩裂隙比较发育。地貌位置多为中低山、低山、丘陵地区，岩石裸露，表层风化严重，植被较发育，有利于大气降水的渗入，在岩性、地貌、构造因素有利部位，常有泉出露，泉流量一般0.05~1.01/s，按其泉流量大小，分为大于0.11/s和小于0.11/s两个富水等级。</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块状岩类裂隙水单井涌水量一般皆小于100m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/d，水质较好，为重碳酸钙型水，矿化度小于0.5g/L。</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②层状岩类裂隙水</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主要分布于东部、东北部，含水层为侏罗系兴隆沟组（J</w:t>
      </w:r>
      <w:r>
        <w:rPr>
          <w:rFonts w:hint="default" w:ascii="Times New Roman" w:hAnsi="Times New Roman" w:eastAsia="宋体" w:cs="Times New Roman"/>
          <w:color w:val="auto"/>
          <w:sz w:val="24"/>
          <w:vertAlign w:val="subscript"/>
        </w:rPr>
        <w:t>1</w:t>
      </w:r>
      <w:r>
        <w:rPr>
          <w:rFonts w:hint="default" w:ascii="Times New Roman" w:hAnsi="Times New Roman" w:eastAsia="宋体" w:cs="Times New Roman"/>
          <w:color w:val="auto"/>
          <w:sz w:val="24"/>
        </w:rPr>
        <w:t>x）、兰旗组（J</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l）、三迭系（T）及白垩系义县组（K</w:t>
      </w:r>
      <w:r>
        <w:rPr>
          <w:rFonts w:hint="default" w:ascii="Times New Roman" w:hAnsi="Times New Roman" w:eastAsia="宋体" w:cs="Times New Roman"/>
          <w:color w:val="auto"/>
          <w:sz w:val="24"/>
          <w:vertAlign w:val="subscript"/>
        </w:rPr>
        <w:t>1</w:t>
      </w:r>
      <w:r>
        <w:rPr>
          <w:rFonts w:hint="default" w:ascii="Times New Roman" w:hAnsi="Times New Roman" w:eastAsia="宋体" w:cs="Times New Roman"/>
          <w:color w:val="auto"/>
          <w:sz w:val="24"/>
        </w:rPr>
        <w:t>y）砂页岩、砾岩、凝灰质砂页岩、砂砾岩、火山碎屑岩及元古宇长城系石英砂岩、石英岩、砂页岩等。节理裂隙发育程度因岩性而异，石英岩、砂砾岩一般发育两组裂隙，面裂隙率1.68%。义县组火山岩节理裂隙发育较差，面裂隙率只有0.93%。充水裂隙以层状裂隙和风化裂隙为主，依据岩石裂隙的发育程度、泥砂质充填裂隙情况、地貌条件、泉点流量大小划分两个富水等级。</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③基岩裂隙水的赋存规律</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基岩裂隙水受岩性控制：由于岩性不同，节理裂隙发育很不均匀，裂隙性质和发育程度有所不同，富水性随之变化。如片麻岩，由于形成年代较早，经多次构造运动，风化、构造裂隙均较发育，岩石变质程度深，易于风化，风化壳厚度达16~25m，泉流量多数大于0.11/s，径流模数在0.06~0.881/s km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花岗岩类发育两组裂隙，且张开性好，宽0.1~1mm，富水性好。安山岩、玄武岩为中基性铁镁矽酸盐岩类，岩石坚硬，抗风化能力强，以构造裂隙和成岩裂隙为主，但因时代较晚，受构造运动次数少，节理裂隙均不甚发育，泉流量多数小于0.11/s。</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基岩裂隙水受构造控制：从区域上讲，区内各构造体系不同，在褶皱、断裂影响范围内，裂隙的主导方向、裂隙发育程度也就不同。</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西北部地区，地层较老，东西向、华夏系、新华夏构造均对区域有所影响，岩石节理裂隙显示多方向性，面裂隙率较高，泉点多，流量较大，多数大于0.11/s。</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中部地区地层亦较老，受华夏系、新华夏系构造控制，以北东向、北北东向及其伴生的北西向张裂隙比较发育，面积裂隙率较低，泉流量较小，多小于0.11/s。同时，构造性质也决定着富水性，在一些压性断裂、压扭性断裂带上，受挤压影响，断层内产生糜棱岩及糜棱岩化，裂隙多被绿泥石充填，富水性极差，钻孔涌水量较小或干眼。</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基岩裂隙水受地貌控制：区内中低山、低山、丘陵占据工作区大部，地形切割深度较大，所以在沟头、谷底泉水出露较多，同时受汇水面积及风化壳厚度的影响，泉流量有明显变化。如标高600m以上，汇水面积较小，一般风化壳较薄，泉点少、流量小。标高在600~200m地区，处于分水岭外围，风化壳较厚，汇水面积较大，具有一定的切割深度，泉点出露最多，流量也较大。而标高在200m以下地区，由于切割深度浅，地下水多以地下径流形式排泄，很少有泉出露，且流量也较小。</w:t>
      </w:r>
    </w:p>
    <w:bookmarkEnd w:id="261"/>
    <w:p>
      <w:pPr>
        <w:spacing w:line="360" w:lineRule="auto"/>
        <w:ind w:firstLine="480" w:firstLineChars="200"/>
        <w:rPr>
          <w:rFonts w:hint="default" w:ascii="Times New Roman" w:hAnsi="Times New Roman" w:eastAsia="宋体" w:cs="Times New Roman"/>
          <w:color w:val="auto"/>
          <w:sz w:val="24"/>
        </w:rPr>
      </w:pPr>
      <w:bookmarkStart w:id="262" w:name="_Toc24879973"/>
      <w:bookmarkStart w:id="263" w:name="_Toc353949610"/>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地下水的补给、径流与排泄条件</w:t>
      </w:r>
      <w:bookmarkEnd w:id="262"/>
      <w:bookmarkEnd w:id="263"/>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评价区内地下水主要来源于大气降水的入渗补给，排泄以人工开采为主，地下水的补给、径流、排泄条件受地形、地貌、岩性、构造、水文地质及人工开采等条件的控制。</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1）地下水的补给条件</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中低山、低山、丘陵地区由于地势较高，切割深度较大，基岩冲沟比较发育，岩石裸露，植被较少，地表径流较好，不利于大气降水的渗入补给。河谷地区地势平坦，地表岩性大部分为亚砂土，局部为砂、砂砾石，有利于大气降水的渗入补给。地下水在丰水季节接受大气降水渗入补给，同时也接受来自山区水平方向上的补给，在枯水季节侧向补给成为唯一的补给形式。</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2）地下水的径流条件</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中低山、低山、丘陵区岩石节理裂隙发育，多发育两组节理，风化破碎严重，连通性一般，但由于地面坡度较大，水力坡度亦较大，其地下水径流条件较好。</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山前坡洪积扇裙、山间谷地由于所处地貌位置较高，地面坡度较大，地表岩性为亚粘土或含砾亚粘土、亚粘土，下部砂砾石或砂砾碎石混土断续分布，渗透性较差，水力坡度为11%。，径流条件一般。河谷平原区地势平坦，表层为亚砂土、亚粘土或砂~砂砾卵石层，下部砂、砂砾卵石层透水性好，渗透系数一般50~200m/d，水力坡度4.3~6.4%，径流条件好。</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3）地下水的排泄条件</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下水的排泄主要以人工开采为主，次为径流排泄，河谷区是地下水排泄的主要地段。中低山、低山、丘陵区地下水除以泉的形式排泄于地表外，主要以地下水径流形式补给坡洪积扇裙，山间谷地或河谷平原。坡洪积扇裙区除以泉的形式排泄外，主要以地下水径流补给河谷、河谷平原及农村生活用水的开采。山间河谷及河谷平原区除以地下径流形式补给河水或向下游排泄外，地下水的排泄形式主要为人工开采。</w:t>
      </w:r>
    </w:p>
    <w:p>
      <w:pPr>
        <w:spacing w:line="360" w:lineRule="auto"/>
        <w:ind w:firstLine="480" w:firstLineChars="200"/>
        <w:rPr>
          <w:rFonts w:hint="default" w:ascii="Times New Roman" w:hAnsi="Times New Roman" w:eastAsia="宋体" w:cs="Times New Roman"/>
          <w:color w:val="auto"/>
          <w:sz w:val="24"/>
          <w:szCs w:val="24"/>
        </w:rPr>
      </w:pPr>
      <w:bookmarkStart w:id="264" w:name="_Toc24879974"/>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地下水动态特征</w:t>
      </w:r>
      <w:bookmarkEnd w:id="264"/>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地下水位动态受气象、水文、开采条件等控制，据其动态特征可分为降水入渗型、地下径流型及降水入渗径流开采型。</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1）降水入渗型</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地下水位动态和降水曲线基本同步变化，地下水位曲线略显滞后，反映地下水位主要受大气降水控制，降雨季节，水位抬升，泉流量增大，雨季过后随之下降，这种现象在山区、丘陵地区反映明显。</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2）地下径流型</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分布于山前坡洪积扇裙地带及沟谷上游的地下径流强烈地段，其特点是季节性水位变化较小，年内水位变幅一般在1.0m左右，地下水位动态曲线表现为雨季开始后，经过一段时间，地下水位才开始上升，且雨季过后水位也不马上下降，表明不仅接受垂向补给，且还有侧向补给，而侧向补给表现滞后一段时间。</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3）降水入渗径流开采型</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分布于工业及农业集中开采地段，地下水位动态除受降水等气象因素影响外，同时受人工开采的影响。1993年以前无论是丰水年还是枯水年，动水位均处于系统下降的非稳定状态，丰水年下降幅度较小，雨季略有回升，枯水年水位下降幅度大，地下水位每年下降速率除与开采量逐年增加有关，其次还与当年降水量的大小有关。1~4月份降水量较少，地下径流较弱，地下水位处于较平稳的下降阶段。到5月份后，由于农业用水对地下水的开采，此时地下水位下降较快，并在6月初达到年内最低水位。6月中下旬以后，降水量开始增加，随着农业开采的减少，地下径流加强，水位有所上升，至8月中旬达到年内最高位。8月份以后，地下径流与开采量大体平衡，地下水位较为平稳。</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4）地下水化学类型</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评价区域内地下水水化学类型较简单，主要以HCO3—Ca型居多，区域水质较硬。水化学类型相对稳定。</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就现有资料分析，大部分地段的矿化动态并不大，但由于含水层深浅部位不同，外界影响因素的影响程度不等，矿化度的动态变化亦有差异。总的规律是：浅层水矿化度高于深层水。雨季到来后，降雨量增加，蒸发量减小，浅层水矿化度下降。春秋季节降雨量减少，蒸发量加大，矿化度逐渐升高。但总体年变化幅度不大。</w:t>
      </w:r>
    </w:p>
    <w:p>
      <w:pPr>
        <w:spacing w:line="360" w:lineRule="auto"/>
        <w:ind w:firstLine="480" w:firstLineChars="200"/>
        <w:rPr>
          <w:rFonts w:hint="default" w:ascii="Times New Roman" w:hAnsi="Times New Roman" w:eastAsia="宋体" w:cs="Times New Roman"/>
          <w:color w:val="auto"/>
          <w:sz w:val="24"/>
          <w:szCs w:val="24"/>
        </w:rPr>
      </w:pPr>
      <w:bookmarkStart w:id="265" w:name="_Toc24879975"/>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区域地下水开采利用现状</w:t>
      </w:r>
      <w:bookmarkEnd w:id="265"/>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区域地下水资源开发包括第四系地下水和上第三系地下水。区内第四系地下水较少，区域降雨量较少，属于干旱地区，原主要作为农村分散式饮用水源（人畜饮水），现潜水含水层地下水含量较少，随季节性变化较大，现大多已经荒废，少量仍在使用。上第三系地下水属承压水，埋深较深，含水层埋藏深度200~1200m，径流滞缓、循环周期长、水温较高等特点，是区域生活和工业用水的主要来源。由于多年的盲目乱开乱采，地下水位已呈区域性下降。评价范围内无地表水（水</w:t>
      </w:r>
      <w:r>
        <w:rPr>
          <w:rFonts w:hint="default" w:ascii="Times New Roman" w:hAnsi="Times New Roman" w:eastAsia="宋体" w:cs="Times New Roman"/>
          <w:color w:val="auto"/>
          <w:sz w:val="24"/>
          <w:szCs w:val="24"/>
          <w:lang w:val="en-US" w:eastAsia="zh-CN"/>
        </w:rPr>
        <w:t>库、河流）型水源地。</w:t>
      </w:r>
    </w:p>
    <w:p>
      <w:pPr>
        <w:spacing w:line="360" w:lineRule="auto"/>
        <w:ind w:firstLine="480" w:firstLineChars="200"/>
        <w:rPr>
          <w:rFonts w:hint="default" w:ascii="Times New Roman" w:hAnsi="Times New Roman" w:eastAsia="宋体" w:cs="Times New Roman"/>
          <w:color w:val="auto"/>
          <w:sz w:val="24"/>
          <w:szCs w:val="24"/>
          <w:lang w:val="en-US" w:eastAsia="zh-CN"/>
        </w:rPr>
      </w:pPr>
      <w:bookmarkStart w:id="266" w:name="_Toc24879976"/>
      <w:r>
        <w:rPr>
          <w:rFonts w:hint="default" w:ascii="Times New Roman" w:hAnsi="Times New Roman" w:eastAsia="宋体" w:cs="Times New Roman"/>
          <w:color w:val="auto"/>
          <w:sz w:val="24"/>
          <w:szCs w:val="24"/>
          <w:lang w:val="en-US" w:eastAsia="zh-CN"/>
        </w:rPr>
        <w:t>3、区域地下水污染源调查</w:t>
      </w:r>
      <w:bookmarkEnd w:id="266"/>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地下水污染源主要包括工业污染源、生活污染源和农业污染源。对调查区内的工业污染源，按原国家环保总局《工业污染源调查技术要求及其建档技术规定》的要求进行调查，最终调查结果如下：</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（1）工业污染源调查</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本项目位于园区内，项目附近均为工业企业，主要污染物为各种有机化合物。如防渗措施不到位，可能会对地下水造成污染。</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（2）农业污染源调查</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根据调查结果可知，调查区范围内的农业污染源主要为化肥的使用，如铵肥、磷肥和尿素等。调查区范围内外围有大面积耕地，化肥和农药的施用可能会对地下水造成污染。</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（3）生活污染源</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根据调查结果可知，评价区内零散地分布着一些村落，村落居民生活垃圾的堆放、生活污水的排放以及厕所粪便淋滤渗漏皆对地下水造成污染。</w:t>
      </w:r>
    </w:p>
    <w:p>
      <w:pPr>
        <w:spacing w:line="360" w:lineRule="auto"/>
        <w:ind w:firstLine="480" w:firstLineChars="200"/>
        <w:rPr>
          <w:rFonts w:hint="default" w:ascii="Times New Roman" w:hAnsi="Times New Roman" w:eastAsia="宋体" w:cs="Times New Roman"/>
          <w:color w:val="auto"/>
          <w:sz w:val="24"/>
          <w:lang w:val="en-US" w:eastAsia="zh-CN"/>
        </w:rPr>
      </w:pPr>
      <w:bookmarkStart w:id="267" w:name="_Toc24879977"/>
      <w:r>
        <w:rPr>
          <w:rFonts w:hint="default" w:ascii="Times New Roman" w:hAnsi="Times New Roman" w:eastAsia="宋体" w:cs="Times New Roman"/>
          <w:color w:val="auto"/>
          <w:sz w:val="24"/>
          <w:lang w:val="en-US" w:eastAsia="zh-CN"/>
        </w:rPr>
        <w:t>4、水文地质条件</w:t>
      </w:r>
      <w:bookmarkEnd w:id="267"/>
    </w:p>
    <w:p>
      <w:pPr>
        <w:spacing w:line="360" w:lineRule="auto"/>
        <w:ind w:firstLine="480" w:firstLineChars="200"/>
        <w:rPr>
          <w:rFonts w:hint="default" w:ascii="Times New Roman" w:hAnsi="Times New Roman" w:eastAsia="宋体" w:cs="Times New Roman"/>
          <w:color w:val="auto"/>
          <w:sz w:val="24"/>
          <w:lang w:val="en-US" w:eastAsia="zh-CN"/>
        </w:rPr>
      </w:pPr>
      <w:bookmarkStart w:id="268" w:name="_Toc24879978"/>
      <w:r>
        <w:rPr>
          <w:rFonts w:hint="default" w:ascii="Times New Roman" w:hAnsi="Times New Roman" w:eastAsia="宋体" w:cs="Times New Roman"/>
          <w:color w:val="auto"/>
          <w:sz w:val="24"/>
          <w:lang w:val="en-US" w:eastAsia="zh-CN"/>
        </w:rPr>
        <w:t>（1）水文地质条件</w:t>
      </w:r>
      <w:bookmarkEnd w:id="268"/>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按地下水的埋藏特征和介质条件，将评价区地下水分为三大基本类型，即松散岩类孔隙水、碎屑岩类孔隙裂隙水和碳酸盐岩类岩溶裂隙水。</w:t>
      </w:r>
    </w:p>
    <w:p>
      <w:pPr>
        <w:bidi w:val="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drawing>
          <wp:anchor distT="0" distB="0" distL="114300" distR="114300" simplePos="0" relativeHeight="251723776" behindDoc="0" locked="0" layoutInCell="1" allowOverlap="1">
            <wp:simplePos x="0" y="0"/>
            <wp:positionH relativeFrom="column">
              <wp:posOffset>5321935</wp:posOffset>
            </wp:positionH>
            <wp:positionV relativeFrom="paragraph">
              <wp:posOffset>24130</wp:posOffset>
            </wp:positionV>
            <wp:extent cx="508000" cy="710565"/>
            <wp:effectExtent l="0" t="0" r="10160" b="5715"/>
            <wp:wrapNone/>
            <wp:docPr id="64" name="图片 2950" descr="1591236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950" descr="1591236247(1)"/>
                    <pic:cNvPicPr>
                      <a:picLocks noChangeAspect="1"/>
                    </pic:cNvPicPr>
                  </pic:nvPicPr>
                  <pic:blipFill>
                    <a:blip r:embed="rId30"/>
                    <a:stretch>
                      <a:fillRect/>
                    </a:stretch>
                  </pic:blipFill>
                  <pic:spPr>
                    <a:xfrm>
                      <a:off x="0" y="0"/>
                      <a:ext cx="508000" cy="710565"/>
                    </a:xfrm>
                    <a:prstGeom prst="rect">
                      <a:avLst/>
                    </a:prstGeom>
                    <a:noFill/>
                    <a:ln>
                      <a:noFill/>
                    </a:ln>
                  </pic:spPr>
                </pic:pic>
              </a:graphicData>
            </a:graphic>
          </wp:anchor>
        </w:drawing>
      </w:r>
      <w:r>
        <w:rPr>
          <w:rFonts w:hint="default" w:ascii="Times New Roman" w:hAnsi="Times New Roman" w:eastAsia="宋体" w:cs="Times New Roman"/>
          <w:color w:val="auto"/>
        </w:rPr>
        <w:pict>
          <v:shape id="椭圆 23" o:spid="_x0000_s2761" o:spt="3" type="#_x0000_t3" style="position:absolute;left:0pt;margin-left:209.55pt;margin-top:61.15pt;height:6.8pt;width:6.8pt;z-index:251717632;v-text-anchor:middle;mso-width-relative:page;mso-height-relative:page;" fillcolor="#FF0000" filled="t" stroked="t" coordsize="21600,21600" o:gfxdata="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gT8nMdcAAAALAQAADwAAAAAAAAABACAAAAAiAAAAZHJzL2Rvd25y&#10;ZXYueG1sUEsBAhQAFAAAAAgAh07iQIxEtI9xAgAA+QQAAA4AAAAAAAAAAQAgAAAAJgEAAGRycy9l&#10;Mm9Eb2MueG1sUEsFBgAAAAAGAAYAWQEAAAkGAAAAAA==&#10;">
            <v:path/>
            <v:fill on="t" focussize="0,0"/>
            <v:stroke weight="2pt" color="#FF0000" joinstyle="round"/>
            <v:imagedata o:title=""/>
            <o:lock v:ext="edit" aspectratio="f"/>
          </v:shape>
        </w:pict>
      </w:r>
      <w:r>
        <w:rPr>
          <w:rFonts w:hint="default" w:ascii="Times New Roman" w:hAnsi="Times New Roman" w:eastAsia="宋体" w:cs="Times New Roman"/>
          <w:color w:val="auto"/>
          <w:sz w:val="21"/>
        </w:rPr>
        <w:pict>
          <v:shape id="矩形标注 71" o:spid="_x0000_s2762" o:spt="61" type="#_x0000_t61" style="position:absolute;left:0pt;margin-left:120.55pt;margin-top:134.55pt;height:31pt;width:79pt;z-index:251718656;mso-width-relative:page;mso-height-relative:page;" fillcolor="#FFFFFF" filled="t" stroked="t" coordsize="21600,21600" o:gfxdata="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fX8/2dYAAAALAQAADwAAAAAA&#10;AAABACAAAAAiAAAAZHJzL2Rvd25yZXYueG1sUEsBAhQAFAAAAAgAh07iQApXd2SHAgAALgUAAA4A&#10;AAAAAAAAAQAgAAAAJQEAAGRycy9lMm9Eb2MueG1sUEsFBgAAAAAGAAYAWQEAAB4GAAAAAA==&#10;" adj="24662,-47658">
            <v:path/>
            <v:fill type="gradient" on="t" color2="#FFFFFF" angle="90" focus="100%" focussize="0f,0f" rotate="t"/>
            <v:stroke color="#000000" joinstyle="miter"/>
            <v:imagedata o:title=""/>
            <o:lock v:ext="edit" aspectratio="f"/>
            <v:textbox>
              <w:txbxContent>
                <w:p>
                  <w:pPr>
                    <w:rPr>
                      <w:rFonts w:hint="default" w:eastAsia="宋体"/>
                      <w:lang w:val="en-US" w:eastAsia="zh-CN"/>
                    </w:rPr>
                  </w:pPr>
                  <w:r>
                    <w:rPr>
                      <w:rFonts w:hint="eastAsia"/>
                      <w:lang w:val="en-US" w:eastAsia="zh-CN"/>
                    </w:rPr>
                    <w:t>项目所在地</w:t>
                  </w:r>
                </w:p>
              </w:txbxContent>
            </v:textbox>
          </v:shape>
        </w:pict>
      </w:r>
      <w:r>
        <w:rPr>
          <w:rFonts w:hint="default" w:ascii="Times New Roman" w:hAnsi="Times New Roman" w:eastAsia="宋体" w:cs="Times New Roman"/>
          <w:color w:val="auto"/>
          <w:lang w:eastAsia="zh-CN"/>
        </w:rPr>
        <w:drawing>
          <wp:inline distT="0" distB="0" distL="114300" distR="114300">
            <wp:extent cx="5884545" cy="3875405"/>
            <wp:effectExtent l="0" t="0" r="13335" b="10795"/>
            <wp:docPr id="70" name="图片 70" descr="16341716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1634171678(1)"/>
                    <pic:cNvPicPr>
                      <a:picLocks noChangeAspect="1"/>
                    </pic:cNvPicPr>
                  </pic:nvPicPr>
                  <pic:blipFill>
                    <a:blip r:embed="rId49"/>
                    <a:stretch>
                      <a:fillRect/>
                    </a:stretch>
                  </pic:blipFill>
                  <pic:spPr>
                    <a:xfrm>
                      <a:off x="0" y="0"/>
                      <a:ext cx="5884545" cy="3875405"/>
                    </a:xfrm>
                    <a:prstGeom prst="rect">
                      <a:avLst/>
                    </a:prstGeom>
                  </pic:spPr>
                </pic:pic>
              </a:graphicData>
            </a:graphic>
          </wp:inline>
        </w:drawing>
      </w:r>
    </w:p>
    <w:p>
      <w:pPr>
        <w:pStyle w:val="2"/>
        <w:ind w:left="481" w:leftChars="229" w:firstLine="2168" w:firstLineChars="900"/>
        <w:rPr>
          <w:rFonts w:hint="default" w:ascii="Times New Roman" w:hAnsi="Times New Roman" w:eastAsia="宋体" w:cs="Times New Roman"/>
          <w:b/>
          <w:bCs/>
          <w:color w:val="auto"/>
          <w:sz w:val="24"/>
          <w:highlight w:val="none"/>
          <w:lang w:val="en-US" w:eastAsia="zh-CN"/>
        </w:rPr>
      </w:pPr>
    </w:p>
    <w:p>
      <w:pPr>
        <w:pStyle w:val="2"/>
        <w:ind w:left="481" w:leftChars="229" w:firstLine="2168" w:firstLineChars="9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图5.2-2  项目所在区域水文地质图</w:t>
      </w: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1：100000</w:t>
      </w:r>
      <w:r>
        <w:rPr>
          <w:rFonts w:hint="default" w:ascii="Times New Roman" w:hAnsi="Times New Roman" w:eastAsia="宋体" w:cs="Times New Roman"/>
          <w:b/>
          <w:bCs/>
          <w:color w:val="auto"/>
          <w:highlight w:val="none"/>
          <w:lang w:eastAsia="zh-CN"/>
        </w:rPr>
        <w:t>）</w:t>
      </w:r>
    </w:p>
    <w:p>
      <w:pPr>
        <w:bidi w:val="0"/>
        <w:spacing w:line="360" w:lineRule="auto"/>
        <w:rPr>
          <w:rFonts w:hint="default" w:ascii="Times New Roman" w:hAnsi="Times New Roman" w:eastAsia="宋体" w:cs="Times New Roman"/>
          <w:color w:val="auto"/>
          <w:sz w:val="24"/>
          <w:szCs w:val="24"/>
        </w:rPr>
      </w:pP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rPr>
        <w:drawing>
          <wp:anchor distT="0" distB="0" distL="114300" distR="114300" simplePos="0" relativeHeight="251724800" behindDoc="0" locked="0" layoutInCell="1" allowOverlap="1">
            <wp:simplePos x="0" y="0"/>
            <wp:positionH relativeFrom="column">
              <wp:posOffset>4777740</wp:posOffset>
            </wp:positionH>
            <wp:positionV relativeFrom="paragraph">
              <wp:posOffset>56515</wp:posOffset>
            </wp:positionV>
            <wp:extent cx="508000" cy="710565"/>
            <wp:effectExtent l="0" t="0" r="10160" b="5715"/>
            <wp:wrapNone/>
            <wp:docPr id="65" name="图片 2950" descr="1591236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950" descr="1591236247(1)"/>
                    <pic:cNvPicPr>
                      <a:picLocks noChangeAspect="1"/>
                    </pic:cNvPicPr>
                  </pic:nvPicPr>
                  <pic:blipFill>
                    <a:blip r:embed="rId30"/>
                    <a:stretch>
                      <a:fillRect/>
                    </a:stretch>
                  </pic:blipFill>
                  <pic:spPr>
                    <a:xfrm>
                      <a:off x="0" y="0"/>
                      <a:ext cx="508000" cy="710565"/>
                    </a:xfrm>
                    <a:prstGeom prst="rect">
                      <a:avLst/>
                    </a:prstGeom>
                    <a:noFill/>
                    <a:ln>
                      <a:noFill/>
                    </a:ln>
                  </pic:spPr>
                </pic:pic>
              </a:graphicData>
            </a:graphic>
          </wp:anchor>
        </w:drawing>
      </w:r>
      <w:r>
        <w:rPr>
          <w:rFonts w:hint="default" w:ascii="Times New Roman" w:hAnsi="Times New Roman" w:eastAsia="宋体" w:cs="Times New Roman"/>
          <w:color w:val="auto"/>
          <w:sz w:val="24"/>
        </w:rPr>
        <w:pict>
          <v:shape id="矩形标注 1" o:spid="_x0000_s2711" o:spt="61" type="#_x0000_t61" style="position:absolute;left:0pt;margin-left:62.2pt;margin-top:2.8pt;height:18.9pt;width:65.25pt;z-index:251701248;mso-width-relative:page;mso-height-relative:page;" fillcolor="#FFFFFF" filled="t" stroked="t" coordsize="21600,21600" o:gfxdata="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nFnsR2QAAAAgBAAAPAAAAAAAAAAEAIAAAACIAAABkcnMvZG93bnJl&#10;di54bWxQSwECFAAUAAAACACHTuJA1QqcqDUCAACMBAAADgAAAAAAAAABACAAAAAoAQAAZHJzL2Uy&#10;b0RvYy54bWxQSwUGAAAAAAYABgBZAQAAzwUAAAAA&#10;" adj="19465,49886">
            <v:path/>
            <v:fill on="t" focussize="0,0"/>
            <v:stroke color="#000000" joinstyle="miter"/>
            <v:imagedata o:title=""/>
            <o:lock v:ext="edit" aspectratio="f"/>
            <v:textbox>
              <w:txbxContent>
                <w:p>
                  <w:pPr>
                    <w:adjustRightInd w:val="0"/>
                    <w:snapToGrid w:val="0"/>
                    <w:jc w:val="center"/>
                    <w:rPr>
                      <w:rFonts w:ascii="Times New Roman" w:hAnsi="Times New Roman" w:eastAsia="宋体" w:cs="Times New Roman"/>
                      <w:sz w:val="15"/>
                      <w:szCs w:val="15"/>
                    </w:rPr>
                  </w:pPr>
                  <w:r>
                    <w:rPr>
                      <w:rFonts w:hint="eastAsia" w:ascii="Times New Roman" w:hAnsi="Times New Roman" w:eastAsia="宋体" w:cs="Times New Roman"/>
                      <w:sz w:val="15"/>
                      <w:szCs w:val="15"/>
                    </w:rPr>
                    <w:t>本项目所在地</w:t>
                  </w:r>
                </w:p>
              </w:txbxContent>
            </v:textbox>
          </v:shape>
        </w:pict>
      </w:r>
      <w:r>
        <w:rPr>
          <w:rFonts w:hint="default" w:ascii="Times New Roman" w:hAnsi="Times New Roman" w:eastAsia="宋体" w:cs="Times New Roman"/>
          <w:color w:val="auto"/>
          <w:sz w:val="24"/>
        </w:rPr>
        <w:pict>
          <v:rect id="矩形 12" o:spid="_x0000_s2712" o:spt="1" style="position:absolute;left:0pt;margin-left:120.4pt;margin-top:46.5pt;height:3.55pt;width:4.6pt;z-index:251702272;mso-width-relative:page;mso-height-relative:page;" fillcolor="#7030A0" filled="t" stroked="t" coordsize="21600,21600" o:gfxdata="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BgFNTDUAAAACgEAAA8AAAAAAAAAAQAgAAAAIgAAAGRycy9kb3ducmV2&#10;LnhtbFBLAQIUABQAAAAIAIdO4kD5b/UHAAIAAB0EAAAOAAAAAAAAAAEAIAAAACMBAABkcnMvZTJv&#10;RG9jLnhtbFBLBQYAAAAABgAGAFkBAACVBQAAAAA=&#10;">
            <v:path/>
            <v:fill on="t" focussize="0,0"/>
            <v:stroke color="#000000" joinstyle="miter"/>
            <v:imagedata o:title=""/>
            <o:lock v:ext="edit" aspectratio="f"/>
          </v:rect>
        </w:pict>
      </w:r>
      <w:r>
        <w:rPr>
          <w:rFonts w:hint="default" w:ascii="Times New Roman" w:hAnsi="Times New Roman" w:eastAsia="宋体" w:cs="Times New Roman"/>
          <w:color w:val="auto"/>
          <w:sz w:val="24"/>
        </w:rPr>
        <w:drawing>
          <wp:inline distT="0" distB="0" distL="114300" distR="114300">
            <wp:extent cx="5000625" cy="4741545"/>
            <wp:effectExtent l="0" t="0" r="13335" b="13335"/>
            <wp:docPr id="7" name="图片 1" descr="E:\地下水报告\北漂规划\北漂规划水文地质图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E:\地下水报告\北漂规划\北漂规划水文地质图1.png"/>
                    <pic:cNvPicPr>
                      <a:picLocks noChangeAspect="1"/>
                    </pic:cNvPicPr>
                  </pic:nvPicPr>
                  <pic:blipFill>
                    <a:blip r:embed="rId50"/>
                    <a:stretch>
                      <a:fillRect/>
                    </a:stretch>
                  </pic:blipFill>
                  <pic:spPr>
                    <a:xfrm>
                      <a:off x="0" y="0"/>
                      <a:ext cx="5000625" cy="4741545"/>
                    </a:xfrm>
                    <a:prstGeom prst="rect">
                      <a:avLst/>
                    </a:prstGeom>
                    <a:noFill/>
                    <a:ln>
                      <a:noFill/>
                    </a:ln>
                  </pic:spPr>
                </pic:pic>
              </a:graphicData>
            </a:graphic>
          </wp:inline>
        </w:drawing>
      </w:r>
    </w:p>
    <w:p>
      <w:pPr>
        <w:bidi w:val="0"/>
        <w:rPr>
          <w:rFonts w:hint="default" w:ascii="Times New Roman" w:hAnsi="Times New Roman" w:eastAsia="宋体" w:cs="Times New Roman"/>
          <w:color w:val="auto"/>
        </w:rPr>
      </w:pPr>
    </w:p>
    <w:p>
      <w:pPr>
        <w:pStyle w:val="6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sz w:val="24"/>
        </w:rPr>
      </w:pPr>
      <w:r>
        <w:rPr>
          <w:rFonts w:hint="default" w:ascii="Times New Roman" w:hAnsi="Times New Roman" w:eastAsia="宋体" w:cs="Times New Roman"/>
          <w:b/>
          <w:color w:val="auto"/>
        </w:rPr>
        <w:t>图</w:t>
      </w:r>
      <w:r>
        <w:rPr>
          <w:rFonts w:hint="default" w:ascii="Times New Roman" w:hAnsi="Times New Roman" w:eastAsia="宋体" w:cs="Times New Roman"/>
          <w:b/>
          <w:color w:val="auto"/>
          <w:lang w:val="en-US" w:eastAsia="zh-CN"/>
        </w:rPr>
        <w:t>5.2-3</w:t>
      </w:r>
      <w:r>
        <w:rPr>
          <w:rFonts w:hint="default" w:ascii="Times New Roman" w:hAnsi="Times New Roman" w:eastAsia="宋体" w:cs="Times New Roman"/>
          <w:b/>
          <w:color w:val="auto"/>
        </w:rPr>
        <w:t xml:space="preserve"> 项目</w:t>
      </w:r>
      <w:r>
        <w:rPr>
          <w:rFonts w:hint="default" w:ascii="Times New Roman" w:hAnsi="Times New Roman" w:eastAsia="宋体" w:cs="Times New Roman"/>
          <w:b/>
          <w:color w:val="auto"/>
          <w:lang w:eastAsia="zh-CN"/>
        </w:rPr>
        <w:t>评价</w:t>
      </w:r>
      <w:r>
        <w:rPr>
          <w:rFonts w:hint="default" w:ascii="Times New Roman" w:hAnsi="Times New Roman" w:eastAsia="宋体" w:cs="Times New Roman"/>
          <w:b/>
          <w:color w:val="auto"/>
        </w:rPr>
        <w:t>区域水文地质图（1：5000）</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松散岩类孔隙水：分布于盆地内第四系冲积砂砾卵石层中，含水层厚度5~30m，单井涌水量1000~5000m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/d，为矿化度小于1.0g/L的重碳酸盐型淡水，受大气降水和河水入渗补给，是工农业及城镇生活用水的主要水源。</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碎屑岩类孔隙裂隙水：分布于盆地中，隐伏于第四系之下，含水岩组主要为砂岩、砾岩，多为承压水，构造上多构成单斜或向斜盆地，表层多有较薄的第四系松散堆积物，风化带含，并多以下降泉的形式出现。富水不均匀，受孔隙裂隙发育程度控制，单井涌水量一般500~1000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/d。该地下水为承压水，水头局部高出地表，水化学类型以重碳酸钠型、重碳酸氯化物钠型为主，矿化度0.5~2.0g/L。主要补给来源为盆地周边山区大气降水沿基岩裂隙渗入、基岩侧向径流补给。</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碳酸盐岩类岩溶裂隙水：分布于盆地外围边部，赋存于碳酸盐岩类可溶性含水岩组之中，含水岩系为灰岩、白云质灰岩和白云岩，地表溶蚀现象比较明显，向下逐渐减弱。岩石质地脆硬，节理裂隙发育，一般开张性较好，无充填物或少充填物，有利于大气降雨入渗，发育了不同规模的溶洞、溶沟、溶孔等。地下水资源较丰富，但富水性极不均匀，主要受各种构造和岩溶发育程度控制，富水地段泉水流量达1000~5000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/d，单井出水量达2000~4000m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/d，水质较好，水化学类型以重碳酸钙镁型水为主，矿化度多小于0.5g/L，是丘陵区最重要的供水水源，部分地区已开发利用。</w:t>
      </w:r>
    </w:p>
    <w:p>
      <w:pPr>
        <w:spacing w:line="360" w:lineRule="auto"/>
        <w:ind w:firstLine="480" w:firstLineChars="200"/>
        <w:rPr>
          <w:rFonts w:hint="default" w:ascii="Times New Roman" w:hAnsi="Times New Roman" w:eastAsia="宋体" w:cs="Times New Roman"/>
          <w:color w:val="auto"/>
          <w:sz w:val="24"/>
          <w:lang w:val="en-US" w:eastAsia="zh-CN"/>
        </w:rPr>
      </w:pPr>
      <w:bookmarkStart w:id="269" w:name="_Toc324749446"/>
      <w:bookmarkStart w:id="270" w:name="_Toc353949612"/>
      <w:bookmarkStart w:id="271" w:name="_Toc24879979"/>
      <w:r>
        <w:rPr>
          <w:rFonts w:hint="default" w:ascii="Times New Roman" w:hAnsi="Times New Roman" w:eastAsia="宋体" w:cs="Times New Roman"/>
          <w:color w:val="auto"/>
          <w:sz w:val="24"/>
          <w:lang w:val="en-US" w:eastAsia="zh-CN"/>
        </w:rPr>
        <w:t>（2）厂区包气带及含水层特征</w:t>
      </w:r>
      <w:bookmarkEnd w:id="269"/>
      <w:bookmarkEnd w:id="270"/>
      <w:bookmarkEnd w:id="271"/>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①厂区地层岩性</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经勘察场地地层上部为第四系残坡积层，各层岩土特征分述如下：</w:t>
      </w:r>
    </w:p>
    <w:p>
      <w:pPr>
        <w:spacing w:line="360" w:lineRule="auto"/>
        <w:ind w:firstLine="480" w:firstLineChars="200"/>
        <w:rPr>
          <w:rFonts w:hint="default" w:ascii="Times New Roman" w:hAnsi="Times New Roman" w:eastAsia="宋体" w:cs="Times New Roman"/>
          <w:color w:val="auto"/>
          <w:sz w:val="24"/>
        </w:rPr>
      </w:pPr>
      <w:bookmarkStart w:id="272" w:name="OLE_LINK10"/>
      <w:r>
        <w:rPr>
          <w:rFonts w:hint="default" w:ascii="Times New Roman" w:hAnsi="Times New Roman" w:eastAsia="宋体" w:cs="Times New Roman"/>
          <w:color w:val="auto"/>
          <w:sz w:val="24"/>
        </w:rPr>
        <w:t>第①层杂填土：在场地内大部分布，层厚0.20~3.30m，杂色，松散堆积，主要由风化岩碎屑、碎石与粉质黏土组成，不宜做天然地基。</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第②层粉质黏土：在场地内大部分布，层顶埋深0.00~3.30m，层厚0.50~3.80m，黄褐色，可塑状态，切面稍有光滑，无摇震反应，韧性中等，高压缩性。</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第③层全风化砂页岩：在场地内广泛分布，层顶埋深0.00~4.80m，层厚0.50~5.60m，黄褐色~灰绿色，原岩结构构造大部风化破坏，岩芯呈碎屑状及土状，可冲击钻进。</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第④层</w:t>
      </w:r>
      <w:bookmarkEnd w:id="272"/>
      <w:r>
        <w:rPr>
          <w:rFonts w:hint="default" w:ascii="Times New Roman" w:hAnsi="Times New Roman" w:eastAsia="宋体" w:cs="Times New Roman"/>
          <w:color w:val="auto"/>
          <w:sz w:val="24"/>
        </w:rPr>
        <w:t>强风化砂页岩：在场地内广泛分布，层顶埋深0.90~8.10m，揭露层厚1.90~7.70m，灰绿色，强风化，碎屑结构，层理状构造，岩石坚硬程度为较软岩，岩芯呈碎块状、块状，岩石完整程度为较破碎，岩体基本质量等级为Ⅴ类。</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②地下水类型及含水层结构</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GB"/>
        </w:rPr>
        <w:t>工作区位于干旱缺水地区，蒸发量远大于降水量，厂区主要含水层为砂页岩基岩裂隙水，水位埋深大于10m，富水性极弱，工程勘察钻孔未见水面。上覆粉质粘土，在雨季有上层滞水，但其与其它含水系统沟通性差，旱季干涸。</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③项目区地下水补、径、排条件</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区周边地下水直接受大气降水的渗入，表面虽有亚粘土，但砂页岩风化程度高，渗透性较强，为降雨的渗入补给创造了一定条件，同时也接受上游地下水的径流补给。地下水枯丰水期的变化基本上与降水的雨、旱两季相吻合，枯季出现在3月下旬至4月上旬，丰水季出现在7月下旬至8月下旬。</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浅层地下水径流条件主要受地形、地貌和第四纪地质条件的控制，其影响因素包括含水层的导水性和地下水的水力坡度。厂区处于残坡积台地，地形西高东低，高程差约4m，地下水水平径流缓慢。</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评价区内地下水主要排泄方式为径流排泄、垂直蒸发排泄以及人工开采。调查区内人工开采量较小，地下水动态类型主要为农业开采气象型、灌溉型及水文开采型。</w:t>
      </w:r>
    </w:p>
    <w:p>
      <w:pPr>
        <w:spacing w:line="360" w:lineRule="auto"/>
        <w:ind w:firstLine="480" w:firstLineChars="200"/>
        <w:rPr>
          <w:rFonts w:hint="default" w:ascii="Times New Roman" w:hAnsi="Times New Roman" w:eastAsia="宋体" w:cs="Times New Roman"/>
          <w:color w:val="auto"/>
          <w:sz w:val="24"/>
        </w:rPr>
      </w:pPr>
      <w:bookmarkStart w:id="273" w:name="_Toc508453037"/>
      <w:bookmarkStart w:id="274" w:name="_Toc24879980"/>
      <w:bookmarkStart w:id="275" w:name="_Toc11079205"/>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rPr>
        <w:t>地下水环境影响评价</w:t>
      </w:r>
      <w:bookmarkEnd w:id="273"/>
      <w:bookmarkEnd w:id="274"/>
      <w:bookmarkEnd w:id="275"/>
    </w:p>
    <w:p>
      <w:pPr>
        <w:spacing w:line="360" w:lineRule="auto"/>
        <w:ind w:firstLine="480" w:firstLineChars="200"/>
        <w:rPr>
          <w:rFonts w:hint="default" w:ascii="Times New Roman" w:hAnsi="Times New Roman" w:eastAsia="宋体" w:cs="Times New Roman"/>
          <w:color w:val="auto"/>
          <w:sz w:val="24"/>
        </w:rPr>
      </w:pPr>
      <w:bookmarkStart w:id="276" w:name="_Toc11079206"/>
      <w:bookmarkStart w:id="277" w:name="_Toc508453038"/>
      <w:bookmarkStart w:id="278" w:name="_Toc24879981"/>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水文地质模型的概化</w:t>
      </w:r>
      <w:bookmarkEnd w:id="276"/>
      <w:bookmarkEnd w:id="277"/>
      <w:bookmarkEnd w:id="278"/>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项目所在区域属于平原型水文地质单元，本次评价以项目所在地东侧河流边界为水流边界，西北侧为地下水补给边界，东南侧为地下水排泄边界。区域内地下水主要接受降雨补给、灌溉及径流补给。区内含水层地下水流动较小，属于层流运动，符合达西定律，流速矢量在x，y方向有分量，可以概化为二维流，地下水系统的输入和输出随时间、空间变化，水流为非稳定流，基本上符合达西定律。综上所述，依据研究区的地下水含水层结构及水动力学等特征，研究区的地下水流场可以概化为非均质各向异性非稳定流。</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由前述地下水系统的概念模型，可抽象地建立本研究区地下水运动的数学模型，其数学表达式：</w:t>
      </w:r>
    </w:p>
    <w:p>
      <w:pPr>
        <w:ind w:firstLine="480"/>
        <w:rPr>
          <w:rFonts w:hint="default" w:ascii="Times New Roman" w:hAnsi="Times New Roman" w:eastAsia="宋体" w:cs="Times New Roman"/>
          <w:color w:val="auto"/>
        </w:rPr>
      </w:pPr>
    </w:p>
    <w:p>
      <w:pPr>
        <w:jc w:val="center"/>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position w:val="-30"/>
          <w:sz w:val="28"/>
          <w:szCs w:val="28"/>
        </w:rPr>
        <w:object>
          <v:shape id="_x0000_i1030" o:spt="75" type="#_x0000_t75" style="height:37.65pt;width:421.65pt;" o:ole="t" filled="f" o:preferrelative="t" stroked="f" coordsize="21600,21600">
            <v:path/>
            <v:fill on="f" focussize="0,0"/>
            <v:stroke on="f" joinstyle="miter"/>
            <v:imagedata r:id="rId52" o:title=""/>
            <o:lock v:ext="edit" aspectratio="t"/>
            <w10:wrap type="none"/>
            <w10:anchorlock/>
          </v:shape>
          <o:OLEObject Type="Embed" ProgID="Equations" ShapeID="_x0000_i1030" DrawAspect="Content" ObjectID="_1468075731" r:id="rId51">
            <o:LockedField>false</o:LockedField>
          </o:OLEObject>
        </w:object>
      </w:r>
      <w:r>
        <w:rPr>
          <w:rFonts w:hint="default" w:ascii="Times New Roman" w:hAnsi="Times New Roman" w:eastAsia="宋体" w:cs="Times New Roman"/>
          <w:color w:val="auto"/>
          <w:position w:val="-12"/>
        </w:rPr>
        <w:object>
          <v:shape id="_x0000_i1031" o:spt="75" type="#_x0000_t75" style="height:20.2pt;width:138pt;" o:ole="t" filled="f" o:preferrelative="t" stroked="f" coordsize="21600,21600">
            <v:path/>
            <v:fill on="f" focussize="0,0"/>
            <v:stroke on="f" joinstyle="miter"/>
            <v:imagedata r:id="rId54" o:title=""/>
            <o:lock v:ext="edit" aspectratio="t"/>
            <w10:wrap type="none"/>
            <w10:anchorlock/>
          </v:shape>
          <o:OLEObject Type="Embed" ProgID="Equations" ShapeID="_x0000_i1031" DrawAspect="Content" ObjectID="_1468075732" r:id="rId53">
            <o:LockedField>false</o:LockedField>
          </o:OLEObject>
        </w:object>
      </w:r>
      <w:r>
        <w:rPr>
          <w:rFonts w:hint="default" w:ascii="Times New Roman" w:hAnsi="Times New Roman" w:eastAsia="宋体" w:cs="Times New Roman"/>
          <w:color w:val="auto"/>
          <w:position w:val="-10"/>
          <w:sz w:val="28"/>
          <w:szCs w:val="28"/>
        </w:rPr>
        <w:object>
          <v:shape id="_x0000_i1032" o:spt="75" type="#_x0000_t75" style="height:16.35pt;width:9.25pt;" o:ole="t" filled="f" o:preferrelative="t" stroked="f" coordsize="21600,21600">
            <v:path/>
            <v:fill on="f" focussize="0,0"/>
            <v:stroke on="f" joinstyle="miter"/>
            <v:imagedata r:id="rId56" o:title=""/>
            <o:lock v:ext="edit" aspectratio="t"/>
            <w10:wrap type="none"/>
            <w10:anchorlock/>
          </v:shape>
          <o:OLEObject Type="Embed" ProgID="Equations" ShapeID="_x0000_i1032" DrawAspect="Content" ObjectID="_1468075733" r:id="rId55">
            <o:LockedField>false</o:LockedField>
          </o:OLEObject>
        </w:object>
      </w:r>
    </w:p>
    <w:p>
      <w:pPr>
        <w:jc w:val="center"/>
        <w:rPr>
          <w:rFonts w:hint="default" w:ascii="Times New Roman" w:hAnsi="Times New Roman" w:eastAsia="宋体" w:cs="Times New Roman"/>
          <w:color w:val="auto"/>
        </w:rPr>
      </w:pPr>
      <w:r>
        <w:rPr>
          <w:rFonts w:hint="default" w:ascii="Times New Roman" w:hAnsi="Times New Roman" w:eastAsia="宋体" w:cs="Times New Roman"/>
          <w:color w:val="auto"/>
          <w:position w:val="-10"/>
          <w:sz w:val="28"/>
          <w:szCs w:val="28"/>
        </w:rPr>
        <w:object>
          <v:shape id="_x0000_i1033" o:spt="75" type="#_x0000_t75" style="height:16.35pt;width:9.25pt;" o:ole="t" filled="f" o:preferrelative="t" stroked="f" coordsize="21600,21600">
            <v:path/>
            <v:fill on="f" focussize="0,0"/>
            <v:stroke on="f" joinstyle="miter"/>
            <v:imagedata r:id="rId56" o:title=""/>
            <o:lock v:ext="edit" aspectratio="t"/>
            <w10:wrap type="none"/>
            <w10:anchorlock/>
          </v:shape>
          <o:OLEObject Type="Embed" ProgID="Equations" ShapeID="_x0000_i1033" DrawAspect="Content" ObjectID="_1468075734" r:id="rId57">
            <o:LockedField>false</o:LockedField>
          </o:OLEObject>
        </w:object>
      </w:r>
      <w:r>
        <w:rPr>
          <w:rFonts w:hint="default" w:ascii="Times New Roman" w:hAnsi="Times New Roman" w:eastAsia="宋体" w:cs="Times New Roman"/>
          <w:color w:val="auto"/>
          <w:position w:val="-10"/>
        </w:rPr>
        <w:object>
          <v:shape id="_x0000_i1034" o:spt="75" type="#_x0000_t75" style="height:20.2pt;width:136.9pt;" o:ole="t" filled="f" o:preferrelative="t" stroked="f" coordsize="21600,21600">
            <v:path/>
            <v:fill on="f" focussize="0,0"/>
            <v:stroke on="f" joinstyle="miter"/>
            <v:imagedata r:id="rId59" o:title=""/>
            <o:lock v:ext="edit" aspectratio="t"/>
            <w10:wrap type="none"/>
            <w10:anchorlock/>
          </v:shape>
          <o:OLEObject Type="Embed" ProgID="Equations" ShapeID="_x0000_i1034" DrawAspect="Content" ObjectID="_1468075735" r:id="rId58">
            <o:LockedField>false</o:LockedField>
          </o:OLEObject>
        </w:object>
      </w:r>
    </w:p>
    <w:p>
      <w:pPr>
        <w:jc w:val="center"/>
        <w:rPr>
          <w:rFonts w:hint="default" w:ascii="Times New Roman" w:hAnsi="Times New Roman" w:eastAsia="宋体" w:cs="Times New Roman"/>
          <w:color w:val="auto"/>
        </w:rPr>
      </w:pPr>
      <w:r>
        <w:rPr>
          <w:rFonts w:hint="default" w:ascii="Times New Roman" w:hAnsi="Times New Roman" w:eastAsia="宋体" w:cs="Times New Roman"/>
          <w:color w:val="auto"/>
          <w:position w:val="-24"/>
        </w:rPr>
        <w:object>
          <v:shape id="_x0000_i1035" o:spt="75" type="#_x0000_t75" style="height:35.45pt;width:161.45pt;" o:ole="t" filled="f" o:preferrelative="t" stroked="f" coordsize="21600,21600">
            <v:path/>
            <v:fill on="f" focussize="0,0"/>
            <v:stroke on="f" joinstyle="miter"/>
            <v:imagedata r:id="rId61" o:title=""/>
            <o:lock v:ext="edit" aspectratio="t"/>
            <w10:wrap type="none"/>
            <w10:anchorlock/>
          </v:shape>
          <o:OLEObject Type="Embed" ProgID="Equations" ShapeID="_x0000_i1035" DrawAspect="Content" ObjectID="_1468075736" r:id="rId60">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式中：x，y——空间坐标（m）；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K（x，y）——渗透系数（m/d）；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u——潜水含水层的给水度；</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t——时间变量（d）；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W（x，y，t）——垂向补排强度（m/d）；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Q（xj，yj，t）——t时第j号井抽水量（m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Z——含水层底板标高（m）；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h（x，y，t）——地下水待求水位（m）；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h</w:t>
      </w:r>
      <w:r>
        <w:rPr>
          <w:rFonts w:hint="default" w:ascii="Times New Roman" w:hAnsi="Times New Roman" w:eastAsia="宋体" w:cs="Times New Roman"/>
          <w:color w:val="auto"/>
          <w:sz w:val="24"/>
          <w:szCs w:val="24"/>
          <w:vertAlign w:val="subscript"/>
        </w:rPr>
        <w:t>0</w:t>
      </w:r>
      <w:r>
        <w:rPr>
          <w:rFonts w:hint="default" w:ascii="Times New Roman" w:hAnsi="Times New Roman" w:eastAsia="宋体" w:cs="Times New Roman"/>
          <w:color w:val="auto"/>
          <w:sz w:val="24"/>
          <w:szCs w:val="24"/>
        </w:rPr>
        <w:t>（x，y，t）——渗流场内初始水位值（m）；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h</w:t>
      </w:r>
      <w:r>
        <w:rPr>
          <w:rFonts w:hint="default" w:ascii="Times New Roman" w:hAnsi="Times New Roman" w:eastAsia="宋体" w:cs="Times New Roman"/>
          <w:color w:val="auto"/>
          <w:sz w:val="24"/>
          <w:szCs w:val="24"/>
          <w:vertAlign w:val="subscript"/>
        </w:rPr>
        <w:t>1</w:t>
      </w:r>
      <w:r>
        <w:rPr>
          <w:rFonts w:hint="default" w:ascii="Times New Roman" w:hAnsi="Times New Roman" w:eastAsia="宋体" w:cs="Times New Roman"/>
          <w:color w:val="auto"/>
          <w:sz w:val="24"/>
          <w:szCs w:val="24"/>
        </w:rPr>
        <w:t>（x，y，t）——第一类边界水位值（m）；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q（x，y，t）——第三类边界的单宽流量（m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n——第三类边界内法线方向单位向量；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Г</w:t>
      </w:r>
      <w:r>
        <w:rPr>
          <w:rFonts w:hint="default" w:ascii="Times New Roman" w:hAnsi="Times New Roman" w:eastAsia="宋体" w:cs="Times New Roman"/>
          <w:color w:val="auto"/>
          <w:sz w:val="24"/>
          <w:szCs w:val="24"/>
          <w:vertAlign w:val="subscript"/>
        </w:rPr>
        <w:t>1</w:t>
      </w:r>
      <w:r>
        <w:rPr>
          <w:rFonts w:hint="default" w:ascii="Times New Roman" w:hAnsi="Times New Roman" w:eastAsia="宋体" w:cs="Times New Roman"/>
          <w:color w:val="auto"/>
          <w:sz w:val="24"/>
          <w:szCs w:val="24"/>
        </w:rPr>
        <w:t>和Г</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——第一类和第三类边界；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本次模拟预测中地下水溶质迁移转化数学模型为:</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28"/>
          <w:sz w:val="24"/>
          <w:szCs w:val="24"/>
        </w:rPr>
        <w:object>
          <v:shape id="_x0000_i1036" o:spt="75" type="#_x0000_t75" style="height:36pt;width:220.9pt;" o:ole="t" filled="f" o:preferrelative="t" stroked="f" coordsize="21600,21600">
            <v:path/>
            <v:fill on="f" focussize="0,0"/>
            <v:stroke on="f" joinstyle="miter"/>
            <v:imagedata r:id="rId63" o:title=""/>
            <o:lock v:ext="edit" aspectratio="t"/>
            <w10:wrap type="none"/>
            <w10:anchorlock/>
          </v:shape>
          <o:OLEObject Type="Embed" ProgID="Equations" ShapeID="_x0000_i1036" DrawAspect="Content" ObjectID="_1468075737" r:id="rId62">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14"/>
          <w:sz w:val="24"/>
          <w:szCs w:val="24"/>
        </w:rPr>
        <w:object>
          <v:shape id="_x0000_i1037" o:spt="75" type="#_x0000_t75" style="height:21.8pt;width:137.45pt;" o:ole="t" filled="f" o:preferrelative="t" stroked="f" coordsize="21600,21600">
            <v:path/>
            <v:fill on="f" focussize="0,0"/>
            <v:stroke on="f" joinstyle="miter"/>
            <v:imagedata r:id="rId65" o:title=""/>
            <o:lock v:ext="edit" aspectratio="t"/>
            <w10:wrap type="none"/>
            <w10:anchorlock/>
          </v:shape>
          <o:OLEObject Type="Embed" ProgID="Equations" ShapeID="_x0000_i1037" DrawAspect="Content" ObjectID="_1468075738" r:id="rId64">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18"/>
          <w:sz w:val="24"/>
          <w:szCs w:val="24"/>
        </w:rPr>
        <w:object>
          <v:shape id="_x0000_i1038" o:spt="75" type="#_x0000_t75" style="height:22.9pt;width:145.65pt;" o:ole="t" filled="f" o:preferrelative="t" stroked="f" coordsize="21600,21600">
            <v:path/>
            <v:fill on="f" focussize="0,0"/>
            <v:stroke on="f" joinstyle="miter"/>
            <v:imagedata r:id="rId67" o:title=""/>
            <o:lock v:ext="edit" aspectratio="t"/>
            <w10:wrap type="none"/>
            <w10:anchorlock/>
          </v:shape>
          <o:OLEObject Type="Embed" ProgID="Equations" ShapeID="_x0000_i1038" DrawAspect="Content" ObjectID="_1468075739" r:id="rId66">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式中：C——研究区污染物浓度，（mg/L）；</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x，y，z——坐标（m）；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D</w:t>
      </w:r>
      <w:r>
        <w:rPr>
          <w:rFonts w:hint="default" w:ascii="Times New Roman" w:hAnsi="Times New Roman" w:eastAsia="宋体" w:cs="Times New Roman"/>
          <w:color w:val="auto"/>
          <w:sz w:val="24"/>
          <w:szCs w:val="24"/>
          <w:vertAlign w:val="subscript"/>
        </w:rPr>
        <w:t>xx</w:t>
      </w:r>
      <w:r>
        <w:rPr>
          <w:rFonts w:hint="default" w:ascii="Times New Roman" w:hAnsi="Times New Roman" w:eastAsia="宋体" w:cs="Times New Roman"/>
          <w:color w:val="auto"/>
          <w:sz w:val="24"/>
          <w:szCs w:val="24"/>
        </w:rPr>
        <w:t>——x方向上污染物的弥散系数（m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D</w:t>
      </w:r>
      <w:r>
        <w:rPr>
          <w:rFonts w:hint="default" w:ascii="Times New Roman" w:hAnsi="Times New Roman" w:eastAsia="宋体" w:cs="Times New Roman"/>
          <w:color w:val="auto"/>
          <w:sz w:val="24"/>
          <w:szCs w:val="24"/>
          <w:vertAlign w:val="subscript"/>
        </w:rPr>
        <w:t>yy</w:t>
      </w:r>
      <w:r>
        <w:rPr>
          <w:rFonts w:hint="default" w:ascii="Times New Roman" w:hAnsi="Times New Roman" w:eastAsia="宋体" w:cs="Times New Roman"/>
          <w:color w:val="auto"/>
          <w:sz w:val="24"/>
          <w:szCs w:val="24"/>
        </w:rPr>
        <w:t>——y方向上污染物的弥散系数（m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V</w:t>
      </w:r>
      <w:r>
        <w:rPr>
          <w:rFonts w:hint="default" w:ascii="Times New Roman" w:hAnsi="Times New Roman" w:eastAsia="宋体" w:cs="Times New Roman"/>
          <w:color w:val="auto"/>
          <w:sz w:val="24"/>
          <w:szCs w:val="24"/>
          <w:vertAlign w:val="subscript"/>
        </w:rPr>
        <w:t>xx</w:t>
      </w:r>
      <w:r>
        <w:rPr>
          <w:rFonts w:hint="default" w:ascii="Times New Roman" w:hAnsi="Times New Roman" w:eastAsia="宋体" w:cs="Times New Roman"/>
          <w:color w:val="auto"/>
          <w:sz w:val="24"/>
          <w:szCs w:val="24"/>
        </w:rPr>
        <w:t>——x方向上的渗透流速（m/d）；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V</w:t>
      </w:r>
      <w:r>
        <w:rPr>
          <w:rFonts w:hint="default" w:ascii="Times New Roman" w:hAnsi="Times New Roman" w:eastAsia="宋体" w:cs="Times New Roman"/>
          <w:color w:val="auto"/>
          <w:sz w:val="24"/>
          <w:szCs w:val="24"/>
          <w:vertAlign w:val="subscript"/>
        </w:rPr>
        <w:t>yy</w:t>
      </w:r>
      <w:r>
        <w:rPr>
          <w:rFonts w:hint="default" w:ascii="Times New Roman" w:hAnsi="Times New Roman" w:eastAsia="宋体" w:cs="Times New Roman"/>
          <w:color w:val="auto"/>
          <w:sz w:val="24"/>
          <w:szCs w:val="24"/>
        </w:rPr>
        <w:t>——y方向上的渗透流速（m/d）；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n</w:t>
      </w:r>
      <w:r>
        <w:rPr>
          <w:rFonts w:hint="default" w:ascii="Times New Roman" w:hAnsi="Times New Roman" w:eastAsia="宋体" w:cs="Times New Roman"/>
          <w:color w:val="auto"/>
          <w:sz w:val="24"/>
          <w:szCs w:val="24"/>
          <w:vertAlign w:val="subscript"/>
        </w:rPr>
        <w:t>e</w:t>
      </w:r>
      <w:r>
        <w:rPr>
          <w:rFonts w:hint="default" w:ascii="Times New Roman" w:hAnsi="Times New Roman" w:eastAsia="宋体" w:cs="Times New Roman"/>
          <w:color w:val="auto"/>
          <w:sz w:val="24"/>
          <w:szCs w:val="24"/>
        </w:rPr>
        <w:t>——有效孔隙度；</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C</w:t>
      </w:r>
      <w:r>
        <w:rPr>
          <w:rFonts w:hint="default" w:ascii="Times New Roman" w:hAnsi="Times New Roman" w:eastAsia="宋体" w:cs="Times New Roman"/>
          <w:color w:val="auto"/>
          <w:sz w:val="24"/>
          <w:szCs w:val="24"/>
          <w:vertAlign w:val="subscript"/>
        </w:rPr>
        <w:t>0</w:t>
      </w:r>
      <w:r>
        <w:rPr>
          <w:rFonts w:hint="default" w:ascii="Times New Roman" w:hAnsi="Times New Roman" w:eastAsia="宋体" w:cs="Times New Roman"/>
          <w:color w:val="auto"/>
          <w:sz w:val="24"/>
          <w:szCs w:val="24"/>
        </w:rPr>
        <w:t>——研究区污染物初始浓度（mg/L）；</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C</w:t>
      </w:r>
      <w:r>
        <w:rPr>
          <w:rFonts w:hint="default" w:ascii="Times New Roman" w:hAnsi="Times New Roman" w:eastAsia="宋体" w:cs="Times New Roman"/>
          <w:color w:val="auto"/>
          <w:sz w:val="24"/>
          <w:szCs w:val="24"/>
          <w:vertAlign w:val="subscript"/>
        </w:rPr>
        <w:t>1</w:t>
      </w:r>
      <w:r>
        <w:rPr>
          <w:rFonts w:hint="default" w:ascii="Times New Roman" w:hAnsi="Times New Roman" w:eastAsia="宋体" w:cs="Times New Roman"/>
          <w:color w:val="auto"/>
          <w:sz w:val="24"/>
          <w:szCs w:val="24"/>
        </w:rPr>
        <w:t>——为研究区一类边界点的浓度值（mg/L）；</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t——时间（d）；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Ω——研究区空间范围；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Г</w:t>
      </w:r>
      <w:r>
        <w:rPr>
          <w:rFonts w:hint="default" w:ascii="Times New Roman" w:hAnsi="Times New Roman" w:eastAsia="宋体" w:cs="Times New Roman"/>
          <w:color w:val="auto"/>
          <w:sz w:val="24"/>
          <w:szCs w:val="24"/>
          <w:vertAlign w:val="subscript"/>
        </w:rPr>
        <w:t>1</w:t>
      </w:r>
      <w:r>
        <w:rPr>
          <w:rFonts w:hint="default" w:ascii="Times New Roman" w:hAnsi="Times New Roman" w:eastAsia="宋体" w:cs="Times New Roman"/>
          <w:color w:val="auto"/>
          <w:sz w:val="24"/>
          <w:szCs w:val="24"/>
        </w:rPr>
        <w:t>——研究区一类边界。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溶质在地下水中的运移模型通过给出的运动方程与水流模型耦合起来。</w:t>
      </w:r>
    </w:p>
    <w:p>
      <w:pPr>
        <w:keepNext w:val="0"/>
        <w:keepLines w:val="0"/>
        <w:pageBreakBefore w:val="0"/>
        <w:widowControl w:val="0"/>
        <w:kinsoku/>
        <w:wordWrap/>
        <w:overflowPunct/>
        <w:topLinePunct w:val="0"/>
        <w:autoSpaceDE/>
        <w:autoSpaceDN/>
        <w:bidi w:val="0"/>
        <w:adjustRightInd/>
        <w:snapToGrid/>
        <w:spacing w:line="360" w:lineRule="auto"/>
        <w:ind w:firstLine="56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32"/>
          <w:sz w:val="24"/>
          <w:szCs w:val="24"/>
        </w:rPr>
        <w:object>
          <v:shape id="_x0000_i1039" o:spt="75" type="#_x0000_t75" style="height:37.65pt;width:86.75pt;" o:ole="t" filled="f" o:preferrelative="t" stroked="f" coordsize="21600,21600">
            <v:path/>
            <v:fill on="f" focussize="0,0"/>
            <v:stroke on="f" joinstyle="miter"/>
            <v:imagedata r:id="rId69" o:title=""/>
            <o:lock v:ext="edit" aspectratio="t"/>
            <w10:wrap type="none"/>
            <w10:anchorlock/>
          </v:shape>
          <o:OLEObject Type="Embed" ProgID="Equations" ShapeID="_x0000_i1039" DrawAspect="Content" ObjectID="_1468075740" r:id="rId68">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式中：V——溶质在地下水运移中的渗透速度（m/d）；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K——含水层渗透系数（m/d）；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gradH——地下水水力坡度；</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u——溶质在地下水运移中的实际速度（m/d）；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n</w:t>
      </w:r>
      <w:r>
        <w:rPr>
          <w:rFonts w:hint="default" w:ascii="Times New Roman" w:hAnsi="Times New Roman" w:eastAsia="宋体" w:cs="Times New Roman"/>
          <w:color w:val="auto"/>
          <w:sz w:val="24"/>
          <w:szCs w:val="24"/>
          <w:vertAlign w:val="subscript"/>
        </w:rPr>
        <w:t>e</w:t>
      </w:r>
      <w:r>
        <w:rPr>
          <w:rFonts w:hint="default" w:ascii="Times New Roman" w:hAnsi="Times New Roman" w:eastAsia="宋体" w:cs="Times New Roman"/>
          <w:color w:val="auto"/>
          <w:sz w:val="24"/>
          <w:szCs w:val="24"/>
        </w:rPr>
        <w:t>——有效孔隙度。</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1）含水层概化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层岩性以冲洪积为主，以第四系松散堆积物为主。地下水类型为第四系松散堆积物中的孔隙潜水。第四系孔隙潜水分布整个山前丘陵区域，岩性上部以粉土、粉质粘土为主，厚度1.2-2.5m。本此模拟将第四系含水层概化为一层，同时含水层的岩性和厚度在区内均有不同程度的变化，但变化范围较小，故将其概化为非均质各向同性含水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用于地下水流数值模拟的水文地质参数主要有两类，一类是用于计算地下水补排量的参数，如前述大气降水入渗系数、蒸发系数等；另一类是表征含水层特征的水文地质参数，包括含水层的渗透系数、给水度等参数。评价区项目所在地区平原含水层表层岩性以粉质黏土及粉砂土为主，渗透系数0.1~0.5m/d。根据评价区的水文地质条件，以河流和阶地的天然界限为分区，对模型水文地质参数进行初步分区赋值，并在数值模型的参数识别阶段进行调参，具体参数赋值情况表</w:t>
      </w:r>
      <w:r>
        <w:rPr>
          <w:rFonts w:hint="default" w:ascii="Times New Roman" w:hAnsi="Times New Roman" w:eastAsia="宋体" w:cs="Times New Roman"/>
          <w:color w:val="auto"/>
          <w:sz w:val="24"/>
          <w:szCs w:val="24"/>
          <w:lang w:val="en-US" w:eastAsia="zh-CN"/>
        </w:rPr>
        <w:t>5.2-12</w:t>
      </w:r>
      <w:r>
        <w:rPr>
          <w:rFonts w:hint="default" w:ascii="Times New Roman" w:hAnsi="Times New Roman" w:eastAsia="宋体" w:cs="Times New Roman"/>
          <w:color w:val="auto"/>
          <w:sz w:val="24"/>
          <w:szCs w:val="24"/>
        </w:rPr>
        <w:t>。</w:t>
      </w:r>
    </w:p>
    <w:p>
      <w:pPr>
        <w:snapToGrid w:val="0"/>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w:t>
      </w:r>
      <w:r>
        <w:rPr>
          <w:rFonts w:hint="default" w:ascii="Times New Roman" w:hAnsi="Times New Roman" w:eastAsia="宋体" w:cs="Times New Roman"/>
          <w:color w:val="auto"/>
          <w:sz w:val="24"/>
          <w:lang w:val="en-US" w:eastAsia="zh-CN"/>
        </w:rPr>
        <w:t>5.2-12</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 xml:space="preserve"> 水文地质参数的确定</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21"/>
        <w:gridCol w:w="1863"/>
        <w:gridCol w:w="2020"/>
        <w:gridCol w:w="308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2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分区</w:t>
            </w:r>
          </w:p>
        </w:tc>
        <w:tc>
          <w:tcPr>
            <w:tcW w:w="1863"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K</w:t>
            </w:r>
          </w:p>
        </w:tc>
        <w:tc>
          <w:tcPr>
            <w:tcW w:w="202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u</w:t>
            </w:r>
          </w:p>
        </w:tc>
        <w:tc>
          <w:tcPr>
            <w:tcW w:w="3083"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降水入渗补给系数α</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21"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评价区域</w:t>
            </w:r>
          </w:p>
        </w:tc>
        <w:tc>
          <w:tcPr>
            <w:tcW w:w="1863"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0.5</w:t>
            </w:r>
          </w:p>
        </w:tc>
        <w:tc>
          <w:tcPr>
            <w:tcW w:w="202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0.08</w:t>
            </w:r>
          </w:p>
        </w:tc>
        <w:tc>
          <w:tcPr>
            <w:tcW w:w="3083"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0.18</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2）含水层水力特征概化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根据研究区域沉积条件以及含水层结构特点，假设上部与研究区域含水层之间不发生垂向的水力联系，下部不考虑与基岩裂隙水、溶隙水之间发生水力联系，含水层的天然水力梯度1.2×10</w:t>
      </w:r>
      <w:r>
        <w:rPr>
          <w:rFonts w:hint="default" w:ascii="Times New Roman" w:hAnsi="Times New Roman" w:eastAsia="宋体" w:cs="Times New Roman"/>
          <w:color w:val="auto"/>
          <w:sz w:val="24"/>
          <w:vertAlign w:val="superscript"/>
        </w:rPr>
        <w:t>-4</w:t>
      </w:r>
      <w:r>
        <w:rPr>
          <w:rFonts w:hint="default" w:ascii="Times New Roman" w:hAnsi="Times New Roman" w:eastAsia="宋体" w:cs="Times New Roman"/>
          <w:color w:val="auto"/>
          <w:sz w:val="24"/>
        </w:rPr>
        <w:t>-2.1×10</w:t>
      </w:r>
      <w:r>
        <w:rPr>
          <w:rFonts w:hint="default" w:ascii="Times New Roman" w:hAnsi="Times New Roman" w:eastAsia="宋体" w:cs="Times New Roman"/>
          <w:color w:val="auto"/>
          <w:sz w:val="24"/>
          <w:vertAlign w:val="superscript"/>
        </w:rPr>
        <w:t>-4</w:t>
      </w:r>
      <w:r>
        <w:rPr>
          <w:rFonts w:hint="default" w:ascii="Times New Roman" w:hAnsi="Times New Roman" w:eastAsia="宋体" w:cs="Times New Roman"/>
          <w:color w:val="auto"/>
          <w:sz w:val="24"/>
        </w:rPr>
        <w:t>。地下水流场相对平缓，近似符合达西定律，水流模型简化为三维立体流，水流随时间发生变化，为非稳态流。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3）溶质运移特征概化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次计算主要关注三种离子的运移规律，假设这些离子不参与整个地下水流动过程中的地球化学作用。因此，离子的溶质运移过程符合对流—弥散原理，且弥散作用符合Fick定律，不发生离子交换吸附作用及其它地球化学作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4）模型边界条件确定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根据研究区水文地质条件及周边水文地质条件确定本次模拟边界条件为：计算区范围内地下含水层上部边界为水量交换边界，主要为降水入渗补给；下部为相对隔水边界。侧向边界均概化为浓度边界。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5）水文地质参数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根据前述地质、水文地质条件的分析，结合地形地貌、地下水流场特征及野外抽水、渗水实验的计算结果，对模拟区含水层渗透系数进行分区，本次模拟假定K</w:t>
      </w:r>
      <w:r>
        <w:rPr>
          <w:rFonts w:hint="default" w:ascii="Times New Roman" w:hAnsi="Times New Roman" w:eastAsia="宋体" w:cs="Times New Roman"/>
          <w:color w:val="auto"/>
          <w:sz w:val="24"/>
          <w:vertAlign w:val="subscript"/>
        </w:rPr>
        <w:t>X</w:t>
      </w:r>
      <w:r>
        <w:rPr>
          <w:rFonts w:hint="default" w:ascii="Times New Roman" w:hAnsi="Times New Roman" w:eastAsia="宋体" w:cs="Times New Roman"/>
          <w:color w:val="auto"/>
          <w:sz w:val="24"/>
        </w:rPr>
        <w:t>=K</w:t>
      </w:r>
      <w:r>
        <w:rPr>
          <w:rFonts w:hint="default" w:ascii="Times New Roman" w:hAnsi="Times New Roman" w:eastAsia="宋体" w:cs="Times New Roman"/>
          <w:color w:val="auto"/>
          <w:sz w:val="24"/>
          <w:vertAlign w:val="subscript"/>
        </w:rPr>
        <w:t>Y</w:t>
      </w:r>
      <w:r>
        <w:rPr>
          <w:rFonts w:hint="default" w:ascii="Times New Roman" w:hAnsi="Times New Roman" w:eastAsia="宋体" w:cs="Times New Roman"/>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根据掌握的区域水文地质资料，利用Visual MODFLOW地下水模拟软件建立地下水模型，将预测区域划分为100×100个单元格，项目所在区域网格进行加密处理，模拟范围约为21.2km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w:t>
      </w:r>
    </w:p>
    <w:p>
      <w:pPr>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pict>
          <v:shape id="文本框 8" o:spid="_x0000_s2713" o:spt="202" type="#_x0000_t202" style="position:absolute;left:0pt;margin-left:20.05pt;margin-top:337.65pt;height:21.75pt;width:72pt;z-index:251710464;mso-width-relative:page;mso-height-relative:page;" filled="f" stroked="f" coordsize="21600,21600" o:gfxdata="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z4Ppk2AAA&#10;AAoBAAAPAAAAAAAAAAEAIAAAACIAAABkcnMvZG93bnJldi54bWxQSwECFAAUAAAACACHTuJABRF7&#10;uqwBAABNAwAADgAAAAAAAAABACAAAAAnAQAAZHJzL2Uyb0RvYy54bWxQSwUGAAAAAAYABgBZAQAA&#10;RQUAAAAA&#10;">
            <v:path/>
            <v:fill on="f" focussize="0,0"/>
            <v:stroke on="f"/>
            <v:imagedata o:title=""/>
            <o:lock v:ext="edit" aspectratio="f"/>
            <v:textbox>
              <w:txbxContent>
                <w:p>
                  <w:pPr>
                    <w:rPr>
                      <w:b/>
                    </w:rPr>
                  </w:pPr>
                  <w:r>
                    <w:rPr>
                      <w:rFonts w:hint="eastAsia"/>
                      <w:b/>
                    </w:rPr>
                    <w:t>无效区域</w:t>
                  </w:r>
                </w:p>
              </w:txbxContent>
            </v:textbox>
          </v:shape>
        </w:pict>
      </w:r>
      <w:r>
        <w:rPr>
          <w:rFonts w:hint="default" w:ascii="Times New Roman" w:hAnsi="Times New Roman" w:eastAsia="宋体" w:cs="Times New Roman"/>
          <w:b/>
          <w:bCs/>
          <w:color w:val="auto"/>
        </w:rPr>
        <w:pict>
          <v:shape id="文本框 9" o:spid="_x0000_s2714" o:spt="202" type="#_x0000_t202" style="position:absolute;left:0pt;margin-left:330.05pt;margin-top:54.65pt;height:21.75pt;width:72pt;z-index:251708416;mso-width-relative:page;mso-height-relative:page;" filled="f" stroked="f" coordsize="21600,21600" o:gfxdata="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D44tOfXAAAA&#10;CwEAAA8AAAAAAAAAAQAgAAAAIgAAAGRycy9kb3ducmV2LnhtbFBLAQIUABQAAAAIAIdO4kCjpAol&#10;rAEAAE0DAAAOAAAAAAAAAAEAIAAAACYBAABkcnMvZTJvRG9jLnhtbFBLBQYAAAAABgAGAFkBAABE&#10;BQAAAAA=&#10;">
            <v:path/>
            <v:fill on="f" focussize="0,0"/>
            <v:stroke on="f"/>
            <v:imagedata o:title=""/>
            <o:lock v:ext="edit" aspectratio="f"/>
            <v:textbox>
              <w:txbxContent>
                <w:p>
                  <w:pPr>
                    <w:rPr>
                      <w:b/>
                    </w:rPr>
                  </w:pPr>
                  <w:r>
                    <w:rPr>
                      <w:rFonts w:hint="eastAsia"/>
                      <w:b/>
                    </w:rPr>
                    <w:t>无效区域</w:t>
                  </w:r>
                </w:p>
              </w:txbxContent>
            </v:textbox>
          </v:shape>
        </w:pict>
      </w:r>
      <w:r>
        <w:rPr>
          <w:rFonts w:hint="default" w:ascii="Times New Roman" w:hAnsi="Times New Roman" w:eastAsia="宋体" w:cs="Times New Roman"/>
          <w:b/>
          <w:bCs/>
          <w:color w:val="auto"/>
        </w:rPr>
        <w:pict>
          <v:shape id="文本框 15" o:spid="_x0000_s2710" o:spt="202" type="#_x0000_t202" style="position:absolute;left:0pt;margin-left:172.6pt;margin-top:184.4pt;height:21.75pt;width:72pt;z-index:251709440;mso-width-relative:page;mso-height-relative:page;" filled="f" stroked="f" coordsize="21600,21600" o:gfxdata="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xbAA51wAA&#10;AAsBAAAPAAAAAAAAAAEAIAAAACIAAABkcnMvZG93bnJldi54bWxQSwECFAAUAAAACACHTuJAXIEv&#10;rq0BAABPAwAADgAAAAAAAAABACAAAAAmAQAAZHJzL2Uyb0RvYy54bWxQSwUGAAAAAAYABgBZAQAA&#10;RQUAAAAA&#10;">
            <v:path/>
            <v:fill on="f" focussize="0,0"/>
            <v:stroke on="f"/>
            <v:imagedata o:title=""/>
            <o:lock v:ext="edit" aspectratio="f"/>
            <v:textbox>
              <w:txbxContent>
                <w:p>
                  <w:pPr>
                    <w:rPr>
                      <w:b/>
                    </w:rPr>
                  </w:pPr>
                  <w:r>
                    <w:rPr>
                      <w:rFonts w:hint="eastAsia"/>
                      <w:b/>
                    </w:rPr>
                    <w:t>有效区域</w:t>
                  </w:r>
                </w:p>
              </w:txbxContent>
            </v:textbox>
          </v:shape>
        </w:pict>
      </w:r>
      <w:r>
        <w:rPr>
          <w:rFonts w:hint="default" w:ascii="Times New Roman" w:hAnsi="Times New Roman" w:eastAsia="宋体" w:cs="Times New Roman"/>
          <w:b/>
          <w:bCs/>
          <w:color w:val="auto"/>
        </w:rPr>
        <w:drawing>
          <wp:inline distT="0" distB="0" distL="114300" distR="114300">
            <wp:extent cx="5274945" cy="5004435"/>
            <wp:effectExtent l="0" t="0" r="13335" b="9525"/>
            <wp:docPr id="11" name="图片 12" descr="wang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descr="wangge"/>
                    <pic:cNvPicPr>
                      <a:picLocks noChangeAspect="1"/>
                    </pic:cNvPicPr>
                  </pic:nvPicPr>
                  <pic:blipFill>
                    <a:blip r:embed="rId70"/>
                    <a:stretch>
                      <a:fillRect/>
                    </a:stretch>
                  </pic:blipFill>
                  <pic:spPr>
                    <a:xfrm>
                      <a:off x="0" y="0"/>
                      <a:ext cx="5274945" cy="50044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4"/>
          <w:szCs w:val="24"/>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5.2-4</w:t>
      </w:r>
      <w:r>
        <w:rPr>
          <w:rFonts w:hint="default" w:ascii="Times New Roman" w:hAnsi="Times New Roman" w:eastAsia="宋体" w:cs="Times New Roman"/>
          <w:b/>
          <w:bCs/>
          <w:color w:val="auto"/>
          <w:sz w:val="24"/>
          <w:szCs w:val="24"/>
        </w:rPr>
        <w:t xml:space="preserve"> 模拟预测区域网格剖分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进行污染物溶质运移前需要建立区域初始渗流场。以测量</w:t>
      </w:r>
      <w:r>
        <w:rPr>
          <w:rFonts w:hint="default" w:ascii="Times New Roman" w:hAnsi="Times New Roman" w:eastAsia="宋体" w:cs="Times New Roman"/>
          <w:color w:val="auto"/>
          <w:sz w:val="24"/>
          <w:lang w:val="en-US" w:eastAsia="zh-CN"/>
        </w:rPr>
        <w:t>的</w:t>
      </w:r>
      <w:r>
        <w:rPr>
          <w:rFonts w:hint="default" w:ascii="Times New Roman" w:hAnsi="Times New Roman" w:eastAsia="宋体" w:cs="Times New Roman"/>
          <w:color w:val="auto"/>
          <w:sz w:val="24"/>
        </w:rPr>
        <w:t>水位值以及相关水文地质资料确定地下水初始水位。模拟未来10年内项目可能对地下水水质造成的影响。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区域内地下水主要接受降雨补给，地下水自西北向东南径流。</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pict>
          <v:shape id="直接箭头连接符 14" o:spid="_x0000_s2709" o:spt="32" type="#_x0000_t32" style="position:absolute;left:0pt;margin-left:210.35pt;margin-top:193.6pt;height:73.75pt;width:70.65pt;z-index:251713536;mso-width-relative:page;mso-height-relative:page;" filled="f" stroked="t" coordsize="21600,21600" o:gfxdata="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kC4xnbAAAACwEAAA8AAAAAAAAA&#10;AQAgAAAAIgAAAGRycy9kb3ducmV2LnhtbFBLAQIUABQAAAAIAIdO4kDLiJGNDgIAAPcDAAAOAAAA&#10;AAAAAAEAIAAAACoBAABkcnMvZTJvRG9jLnhtbFBLBQYAAAAABgAGAFkBAACqBQAAAAA=&#10;">
            <v:path arrowok="t"/>
            <v:fill on="f" focussize="0,0"/>
            <v:stroke weight="2.25pt" color="#00B0F0" joinstyle="round" endarrow="block"/>
            <v:imagedata o:title=""/>
            <o:lock v:ext="edit" aspectratio="f"/>
          </v:shape>
        </w:pict>
      </w:r>
      <w:r>
        <w:rPr>
          <w:rFonts w:hint="default" w:ascii="Times New Roman" w:hAnsi="Times New Roman" w:eastAsia="宋体" w:cs="Times New Roman"/>
          <w:color w:val="auto"/>
        </w:rPr>
        <w:pict>
          <v:shape id="圆角矩形标注 16" o:spid="_x0000_s2708" o:spt="62" type="#_x0000_t62" style="position:absolute;left:0pt;margin-left:236.85pt;margin-top:31.95pt;height:21.8pt;width:91.25pt;z-index:251703296;mso-width-relative:page;mso-height-relative:page;" fillcolor="#FFFFFF" filled="t" stroked="t" coordsize="21600,21600" o:gfxdata="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wpmyCtoAAAAK&#10;AQAADwAAAAAAAAABACAAAAAiAAAAZHJzL2Rvd25yZXYueG1sUEsBAhQAFAAAAAgAh07iQHWvtEhT&#10;AgAAvwQAAA4AAAAAAAAAAQAgAAAAKQEAAGRycy9lMm9Eb2MueG1sUEsFBgAAAAAGAAYAWQEAAO4F&#10;AAAAAA==&#10;" adj="-2094,54149,14400">
            <v:path/>
            <v:fill on="t" focussize="0,0"/>
            <v:stroke color="#000000" joinstyle="miter"/>
            <v:imagedata o:title=""/>
            <o:lock v:ext="edit" aspectratio="f"/>
            <v:textbox>
              <w:txbxContent>
                <w:p>
                  <w:pPr>
                    <w:jc w:val="center"/>
                    <w:rPr>
                      <w:szCs w:val="21"/>
                    </w:rPr>
                  </w:pPr>
                  <w:r>
                    <w:rPr>
                      <w:szCs w:val="21"/>
                    </w:rPr>
                    <w:t>地下水流方向</w:t>
                  </w:r>
                </w:p>
              </w:txbxContent>
            </v:textbox>
          </v:shape>
        </w:pict>
      </w:r>
      <w:r>
        <w:rPr>
          <w:rFonts w:hint="default" w:ascii="Times New Roman" w:hAnsi="Times New Roman" w:eastAsia="宋体" w:cs="Times New Roman"/>
          <w:color w:val="auto"/>
        </w:rPr>
        <w:pict>
          <v:shape id="直接箭头连接符 17" o:spid="_x0000_s2707" o:spt="32" type="#_x0000_t32" style="position:absolute;left:0pt;margin-left:210.35pt;margin-top:62.35pt;height:55pt;width:31.25pt;z-index:251714560;mso-width-relative:page;mso-height-relative:page;" filled="f" stroked="t" coordsize="21600,21600" o:gfxdata="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aA/wHbAAAACwEAAA8AAAAAAAAAAQAg&#10;AAAAIgAAAGRycy9kb3ducmV2LnhtbFBLAQIUABQAAAAIAIdO4kBm5LkLCwIAAPcDAAAOAAAAAAAA&#10;AAEAIAAAACoBAABkcnMvZTJvRG9jLnhtbFBLBQYAAAAABgAGAFkBAACnBQAAAAA=&#10;">
            <v:path arrowok="t"/>
            <v:fill on="f" focussize="0,0"/>
            <v:stroke weight="2.25pt" color="#00B0F0" joinstyle="round" endarrow="block"/>
            <v:imagedata o:title=""/>
            <o:lock v:ext="edit" aspectratio="f"/>
          </v:shape>
        </w:pict>
      </w:r>
      <w:r>
        <w:rPr>
          <w:rFonts w:hint="default" w:ascii="Times New Roman" w:hAnsi="Times New Roman" w:eastAsia="宋体" w:cs="Times New Roman"/>
          <w:color w:val="auto"/>
        </w:rPr>
        <w:pict>
          <v:shape id="圆角矩形标注 18" o:spid="_x0000_s2706" o:spt="62" type="#_x0000_t62" style="position:absolute;left:0pt;margin-left:15.7pt;margin-top:140pt;height:21.8pt;width:65.75pt;z-index:251704320;mso-width-relative:page;mso-height-relative:page;" fillcolor="#FFFFFF" filled="t" stroked="t" coordsize="21600,21600" o:gfxdata="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oENkI2QAAAAoBAAAP&#10;AAAAAAAAAAEAIAAAACIAAABkcnMvZG93bnJldi54bWxQSwECFAAUAAAACACHTuJAJG4gW1ACAAC9&#10;BAAADgAAAAAAAAABACAAAAAoAQAAZHJzL2Uyb0RvYy54bWxQSwUGAAAAAAYABgBZAQAA6gUAAAAA&#10;" adj="21846,43894,14400">
            <v:path/>
            <v:fill on="t" focussize="0,0"/>
            <v:stroke color="#000000" joinstyle="miter"/>
            <v:imagedata o:title=""/>
            <o:lock v:ext="edit" aspectratio="f"/>
            <v:textbox>
              <w:txbxContent>
                <w:p>
                  <w:pPr>
                    <w:rPr>
                      <w:szCs w:val="21"/>
                    </w:rPr>
                  </w:pPr>
                  <w:r>
                    <w:rPr>
                      <w:szCs w:val="21"/>
                    </w:rPr>
                    <w:t>等水位线</w:t>
                  </w:r>
                </w:p>
              </w:txbxContent>
            </v:textbox>
          </v:shape>
        </w:pict>
      </w:r>
      <w:r>
        <w:rPr>
          <w:rFonts w:hint="default" w:ascii="Times New Roman" w:hAnsi="Times New Roman" w:eastAsia="宋体" w:cs="Times New Roman"/>
          <w:color w:val="auto"/>
        </w:rPr>
        <w:drawing>
          <wp:inline distT="0" distB="0" distL="114300" distR="114300">
            <wp:extent cx="5274945" cy="5004435"/>
            <wp:effectExtent l="0" t="0" r="13335" b="9525"/>
            <wp:docPr id="19" name="图片 13" descr="shuil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descr="shuiliu"/>
                    <pic:cNvPicPr>
                      <a:picLocks noChangeAspect="1"/>
                    </pic:cNvPicPr>
                  </pic:nvPicPr>
                  <pic:blipFill>
                    <a:blip r:embed="rId71"/>
                    <a:stretch>
                      <a:fillRect/>
                    </a:stretch>
                  </pic:blipFill>
                  <pic:spPr>
                    <a:xfrm>
                      <a:off x="0" y="0"/>
                      <a:ext cx="5274945" cy="5004435"/>
                    </a:xfrm>
                    <a:prstGeom prst="rect">
                      <a:avLst/>
                    </a:prstGeom>
                    <a:noFill/>
                    <a:ln>
                      <a:noFill/>
                    </a:ln>
                  </pic:spPr>
                </pic:pic>
              </a:graphicData>
            </a:graphic>
          </wp:inline>
        </w:drawing>
      </w:r>
      <w:r>
        <w:rPr>
          <w:rFonts w:hint="default" w:ascii="Times New Roman" w:hAnsi="Times New Roman" w:eastAsia="宋体" w:cs="Times New Roman"/>
          <w:color w:val="auto"/>
        </w:rPr>
        <w:pict>
          <v:shape id="直接箭头连接符 20" o:spid="_x0000_s2705" o:spt="32" type="#_x0000_t32" style="position:absolute;left:0pt;margin-left:109.75pt;margin-top:185.45pt;height:56.9pt;width:73.75pt;z-index:251712512;mso-width-relative:page;mso-height-relative:page;" filled="f" stroked="t" coordsize="21600,21600" o:gfxdata="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dmLRB3AAAAAsBAAAPAAAAAAAAAAEA&#10;IAAAACIAAABkcnMvZG93bnJldi54bWxQSwECFAAUAAAACACHTuJATj8RqAsCAAD3AwAADgAAAAAA&#10;AAABACAAAAArAQAAZHJzL2Uyb0RvYy54bWxQSwUGAAAAAAYABgBZAQAAqAUAAAAA&#10;">
            <v:path arrowok="t"/>
            <v:fill on="f" focussize="0,0"/>
            <v:stroke weight="2.25pt" color="#00B0F0" joinstyle="round" endarrow="block"/>
            <v:imagedata o:title=""/>
            <o:lock v:ext="edit" aspectratio="f"/>
          </v:shape>
        </w:pict>
      </w:r>
      <w:r>
        <w:rPr>
          <w:rFonts w:hint="default" w:ascii="Times New Roman" w:hAnsi="Times New Roman" w:eastAsia="宋体" w:cs="Times New Roman"/>
          <w:color w:val="auto"/>
        </w:rPr>
        <w:pict>
          <v:shape id="直接箭头连接符 21" o:spid="_x0000_s2704" o:spt="32" type="#_x0000_t32" style="position:absolute;left:0pt;margin-left:195.35pt;margin-top:127.3pt;height:66.3pt;width:71.25pt;z-index:251705344;mso-width-relative:page;mso-height-relative:page;" filled="f" stroked="t" coordsize="21600,21600" o:gfxdata="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se+xZ3AAAAAsBAAAPAAAAAAAAAAEAIAAA&#10;ACIAAABkcnMvZG93bnJldi54bWxQSwECFAAUAAAACACHTuJArw/1gAgCAAD3AwAADgAAAAAAAAAB&#10;ACAAAAArAQAAZHJzL2Uyb0RvYy54bWxQSwUGAAAAAAYABgBZAQAApQUAAAAA&#10;">
            <v:path arrowok="t"/>
            <v:fill on="f" focussize="0,0"/>
            <v:stroke weight="2.25pt" color="#00B0F0" joinstyle="round" endarrow="block"/>
            <v:imagedata o:title=""/>
            <o:lock v:ext="edit" aspectratio="f"/>
          </v:shape>
        </w:pict>
      </w:r>
      <w:r>
        <w:rPr>
          <w:rFonts w:hint="default" w:ascii="Times New Roman" w:hAnsi="Times New Roman" w:eastAsia="宋体" w:cs="Times New Roman"/>
          <w:color w:val="auto"/>
        </w:rPr>
        <w:pict>
          <v:shape id="直接箭头连接符 22" o:spid="_x0000_s2703" o:spt="32" type="#_x0000_t32" style="position:absolute;left:0pt;margin-left:117.25pt;margin-top:120.45pt;height:51.25pt;width:66.25pt;z-index:251711488;mso-width-relative:page;mso-height-relative:page;" filled="f" stroked="t" coordsize="21600,21600" o:gfxdata="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SrDrzbAAAACwEAAA8AAAAAAAAAAQAg&#10;AAAAIgAAAGRycy9kb3ducmV2LnhtbFBLAQIUABQAAAAIAIdO4kDgmLRDCwIAAPcDAAAOAAAAAAAA&#10;AAEAIAAAACoBAABkcnMvZTJvRG9jLnhtbFBLBQYAAAAABgAGAFkBAACnBQAAAAA=&#10;">
            <v:path arrowok="t"/>
            <v:fill on="f" focussize="0,0"/>
            <v:stroke weight="2.25pt" color="#00B0F0" joinstyle="round" endarrow="block"/>
            <v:imagedata o:title=""/>
            <o:lock v:ext="edit" aspectratio="f"/>
          </v:shape>
        </w:pict>
      </w:r>
      <w:r>
        <w:rPr>
          <w:rFonts w:hint="default" w:ascii="Times New Roman" w:hAnsi="Times New Roman" w:eastAsia="宋体" w:cs="Times New Roman"/>
          <w:color w:val="auto"/>
        </w:rPr>
        <w:pict>
          <v:shape id="文本框 23" o:spid="_x0000_s2702" o:spt="202" type="#_x0000_t202" style="position:absolute;left:0pt;margin-left:287.65pt;margin-top:287.6pt;height:22.6pt;width:30.15pt;z-index:251706368;mso-width-relative:page;mso-height-relative:page;" filled="f" stroked="f" coordsize="21600,21600" o:gfxdata="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8TZ0otcA&#10;AAALAQAADwAAAAAAAAABACAAAAAiAAAAZHJzL2Rvd25yZXYueG1sUEsBAhQAFAAAAAgAh07iQK3f&#10;7NmuAQAATwMAAA4AAAAAAAAAAQAgAAAAJgEAAGRycy9lMm9Eb2MueG1sUEsFBgAAAAAGAAYAWQEA&#10;AEYFAAAAAA==&#10;">
            <v:path/>
            <v:fill on="f" focussize="0,0"/>
            <v:stroke on="f"/>
            <v:imagedata o:title=""/>
            <o:lock v:ext="edit" aspectratio="f"/>
            <v:textbox>
              <w:txbxContent>
                <w:p>
                  <w:pPr>
                    <w:ind w:firstLine="480"/>
                    <w:rPr>
                      <w:color w:val="FF0000"/>
                    </w:rPr>
                  </w:pPr>
                  <w:r>
                    <w:rPr>
                      <w:rFonts w:hint="eastAsia"/>
                      <w:color w:val="FF0000"/>
                    </w:rPr>
                    <w:t>1.9</w:t>
                  </w:r>
                </w:p>
              </w:txbxContent>
            </v:textbox>
          </v:shape>
        </w:pict>
      </w:r>
      <w:r>
        <w:rPr>
          <w:rFonts w:hint="default" w:ascii="Times New Roman" w:hAnsi="Times New Roman" w:eastAsia="宋体" w:cs="Times New Roman"/>
          <w:color w:val="auto"/>
        </w:rPr>
        <w:pict>
          <v:shape id="文本框 24" o:spid="_x0000_s2701" o:spt="202" type="#_x0000_t202" style="position:absolute;left:0pt;margin-left:303.55pt;margin-top:215.6pt;height:22.6pt;width:30.15pt;z-index:251707392;mso-width-relative:page;mso-height-relative:page;" filled="f" stroked="f" coordsize="21600,21600" o:gfxdata="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Ve9P&#10;2AAAAAsBAAAPAAAAAAAAAAEAIAAAACIAAABkcnMvZG93bnJldi54bWxQSwECFAAUAAAACACHTuJA&#10;qggJFa8BAABPAwAADgAAAAAAAAABACAAAAAnAQAAZHJzL2Uyb0RvYy54bWxQSwUGAAAAAAYABgBZ&#10;AQAASAUAAAAA&#10;">
            <v:path/>
            <v:fill on="f" focussize="0,0"/>
            <v:stroke on="f"/>
            <v:imagedata o:title=""/>
            <o:lock v:ext="edit" aspectratio="f"/>
            <v:textbox>
              <w:txbxContent>
                <w:p>
                  <w:pPr>
                    <w:ind w:firstLine="480"/>
                    <w:rPr>
                      <w:color w:val="FF0000"/>
                    </w:rPr>
                  </w:pPr>
                  <w:r>
                    <w:rPr>
                      <w:rFonts w:hint="eastAsia"/>
                      <w:color w:val="FF0000"/>
                    </w:rPr>
                    <w:t>2.0</w:t>
                  </w:r>
                </w:p>
              </w:txbxContent>
            </v:textbox>
          </v:shape>
        </w:pic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4"/>
          <w:szCs w:val="24"/>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5.2-5</w:t>
      </w:r>
      <w:r>
        <w:rPr>
          <w:rFonts w:hint="default" w:ascii="Times New Roman" w:hAnsi="Times New Roman" w:eastAsia="宋体" w:cs="Times New Roman"/>
          <w:b/>
          <w:bCs/>
          <w:color w:val="auto"/>
          <w:sz w:val="24"/>
          <w:szCs w:val="24"/>
        </w:rPr>
        <w:t xml:space="preserve"> 评价区地下水水位拟合</w:t>
      </w:r>
    </w:p>
    <w:p>
      <w:pPr>
        <w:spacing w:line="360" w:lineRule="auto"/>
        <w:ind w:firstLine="480" w:firstLineChars="200"/>
        <w:rPr>
          <w:rFonts w:hint="default" w:ascii="Times New Roman" w:hAnsi="Times New Roman" w:eastAsia="宋体" w:cs="Times New Roman"/>
          <w:color w:val="auto"/>
          <w:sz w:val="24"/>
        </w:rPr>
      </w:pPr>
      <w:bookmarkStart w:id="279" w:name="_Toc24879982"/>
      <w:bookmarkStart w:id="280" w:name="_Toc508453039"/>
      <w:bookmarkStart w:id="281" w:name="_Toc11079207"/>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模型识别与验证</w:t>
      </w:r>
      <w:bookmarkEnd w:id="279"/>
      <w:bookmarkEnd w:id="280"/>
      <w:bookmarkEnd w:id="281"/>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模型的识别和验证是整个模拟中极为重要的一步工作，通常要进行反复地调整参数才能达到较为理想的拟合结果，使模型最大程度接近实际。</w:t>
      </w:r>
    </w:p>
    <w:p>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3285490" cy="3281680"/>
            <wp:effectExtent l="0" t="0" r="6350" b="10160"/>
            <wp:docPr id="30" name="图片 14"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descr="h"/>
                    <pic:cNvPicPr>
                      <a:picLocks noChangeAspect="1"/>
                    </pic:cNvPicPr>
                  </pic:nvPicPr>
                  <pic:blipFill>
                    <a:blip r:embed="rId72"/>
                    <a:stretch>
                      <a:fillRect/>
                    </a:stretch>
                  </pic:blipFill>
                  <pic:spPr>
                    <a:xfrm>
                      <a:off x="0" y="0"/>
                      <a:ext cx="3285490" cy="32816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4"/>
          <w:szCs w:val="24"/>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5.2-6 </w:t>
      </w:r>
      <w:r>
        <w:rPr>
          <w:rFonts w:hint="default" w:ascii="Times New Roman" w:hAnsi="Times New Roman" w:eastAsia="宋体" w:cs="Times New Roman"/>
          <w:b/>
          <w:bCs/>
          <w:color w:val="auto"/>
          <w:sz w:val="24"/>
          <w:szCs w:val="24"/>
        </w:rPr>
        <w:t>区域实测水位与模拟水位拟合</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结果显示，模拟流场与实测流场拟合较好，反映出模拟模型与实际地下水系统在空间上基本吻合。因此，本次模拟建立的模型基本符合研究区水文地质条件，并能反映地下水系统的流场特征，利用该模型对建设项目的地下水环境影响进行预测和污染情景预报是可行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根据对模拟水位与模拟区域内五个点位的实际水位进行拟合的结果可知，模型准确性较好，置信区间达到95%，判定模型基本可用。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bookmarkStart w:id="282" w:name="_Toc11079208"/>
      <w:bookmarkStart w:id="283" w:name="_Toc24879983"/>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情景设定</w:t>
      </w:r>
      <w:bookmarkEnd w:id="282"/>
      <w:bookmarkEnd w:id="28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1）正常状况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本项目地面防渗工程参照《环境影响评价技术导则 地下水环境》（HJ610-2016）相关要求对各池体及厂区地面拟做底部防渗，并且企业对其进行严格监管，池体正常工况下跑冒滴漏的液体停留时间和下渗污染地下水的可能性较小。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正常情况下，项目厂区防渗完好，漏液受到有效阻隔。</w:t>
      </w:r>
      <w:r>
        <w:rPr>
          <w:rFonts w:hint="default" w:ascii="Times New Roman" w:hAnsi="Times New Roman" w:eastAsia="宋体" w:cs="Times New Roman"/>
          <w:color w:val="auto"/>
          <w:sz w:val="24"/>
          <w:lang w:val="en-US" w:eastAsia="zh-CN"/>
        </w:rPr>
        <w:t>漏</w:t>
      </w:r>
      <w:r>
        <w:rPr>
          <w:rFonts w:hint="default" w:ascii="Times New Roman" w:hAnsi="Times New Roman" w:eastAsia="宋体" w:cs="Times New Roman"/>
          <w:color w:val="auto"/>
          <w:sz w:val="24"/>
        </w:rPr>
        <w:t>液的纵向迁移可用达西公式计算：</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object>
          <v:shape id="_x0000_i1040" o:spt="75" type="#_x0000_t75" style="height:30.55pt;width:63.25pt;" o:ole="t" filled="f" o:preferrelative="t" stroked="f" coordsize="21600,21600">
            <v:path/>
            <v:fill on="f" focussize="0,0"/>
            <v:stroke on="f" joinstyle="miter"/>
            <v:imagedata r:id="rId74" o:title=""/>
            <o:lock v:ext="edit" aspectratio="t"/>
            <w10:wrap type="none"/>
            <w10:anchorlock/>
          </v:shape>
          <o:OLEObject Type="Embed" ProgID="Equations" ShapeID="_x0000_i1040" DrawAspect="Content" ObjectID="_1468075741" r:id="rId73">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式中：Q——单位时间渗出的渗滤液量，m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K——渗滤系数，m/d；</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object>
          <v:shape id="_x0000_i1041" o:spt="75" type="#_x0000_t75" style="height:26.75pt;width:12.55pt;" o:ole="t" filled="f" o:preferrelative="t" stroked="f" coordsize="21600,21600">
            <v:path/>
            <v:fill on="f" focussize="0,0"/>
            <v:stroke on="f" joinstyle="miter"/>
            <v:imagedata r:id="rId76" o:title=""/>
            <o:lock v:ext="edit" aspectratio="t"/>
            <w10:wrap type="none"/>
            <w10:anchorlock/>
          </v:shape>
          <o:OLEObject Type="Embed" ProgID="Equations" ShapeID="_x0000_i1041" DrawAspect="Content" ObjectID="_1468075742" r:id="rId75">
            <o:LockedField>false</o:LockedField>
          </o:OLEObject>
        </w:object>
      </w:r>
      <w:r>
        <w:rPr>
          <w:rFonts w:hint="default" w:ascii="Times New Roman" w:hAnsi="Times New Roman" w:eastAsia="宋体" w:cs="Times New Roman"/>
          <w:color w:val="auto"/>
          <w:sz w:val="24"/>
        </w:rPr>
        <w:t>——水力梯度，</w:t>
      </w:r>
      <w:r>
        <w:rPr>
          <w:rFonts w:hint="default" w:ascii="Times New Roman" w:hAnsi="Times New Roman" w:eastAsia="宋体" w:cs="Times New Roman"/>
          <w:color w:val="auto"/>
          <w:sz w:val="24"/>
        </w:rPr>
        <w:object>
          <v:shape id="_x0000_i1042" o:spt="75" type="#_x0000_t75" style="height:26.75pt;width:48pt;" o:ole="t" filled="f" o:preferrelative="t" stroked="f" coordsize="21600,21600">
            <v:path/>
            <v:fill on="f" focussize="0,0"/>
            <v:stroke on="f" joinstyle="miter"/>
            <v:imagedata r:id="rId78" o:title=""/>
            <o:lock v:ext="edit" aspectratio="t"/>
            <w10:wrap type="none"/>
            <w10:anchorlock/>
          </v:shape>
          <o:OLEObject Type="Embed" ProgID="Equations" ShapeID="_x0000_i1042" DrawAspect="Content" ObjectID="_1468075743" r:id="rId77">
            <o:LockedField>false</o:LockedField>
          </o:OLEObject>
        </w:object>
      </w:r>
      <w:r>
        <w:rPr>
          <w:rFonts w:hint="default" w:ascii="Times New Roman" w:hAnsi="Times New Roman" w:eastAsia="宋体" w:cs="Times New Roman"/>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H——衬里之上漏液高度，m；</w:t>
      </w:r>
    </w:p>
    <w:p>
      <w:pPr>
        <w:keepNext w:val="0"/>
        <w:keepLines w:val="0"/>
        <w:pageBreakBefore w:val="0"/>
        <w:widowControl w:val="0"/>
        <w:kinsoku/>
        <w:wordWrap/>
        <w:overflowPunct/>
        <w:topLinePunct w:val="0"/>
        <w:autoSpaceDE/>
        <w:autoSpaceDN/>
        <w:bidi w:val="0"/>
        <w:adjustRightInd/>
        <w:snapToGrid/>
        <w:spacing w:line="360" w:lineRule="auto"/>
        <w:ind w:firstLine="1320" w:firstLineChars="55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L——衬里的厚度，m。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工程在池体底部拟做渗透率小于10</w:t>
      </w:r>
      <w:r>
        <w:rPr>
          <w:rFonts w:hint="default" w:ascii="Times New Roman" w:hAnsi="Times New Roman" w:eastAsia="宋体" w:cs="Times New Roman"/>
          <w:color w:val="auto"/>
          <w:sz w:val="24"/>
          <w:vertAlign w:val="superscript"/>
        </w:rPr>
        <w:t>-13</w:t>
      </w:r>
      <w:r>
        <w:rPr>
          <w:rFonts w:hint="default" w:ascii="Times New Roman" w:hAnsi="Times New Roman" w:eastAsia="宋体" w:cs="Times New Roman"/>
          <w:color w:val="auto"/>
          <w:sz w:val="24"/>
        </w:rPr>
        <w:t>cm/s的防渗后的纵向渗透量为：</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Q=1.08×10</w:t>
      </w:r>
      <w:r>
        <w:rPr>
          <w:rFonts w:hint="default" w:ascii="Times New Roman" w:hAnsi="Times New Roman" w:eastAsia="宋体" w:cs="Times New Roman"/>
          <w:color w:val="auto"/>
          <w:sz w:val="24"/>
          <w:vertAlign w:val="superscript"/>
        </w:rPr>
        <w:t>-8</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结果表明，在正常状况条件下，漏液的下渗量极小，对地下水的影响较小。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此外，项目区域并无不良地质现象，在采取人工防渗后，只要严格按照相关建设标准和技术规范来进行施工和建设，能满足厂区防渗要求，可以取得预期的防渗效果，消除漏液对地下水的污染。因此本项目在正常工况下不会对地下水造成污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2）非正常状况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非正常状况下，预测源强可根据工艺设备检修或地下水环境保护措施因系统老化或腐蚀程度等设定。根据建设项目场地地质条件、建设项目工程类型、规模、建筑物构造、材料、工艺过程等，项目运行阶段可能出现渗漏并不能及时处理的部分主要为以下二种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fldChar w:fldCharType="begin"/>
      </w:r>
      <w:r>
        <w:rPr>
          <w:rFonts w:hint="default" w:ascii="Times New Roman" w:hAnsi="Times New Roman" w:eastAsia="宋体" w:cs="Times New Roman"/>
          <w:color w:val="auto"/>
          <w:sz w:val="24"/>
        </w:rPr>
        <w:instrText xml:space="preserve"> = 1 \* GB3 </w:instrText>
      </w:r>
      <w:r>
        <w:rPr>
          <w:rFonts w:hint="default" w:ascii="Times New Roman" w:hAnsi="Times New Roman" w:eastAsia="宋体" w:cs="Times New Roman"/>
          <w:color w:val="auto"/>
          <w:sz w:val="24"/>
        </w:rPr>
        <w:fldChar w:fldCharType="separate"/>
      </w:r>
      <w:r>
        <w:rPr>
          <w:rFonts w:hint="default" w:ascii="Times New Roman" w:hAnsi="Times New Roman" w:eastAsia="宋体" w:cs="Times New Roman"/>
          <w:color w:val="auto"/>
          <w:sz w:val="24"/>
        </w:rPr>
        <w:t>①</w:t>
      </w:r>
      <w:r>
        <w:rPr>
          <w:rFonts w:hint="default" w:ascii="Times New Roman" w:hAnsi="Times New Roman" w:eastAsia="宋体" w:cs="Times New Roman"/>
          <w:color w:val="auto"/>
          <w:sz w:val="24"/>
        </w:rPr>
        <w:fldChar w:fldCharType="end"/>
      </w:r>
      <w:r>
        <w:rPr>
          <w:rFonts w:hint="default" w:ascii="Times New Roman" w:hAnsi="Times New Roman" w:eastAsia="宋体" w:cs="Times New Roman"/>
          <w:color w:val="auto"/>
          <w:sz w:val="24"/>
        </w:rPr>
        <w:t>化粪池发生泄漏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fldChar w:fldCharType="begin"/>
      </w:r>
      <w:r>
        <w:rPr>
          <w:rFonts w:hint="default" w:ascii="Times New Roman" w:hAnsi="Times New Roman" w:eastAsia="宋体" w:cs="Times New Roman"/>
          <w:color w:val="auto"/>
          <w:sz w:val="24"/>
        </w:rPr>
        <w:instrText xml:space="preserve"> = 2 \* GB3 </w:instrText>
      </w:r>
      <w:r>
        <w:rPr>
          <w:rFonts w:hint="default" w:ascii="Times New Roman" w:hAnsi="Times New Roman" w:eastAsia="宋体" w:cs="Times New Roman"/>
          <w:color w:val="auto"/>
          <w:sz w:val="24"/>
        </w:rPr>
        <w:fldChar w:fldCharType="separate"/>
      </w:r>
      <w:r>
        <w:rPr>
          <w:rFonts w:hint="default" w:ascii="Times New Roman" w:hAnsi="Times New Roman" w:eastAsia="宋体" w:cs="Times New Roman"/>
          <w:color w:val="auto"/>
          <w:sz w:val="24"/>
        </w:rPr>
        <w:t>②</w:t>
      </w:r>
      <w:r>
        <w:rPr>
          <w:rFonts w:hint="default" w:ascii="Times New Roman" w:hAnsi="Times New Roman" w:eastAsia="宋体" w:cs="Times New Roman"/>
          <w:color w:val="auto"/>
          <w:sz w:val="24"/>
        </w:rPr>
        <w:fldChar w:fldCharType="end"/>
      </w:r>
      <w:r>
        <w:rPr>
          <w:rFonts w:hint="default" w:ascii="Times New Roman" w:hAnsi="Times New Roman" w:eastAsia="宋体" w:cs="Times New Roman"/>
          <w:color w:val="auto"/>
          <w:sz w:val="24"/>
        </w:rPr>
        <w:t>废水输送管道发生破损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漏液能否进入含水层取决于地质、水文地质条件。由于潜水含水层的埋藏特点导致其在任何部位都可接受补给，污染的危险性较大。因此本次评价主要对非正常工况地下水环境影响进行预测分析。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废水于输送管道间停留时间较短，且导流管线防渗设置较完善，出现腐蚀破裂的情况较少，出现破损情况能够第一时间发现并进行控制，因此本次评价对其不作分析。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在已经建立的天然渗流场基础上进行设定情景的地下水环境影响预测，预测时间最长为10年。对建设项目的化粪池在非正常状况下发生渗漏时，可能对地下水造成的影响进行模拟预测。并对下游厂界处地下水污染物浓度随时间的变化进行预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根据《给水排水构筑物工程施工及验收规范》（GB50141-2008）中规定钢筋混凝土水池不得超过2L/m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·d。泄漏面积为池底面积和常水位池壁板面积之和。非正常状况下的泄漏取3L/m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·d进行预测。结合化粪池尺寸计算渗漏量为0.2m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/d。假设渗漏发生30天后下游监测井发现异常，采取有效措施停止渗漏。因此，模型中设置渗漏时间为30天，渗漏总量为6m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，不考虑包气带吸附等作用，模拟污水全部进入地下水体。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yellow"/>
        </w:rPr>
      </w:pPr>
      <w:r>
        <w:rPr>
          <w:rFonts w:hint="default" w:ascii="Times New Roman" w:hAnsi="Times New Roman" w:eastAsia="宋体" w:cs="Times New Roman"/>
          <w:color w:val="auto"/>
          <w:sz w:val="24"/>
        </w:rPr>
        <w:t>依据地下水导则，按重金属、持久性有机物和其他污染物选取预测因子。结合进入化粪池污染物浓度，根据标准指数法排序，选取COD、氨氮作为预测因子进行模拟预测。预测因子浓度详见污染源分析章节。模拟预测选</w:t>
      </w:r>
      <w:r>
        <w:rPr>
          <w:rFonts w:hint="default" w:ascii="Times New Roman" w:hAnsi="Times New Roman" w:eastAsia="宋体" w:cs="Times New Roman"/>
          <w:color w:val="auto"/>
          <w:sz w:val="24"/>
          <w:highlight w:val="none"/>
        </w:rPr>
        <w:t>择污染浓度最大浓度作为预测浓度，故COD选取为400mg/L、氨氮选取为35mg/L。</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3）事故状态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事故状态下，模拟厂区硫酸储罐区发生事故，产生硫酸经稀释冲洗后进入事故池进行收集，在处理过程中硫酸储罐区围堰发生渗漏，渗漏液进入地下水环境中造成污染事件。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事故情况下泄漏量按4kg/d计，风险事故状态下泄漏为瞬时泄漏，围堰中事故废水1d内全部清走，进行防渗处理停止渗漏。因此，模型中设置渗漏时间为1天，渗漏总量为4kg，不考虑包气带吸附等作用，模拟事故泄漏废水全部进入地下水体。根据事故情况下源强及类比同类事故情况下其它项目分析，事故泄漏废水中主要污染物质为硫酸盐，事故状态下泄露硫酸盐浓度选取为100000mg/L。</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bookmarkStart w:id="284" w:name="_Toc24879984"/>
      <w:bookmarkStart w:id="285" w:name="_Toc11079209"/>
      <w:bookmarkStart w:id="286" w:name="_Toc508453041"/>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模型预测</w:t>
      </w:r>
      <w:bookmarkEnd w:id="284"/>
      <w:bookmarkEnd w:id="285"/>
      <w:bookmarkEnd w:id="286"/>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非正常状况下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①COD</w:t>
      </w:r>
      <w:r>
        <w:rPr>
          <w:rFonts w:hint="default" w:ascii="Times New Roman" w:hAnsi="Times New Roman" w:eastAsia="宋体" w:cs="Times New Roman"/>
          <w:color w:val="auto"/>
          <w:sz w:val="24"/>
          <w:vertAlign w:val="subscript"/>
          <w:lang w:val="en-US" w:eastAsia="zh-CN"/>
        </w:rPr>
        <w:t>Mn</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COD</w:t>
      </w:r>
      <w:r>
        <w:rPr>
          <w:rFonts w:hint="default" w:ascii="Times New Roman" w:hAnsi="Times New Roman" w:eastAsia="宋体" w:cs="Times New Roman"/>
          <w:color w:val="auto"/>
          <w:sz w:val="24"/>
          <w:vertAlign w:val="subscript"/>
          <w:lang w:val="en-US" w:eastAsia="zh-CN"/>
        </w:rPr>
        <w:t>Mn</w:t>
      </w:r>
      <w:r>
        <w:rPr>
          <w:rFonts w:hint="default" w:ascii="Times New Roman" w:hAnsi="Times New Roman" w:eastAsia="宋体" w:cs="Times New Roman"/>
          <w:color w:val="auto"/>
          <w:sz w:val="24"/>
        </w:rPr>
        <w:t>以《地下水质量标准》（GB/T14848-2017）III类中耗氧量标准（3mg/L）作为污染羽的最小值。将上述源强信息代入模型，得出模拟结论。</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333875" cy="4112260"/>
            <wp:effectExtent l="0" t="0" r="9525" b="2540"/>
            <wp:docPr id="33" name="图片 1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8" descr="10"/>
                    <pic:cNvPicPr>
                      <a:picLocks noChangeAspect="1"/>
                    </pic:cNvPicPr>
                  </pic:nvPicPr>
                  <pic:blipFill>
                    <a:blip r:embed="rId79"/>
                    <a:stretch>
                      <a:fillRect/>
                    </a:stretch>
                  </pic:blipFill>
                  <pic:spPr>
                    <a:xfrm>
                      <a:off x="0" y="0"/>
                      <a:ext cx="4333875" cy="41122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5.2-7</w:t>
      </w:r>
      <w:r>
        <w:rPr>
          <w:rFonts w:hint="default" w:ascii="Times New Roman" w:hAnsi="Times New Roman" w:eastAsia="宋体" w:cs="Times New Roman"/>
          <w:b/>
          <w:bCs/>
          <w:color w:val="auto"/>
          <w:sz w:val="24"/>
          <w:szCs w:val="24"/>
        </w:rPr>
        <w:t xml:space="preserve"> 渗漏10天污染影响范围（</w:t>
      </w:r>
      <w:r>
        <w:rPr>
          <w:rFonts w:hint="default" w:ascii="Times New Roman" w:hAnsi="Times New Roman" w:eastAsia="宋体" w:cs="Times New Roman"/>
          <w:b/>
          <w:color w:val="auto"/>
          <w:sz w:val="24"/>
          <w:szCs w:val="24"/>
        </w:rPr>
        <w:t>COD</w:t>
      </w:r>
      <w:r>
        <w:rPr>
          <w:rFonts w:hint="default" w:ascii="Times New Roman" w:hAnsi="Times New Roman" w:eastAsia="宋体" w:cs="Times New Roman"/>
          <w:color w:val="auto"/>
          <w:sz w:val="24"/>
          <w:vertAlign w:val="subscript"/>
          <w:lang w:val="en-US" w:eastAsia="zh-CN"/>
        </w:rPr>
        <w:t>Mn</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273550" cy="4058285"/>
            <wp:effectExtent l="0" t="0" r="8890" b="10795"/>
            <wp:docPr id="25" name="图片 19"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9" descr="30"/>
                    <pic:cNvPicPr>
                      <a:picLocks noChangeAspect="1"/>
                    </pic:cNvPicPr>
                  </pic:nvPicPr>
                  <pic:blipFill>
                    <a:blip r:embed="rId80"/>
                    <a:stretch>
                      <a:fillRect/>
                    </a:stretch>
                  </pic:blipFill>
                  <pic:spPr>
                    <a:xfrm>
                      <a:off x="0" y="0"/>
                      <a:ext cx="4273550" cy="40582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5.2-8</w:t>
      </w:r>
      <w:r>
        <w:rPr>
          <w:rFonts w:hint="default" w:ascii="Times New Roman" w:hAnsi="Times New Roman" w:eastAsia="宋体" w:cs="Times New Roman"/>
          <w:b/>
          <w:bCs/>
          <w:color w:val="auto"/>
          <w:sz w:val="24"/>
          <w:szCs w:val="24"/>
        </w:rPr>
        <w:t xml:space="preserve"> 渗漏30天污染影响范围（</w:t>
      </w:r>
      <w:r>
        <w:rPr>
          <w:rFonts w:hint="default" w:ascii="Times New Roman" w:hAnsi="Times New Roman" w:eastAsia="宋体" w:cs="Times New Roman"/>
          <w:b/>
          <w:color w:val="auto"/>
          <w:sz w:val="24"/>
          <w:szCs w:val="24"/>
        </w:rPr>
        <w:t>COD</w:t>
      </w:r>
      <w:r>
        <w:rPr>
          <w:rFonts w:hint="default" w:ascii="Times New Roman" w:hAnsi="Times New Roman" w:eastAsia="宋体" w:cs="Times New Roman"/>
          <w:color w:val="auto"/>
          <w:sz w:val="24"/>
          <w:vertAlign w:val="subscript"/>
          <w:lang w:val="en-US" w:eastAsia="zh-CN"/>
        </w:rPr>
        <w:t>Mn</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279265" cy="4059555"/>
            <wp:effectExtent l="0" t="0" r="3175" b="9525"/>
            <wp:docPr id="26" name="图片 20"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0" descr="60"/>
                    <pic:cNvPicPr>
                      <a:picLocks noChangeAspect="1"/>
                    </pic:cNvPicPr>
                  </pic:nvPicPr>
                  <pic:blipFill>
                    <a:blip r:embed="rId81"/>
                    <a:stretch>
                      <a:fillRect/>
                    </a:stretch>
                  </pic:blipFill>
                  <pic:spPr>
                    <a:xfrm>
                      <a:off x="0" y="0"/>
                      <a:ext cx="4279265" cy="40595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5.2-9</w:t>
      </w:r>
      <w:r>
        <w:rPr>
          <w:rFonts w:hint="default" w:ascii="Times New Roman" w:hAnsi="Times New Roman" w:eastAsia="宋体" w:cs="Times New Roman"/>
          <w:b/>
          <w:bCs/>
          <w:color w:val="auto"/>
          <w:sz w:val="24"/>
          <w:szCs w:val="24"/>
        </w:rPr>
        <w:t xml:space="preserve">  渗漏60天污染影响范围（COD</w:t>
      </w:r>
      <w:r>
        <w:rPr>
          <w:rFonts w:hint="default" w:ascii="Times New Roman" w:hAnsi="Times New Roman" w:eastAsia="宋体" w:cs="Times New Roman"/>
          <w:color w:val="auto"/>
          <w:sz w:val="24"/>
          <w:vertAlign w:val="subscript"/>
          <w:lang w:val="en-US" w:eastAsia="zh-CN"/>
        </w:rPr>
        <w:t>Mn</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218940" cy="4004310"/>
            <wp:effectExtent l="0" t="0" r="2540" b="3810"/>
            <wp:docPr id="34" name="图片 21" descr="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1" descr="80"/>
                    <pic:cNvPicPr>
                      <a:picLocks noChangeAspect="1"/>
                    </pic:cNvPicPr>
                  </pic:nvPicPr>
                  <pic:blipFill>
                    <a:blip r:embed="rId82"/>
                    <a:stretch>
                      <a:fillRect/>
                    </a:stretch>
                  </pic:blipFill>
                  <pic:spPr>
                    <a:xfrm>
                      <a:off x="0" y="0"/>
                      <a:ext cx="4218940" cy="40043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5.2-10</w:t>
      </w:r>
      <w:r>
        <w:rPr>
          <w:rFonts w:hint="default" w:ascii="Times New Roman" w:hAnsi="Times New Roman" w:eastAsia="宋体" w:cs="Times New Roman"/>
          <w:b/>
          <w:bCs/>
          <w:color w:val="auto"/>
          <w:sz w:val="24"/>
          <w:szCs w:val="24"/>
        </w:rPr>
        <w:t xml:space="preserve">  渗漏80天污染影响范围（COD</w:t>
      </w:r>
      <w:r>
        <w:rPr>
          <w:rFonts w:hint="default" w:ascii="Times New Roman" w:hAnsi="Times New Roman" w:eastAsia="宋体" w:cs="Times New Roman"/>
          <w:color w:val="auto"/>
          <w:sz w:val="24"/>
          <w:vertAlign w:val="subscript"/>
          <w:lang w:val="en-US" w:eastAsia="zh-CN"/>
        </w:rPr>
        <w:t>Mn</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352290" cy="4131310"/>
            <wp:effectExtent l="0" t="0" r="6350" b="13970"/>
            <wp:docPr id="37" name="图片 22" descr="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2" descr="96"/>
                    <pic:cNvPicPr>
                      <a:picLocks noChangeAspect="1"/>
                    </pic:cNvPicPr>
                  </pic:nvPicPr>
                  <pic:blipFill>
                    <a:blip r:embed="rId83"/>
                    <a:stretch>
                      <a:fillRect/>
                    </a:stretch>
                  </pic:blipFill>
                  <pic:spPr>
                    <a:xfrm>
                      <a:off x="0" y="0"/>
                      <a:ext cx="4352290" cy="41313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5.2-11 </w:t>
      </w:r>
      <w:r>
        <w:rPr>
          <w:rFonts w:hint="default" w:ascii="Times New Roman" w:hAnsi="Times New Roman" w:eastAsia="宋体" w:cs="Times New Roman"/>
          <w:b/>
          <w:bCs/>
          <w:color w:val="auto"/>
          <w:sz w:val="24"/>
          <w:szCs w:val="24"/>
        </w:rPr>
        <w:t>渗漏96天污染影响范围（COD</w:t>
      </w:r>
      <w:r>
        <w:rPr>
          <w:rFonts w:hint="default" w:ascii="Times New Roman" w:hAnsi="Times New Roman" w:eastAsia="宋体" w:cs="Times New Roman"/>
          <w:color w:val="auto"/>
          <w:sz w:val="24"/>
          <w:vertAlign w:val="subscript"/>
          <w:lang w:val="en-US" w:eastAsia="zh-CN"/>
        </w:rPr>
        <w:t>Mn</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271010" cy="4058920"/>
            <wp:effectExtent l="0" t="0" r="11430" b="10160"/>
            <wp:docPr id="40" name="图片 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3" descr="0"/>
                    <pic:cNvPicPr>
                      <a:picLocks noChangeAspect="1"/>
                    </pic:cNvPicPr>
                  </pic:nvPicPr>
                  <pic:blipFill>
                    <a:blip r:embed="rId84"/>
                    <a:stretch>
                      <a:fillRect/>
                    </a:stretch>
                  </pic:blipFill>
                  <pic:spPr>
                    <a:xfrm>
                      <a:off x="0" y="0"/>
                      <a:ext cx="4271010" cy="40589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5.2-12 </w:t>
      </w:r>
      <w:r>
        <w:rPr>
          <w:rFonts w:hint="default" w:ascii="Times New Roman" w:hAnsi="Times New Roman" w:eastAsia="宋体" w:cs="Times New Roman"/>
          <w:b/>
          <w:bCs/>
          <w:color w:val="auto"/>
          <w:sz w:val="24"/>
          <w:szCs w:val="24"/>
        </w:rPr>
        <w:t>渗漏97天污染影响范围（COD</w:t>
      </w:r>
      <w:r>
        <w:rPr>
          <w:rFonts w:hint="default" w:ascii="Times New Roman" w:hAnsi="Times New Roman" w:eastAsia="宋体" w:cs="Times New Roman"/>
          <w:color w:val="auto"/>
          <w:sz w:val="24"/>
          <w:vertAlign w:val="subscript"/>
          <w:lang w:val="en-US" w:eastAsia="zh-CN"/>
        </w:rPr>
        <w:t>Mn</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318000" cy="4103370"/>
            <wp:effectExtent l="0" t="0" r="10160" b="11430"/>
            <wp:docPr id="27" name="图片 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4" descr="0"/>
                    <pic:cNvPicPr>
                      <a:picLocks noChangeAspect="1"/>
                    </pic:cNvPicPr>
                  </pic:nvPicPr>
                  <pic:blipFill>
                    <a:blip r:embed="rId84"/>
                    <a:stretch>
                      <a:fillRect/>
                    </a:stretch>
                  </pic:blipFill>
                  <pic:spPr>
                    <a:xfrm>
                      <a:off x="0" y="0"/>
                      <a:ext cx="4318000" cy="41033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5.2-13</w:t>
      </w:r>
      <w:r>
        <w:rPr>
          <w:rFonts w:hint="default" w:ascii="Times New Roman" w:hAnsi="Times New Roman" w:eastAsia="宋体" w:cs="Times New Roman"/>
          <w:b/>
          <w:bCs/>
          <w:color w:val="auto"/>
          <w:sz w:val="24"/>
          <w:szCs w:val="24"/>
        </w:rPr>
        <w:t xml:space="preserve"> 渗漏100天污染影响范围（COD</w:t>
      </w:r>
      <w:r>
        <w:rPr>
          <w:rFonts w:hint="default" w:ascii="Times New Roman" w:hAnsi="Times New Roman" w:eastAsia="宋体" w:cs="Times New Roman"/>
          <w:color w:val="auto"/>
          <w:sz w:val="24"/>
          <w:vertAlign w:val="subscript"/>
          <w:lang w:val="en-US" w:eastAsia="zh-CN"/>
        </w:rPr>
        <w:t>Mn</w:t>
      </w:r>
      <w:r>
        <w:rPr>
          <w:rFonts w:hint="default" w:ascii="Times New Roman" w:hAnsi="Times New Roman" w:eastAsia="宋体" w:cs="Times New Roman"/>
          <w:b/>
          <w:bCs/>
          <w:color w:val="auto"/>
          <w:sz w:val="24"/>
          <w:szCs w:val="24"/>
        </w:rPr>
        <w:t>）</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sz w:val="24"/>
          <w:szCs w:val="24"/>
        </w:rPr>
        <w:drawing>
          <wp:inline distT="0" distB="0" distL="114300" distR="114300">
            <wp:extent cx="4222115" cy="4012565"/>
            <wp:effectExtent l="0" t="0" r="14605" b="10795"/>
            <wp:docPr id="28" name="图片 2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5" descr="0"/>
                    <pic:cNvPicPr>
                      <a:picLocks noChangeAspect="1"/>
                    </pic:cNvPicPr>
                  </pic:nvPicPr>
                  <pic:blipFill>
                    <a:blip r:embed="rId84"/>
                    <a:stretch>
                      <a:fillRect/>
                    </a:stretch>
                  </pic:blipFill>
                  <pic:spPr>
                    <a:xfrm>
                      <a:off x="0" y="0"/>
                      <a:ext cx="4222115" cy="40125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5.2-14</w:t>
      </w:r>
      <w:r>
        <w:rPr>
          <w:rFonts w:hint="default" w:ascii="Times New Roman" w:hAnsi="Times New Roman" w:eastAsia="宋体" w:cs="Times New Roman"/>
          <w:b/>
          <w:bCs/>
          <w:color w:val="auto"/>
          <w:sz w:val="24"/>
          <w:szCs w:val="24"/>
        </w:rPr>
        <w:t xml:space="preserve"> 渗漏1000天污染影响范围（COD</w:t>
      </w:r>
      <w:r>
        <w:rPr>
          <w:rFonts w:hint="default" w:ascii="Times New Roman" w:hAnsi="Times New Roman" w:eastAsia="宋体" w:cs="Times New Roman"/>
          <w:color w:val="auto"/>
          <w:sz w:val="24"/>
          <w:vertAlign w:val="subscript"/>
          <w:lang w:val="en-US" w:eastAsia="zh-CN"/>
        </w:rPr>
        <w:t>Mn</w:t>
      </w:r>
      <w:r>
        <w:rPr>
          <w:rFonts w:hint="default" w:ascii="Times New Roman" w:hAnsi="Times New Roman" w:eastAsia="宋体" w:cs="Times New Roman"/>
          <w:b/>
          <w:bCs/>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模拟结果中，3mg/L作为污染羽最小值。根据模拟结果可知，非正常状况下发生泄漏时，污水进入地下水，在水流作用下向地下水径流的下游方向运移，并不断向周边扩散，形成污染羽。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泄漏发生10天时，污染物浓度最大值主要位于化粪池处，由于污染物持续泄露，浓度最大值为140mg/L，污染羽范围扩大，有向下游运移的趋势，污染羽影响范围18766m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，污染羽距离下游最近保护目标1019m。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泄漏发生30天时，污染物浓度最大值主要位于化粪池处，此时中心浓度为最大，浓度为140mg/L。污染羽影响范围49816m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，污染羽距离下游最近保护目标895m。此时切断污染源。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泄漏发生60天时，由于污染物已停止泄漏，在地下水流稀释径流作用，污染物浓度也降低，浓度最大值为7mg/L。污染羽影响范围51823m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，污染羽中心向下游运移距离为189m。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泄漏发生80天及96天时，污染物逐渐向下游移动，浓度最大值分别为4mg/L及3.5mg/L。由于地下水径流稀释作用，污染羽逐渐减小，污染羽影响范围分别为31668m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及1104m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，污染羽中心向下游运移距离为301m及386m。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至97天时，污染羽彻底消失，100天及1000天无污染羽出现。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由于污水中COD</w:t>
      </w:r>
      <w:r>
        <w:rPr>
          <w:rFonts w:hint="default" w:ascii="Times New Roman" w:hAnsi="Times New Roman" w:eastAsia="宋体" w:cs="Times New Roman"/>
          <w:color w:val="auto"/>
          <w:sz w:val="24"/>
          <w:vertAlign w:val="subscript"/>
          <w:lang w:val="en-US" w:eastAsia="zh-CN"/>
        </w:rPr>
        <w:t>Mn</w:t>
      </w:r>
      <w:r>
        <w:rPr>
          <w:rFonts w:hint="default" w:ascii="Times New Roman" w:hAnsi="Times New Roman" w:eastAsia="宋体" w:cs="Times New Roman"/>
          <w:color w:val="auto"/>
          <w:sz w:val="24"/>
        </w:rPr>
        <w:t>超标倍数较高，污水进入地下水体后形成污染羽较明显，并沿地下水径流向下游方向运移。因地区降雨及灌溉原因，地下水补给量较大，因此污染物运移过程中稀释较快，对厂区附近区域影响时间较短。超标污染羽（COD</w:t>
      </w:r>
      <w:r>
        <w:rPr>
          <w:rFonts w:hint="default" w:ascii="Times New Roman" w:hAnsi="Times New Roman" w:eastAsia="宋体" w:cs="Times New Roman"/>
          <w:color w:val="auto"/>
          <w:sz w:val="24"/>
          <w:vertAlign w:val="subscript"/>
          <w:lang w:val="en-US" w:eastAsia="zh-CN"/>
        </w:rPr>
        <w:t>Mn</w:t>
      </w:r>
      <w:r>
        <w:rPr>
          <w:rFonts w:hint="default" w:ascii="Times New Roman" w:hAnsi="Times New Roman" w:eastAsia="宋体" w:cs="Times New Roman"/>
          <w:color w:val="auto"/>
          <w:sz w:val="24"/>
        </w:rPr>
        <w:t>标准参照《地下水质量标准》中Ⅲ类水体要求，标准浓度为3mg/L）距离下游保护目标较远，并未对周边保护目标造成影响。</w:t>
      </w:r>
    </w:p>
    <w:p>
      <w:pPr>
        <w:snapToGrid w:val="0"/>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w:t>
      </w:r>
      <w:r>
        <w:rPr>
          <w:rFonts w:hint="default" w:ascii="Times New Roman" w:hAnsi="Times New Roman" w:eastAsia="宋体" w:cs="Times New Roman"/>
          <w:color w:val="auto"/>
          <w:sz w:val="24"/>
          <w:lang w:val="en-US" w:eastAsia="zh-CN"/>
        </w:rPr>
        <w:t>5.2-13</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 xml:space="preserve"> 污染物运移情况</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9"/>
        <w:gridCol w:w="1476"/>
        <w:gridCol w:w="1550"/>
        <w:gridCol w:w="1226"/>
        <w:gridCol w:w="2151"/>
        <w:gridCol w:w="190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运移时间</w:t>
            </w:r>
          </w:p>
        </w:tc>
        <w:tc>
          <w:tcPr>
            <w:tcW w:w="14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污染羽中心浓度</w:t>
            </w:r>
          </w:p>
        </w:tc>
        <w:tc>
          <w:tcPr>
            <w:tcW w:w="15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污染中心位置</w:t>
            </w:r>
          </w:p>
        </w:tc>
        <w:tc>
          <w:tcPr>
            <w:tcW w:w="12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是否到达保护目标</w:t>
            </w:r>
          </w:p>
        </w:tc>
        <w:tc>
          <w:tcPr>
            <w:tcW w:w="21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污染羽与下游最近保护目标的距离</w:t>
            </w:r>
          </w:p>
        </w:tc>
        <w:tc>
          <w:tcPr>
            <w:tcW w:w="19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污染羽中心运移距离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10天</w:t>
            </w:r>
          </w:p>
        </w:tc>
        <w:tc>
          <w:tcPr>
            <w:tcW w:w="14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140mg/L</w:t>
            </w:r>
          </w:p>
        </w:tc>
        <w:tc>
          <w:tcPr>
            <w:tcW w:w="15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化粪池</w:t>
            </w:r>
          </w:p>
        </w:tc>
        <w:tc>
          <w:tcPr>
            <w:tcW w:w="12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c>
          <w:tcPr>
            <w:tcW w:w="21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1019m</w:t>
            </w:r>
          </w:p>
        </w:tc>
        <w:tc>
          <w:tcPr>
            <w:tcW w:w="19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30天</w:t>
            </w:r>
          </w:p>
        </w:tc>
        <w:tc>
          <w:tcPr>
            <w:tcW w:w="14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140mg/L</w:t>
            </w:r>
          </w:p>
        </w:tc>
        <w:tc>
          <w:tcPr>
            <w:tcW w:w="15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化粪池</w:t>
            </w:r>
          </w:p>
        </w:tc>
        <w:tc>
          <w:tcPr>
            <w:tcW w:w="12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c>
          <w:tcPr>
            <w:tcW w:w="21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895m</w:t>
            </w:r>
          </w:p>
        </w:tc>
        <w:tc>
          <w:tcPr>
            <w:tcW w:w="19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60天</w:t>
            </w:r>
          </w:p>
        </w:tc>
        <w:tc>
          <w:tcPr>
            <w:tcW w:w="14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7mg/L</w:t>
            </w:r>
          </w:p>
        </w:tc>
        <w:tc>
          <w:tcPr>
            <w:tcW w:w="15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厂界下游</w:t>
            </w:r>
          </w:p>
        </w:tc>
        <w:tc>
          <w:tcPr>
            <w:tcW w:w="12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c>
          <w:tcPr>
            <w:tcW w:w="21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770m</w:t>
            </w:r>
          </w:p>
        </w:tc>
        <w:tc>
          <w:tcPr>
            <w:tcW w:w="19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189m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80天</w:t>
            </w:r>
          </w:p>
        </w:tc>
        <w:tc>
          <w:tcPr>
            <w:tcW w:w="14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4mg/L</w:t>
            </w:r>
          </w:p>
        </w:tc>
        <w:tc>
          <w:tcPr>
            <w:tcW w:w="15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厂界下游</w:t>
            </w:r>
          </w:p>
        </w:tc>
        <w:tc>
          <w:tcPr>
            <w:tcW w:w="12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c>
          <w:tcPr>
            <w:tcW w:w="21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731m</w:t>
            </w:r>
          </w:p>
        </w:tc>
        <w:tc>
          <w:tcPr>
            <w:tcW w:w="19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301m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96天</w:t>
            </w:r>
          </w:p>
        </w:tc>
        <w:tc>
          <w:tcPr>
            <w:tcW w:w="14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3.5mg/L</w:t>
            </w:r>
          </w:p>
        </w:tc>
        <w:tc>
          <w:tcPr>
            <w:tcW w:w="15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厂界下游</w:t>
            </w:r>
          </w:p>
        </w:tc>
        <w:tc>
          <w:tcPr>
            <w:tcW w:w="12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c>
          <w:tcPr>
            <w:tcW w:w="21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762m</w:t>
            </w:r>
          </w:p>
        </w:tc>
        <w:tc>
          <w:tcPr>
            <w:tcW w:w="19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386m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97天</w:t>
            </w:r>
          </w:p>
        </w:tc>
        <w:tc>
          <w:tcPr>
            <w:tcW w:w="14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5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2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100天</w:t>
            </w:r>
          </w:p>
        </w:tc>
        <w:tc>
          <w:tcPr>
            <w:tcW w:w="14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5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2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1000天</w:t>
            </w:r>
          </w:p>
        </w:tc>
        <w:tc>
          <w:tcPr>
            <w:tcW w:w="14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5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2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4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5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2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0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pPr>
        <w:adjustRightInd w:val="0"/>
        <w:snapToGrid w:val="0"/>
        <w:jc w:val="center"/>
        <w:rPr>
          <w:rFonts w:hint="default" w:ascii="Times New Roman" w:hAnsi="Times New Roman" w:eastAsia="宋体" w:cs="Times New Roman"/>
          <w:b/>
          <w:bCs/>
          <w:color w:val="auto"/>
          <w:sz w:val="24"/>
          <w:szCs w:val="24"/>
        </w:rPr>
      </w:pPr>
    </w:p>
    <w:p>
      <w:pPr>
        <w:pStyle w:val="61"/>
        <w:rPr>
          <w:rFonts w:hint="default" w:ascii="Times New Roman" w:hAnsi="Times New Roman" w:eastAsia="宋体" w:cs="Times New Roman"/>
          <w:b/>
          <w:bCs/>
          <w:color w:val="auto"/>
          <w:sz w:val="24"/>
          <w:szCs w:val="24"/>
        </w:rPr>
      </w:pPr>
    </w:p>
    <w:p>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rPr>
        <w:drawing>
          <wp:inline distT="0" distB="0" distL="114300" distR="114300">
            <wp:extent cx="5277485" cy="2871470"/>
            <wp:effectExtent l="0" t="0" r="10795" b="8890"/>
            <wp:docPr id="31" name="图片 26" descr="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6" descr="c1"/>
                    <pic:cNvPicPr>
                      <a:picLocks noChangeAspect="1"/>
                    </pic:cNvPicPr>
                  </pic:nvPicPr>
                  <pic:blipFill>
                    <a:blip r:embed="rId85"/>
                    <a:stretch>
                      <a:fillRect/>
                    </a:stretch>
                  </pic:blipFill>
                  <pic:spPr>
                    <a:xfrm>
                      <a:off x="0" y="0"/>
                      <a:ext cx="5277485" cy="2871470"/>
                    </a:xfrm>
                    <a:prstGeom prst="rect">
                      <a:avLst/>
                    </a:prstGeom>
                    <a:noFill/>
                    <a:ln>
                      <a:noFill/>
                    </a:ln>
                  </pic:spPr>
                </pic:pic>
              </a:graphicData>
            </a:graphic>
          </wp:inline>
        </w:drawing>
      </w:r>
    </w:p>
    <w:p>
      <w:pPr>
        <w:rPr>
          <w:rFonts w:hint="default" w:ascii="Times New Roman" w:hAnsi="Times New Roman" w:eastAsia="宋体" w:cs="Times New Roman"/>
          <w:color w:val="auto"/>
        </w:rPr>
      </w:pP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5.2-15</w:t>
      </w:r>
      <w:r>
        <w:rPr>
          <w:rFonts w:hint="default" w:ascii="Times New Roman" w:hAnsi="Times New Roman" w:eastAsia="宋体" w:cs="Times New Roman"/>
          <w:b/>
          <w:bCs/>
          <w:color w:val="auto"/>
          <w:sz w:val="24"/>
          <w:szCs w:val="24"/>
        </w:rPr>
        <w:t xml:space="preserve"> 下游最近保护目标预测点浓度变化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通过各个预测点浓度变化看出，由于地下水径流稀释作用，污染物质很快被稀释，浓度很快降低到标准值以下，污染羽距离保护目标处较远，始终未对保护目标造成影响，超标污染羽在97天时消失，不再对周边地下水环境造成影响。</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②氨氮</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氨氮以《地下水质量标准》（GB/T14848-2017）III类中氨氮标准（0.5mg/L）作为污染羽的最小值。将上述源强信息代入模型，得出模拟结论。</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336415" cy="4121150"/>
            <wp:effectExtent l="0" t="0" r="6985" b="8890"/>
            <wp:docPr id="41" name="图片 2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7" descr="10"/>
                    <pic:cNvPicPr>
                      <a:picLocks noChangeAspect="1"/>
                    </pic:cNvPicPr>
                  </pic:nvPicPr>
                  <pic:blipFill>
                    <a:blip r:embed="rId86"/>
                    <a:stretch>
                      <a:fillRect/>
                    </a:stretch>
                  </pic:blipFill>
                  <pic:spPr>
                    <a:xfrm>
                      <a:off x="0" y="0"/>
                      <a:ext cx="4336415" cy="41211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5.2-16 </w:t>
      </w:r>
      <w:r>
        <w:rPr>
          <w:rFonts w:hint="default" w:ascii="Times New Roman" w:hAnsi="Times New Roman" w:eastAsia="宋体" w:cs="Times New Roman"/>
          <w:b/>
          <w:bCs/>
          <w:color w:val="auto"/>
          <w:sz w:val="24"/>
          <w:szCs w:val="24"/>
        </w:rPr>
        <w:t>渗漏10天污染影响范围（</w:t>
      </w:r>
      <w:r>
        <w:rPr>
          <w:rFonts w:hint="default" w:ascii="Times New Roman" w:hAnsi="Times New Roman" w:eastAsia="宋体" w:cs="Times New Roman"/>
          <w:b/>
          <w:color w:val="auto"/>
          <w:sz w:val="24"/>
          <w:szCs w:val="24"/>
        </w:rPr>
        <w:t>氨氮</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324985" cy="4104005"/>
            <wp:effectExtent l="0" t="0" r="3175" b="10795"/>
            <wp:docPr id="42" name="图片 28"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8" descr="30"/>
                    <pic:cNvPicPr>
                      <a:picLocks noChangeAspect="1"/>
                    </pic:cNvPicPr>
                  </pic:nvPicPr>
                  <pic:blipFill>
                    <a:blip r:embed="rId87"/>
                    <a:stretch>
                      <a:fillRect/>
                    </a:stretch>
                  </pic:blipFill>
                  <pic:spPr>
                    <a:xfrm>
                      <a:off x="0" y="0"/>
                      <a:ext cx="4324985" cy="41040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5.2-17 </w:t>
      </w:r>
      <w:r>
        <w:rPr>
          <w:rFonts w:hint="default" w:ascii="Times New Roman" w:hAnsi="Times New Roman" w:eastAsia="宋体" w:cs="Times New Roman"/>
          <w:b/>
          <w:bCs/>
          <w:color w:val="auto"/>
          <w:sz w:val="24"/>
          <w:szCs w:val="24"/>
        </w:rPr>
        <w:t>渗漏30天污染影响范围（</w:t>
      </w:r>
      <w:r>
        <w:rPr>
          <w:rFonts w:hint="default" w:ascii="Times New Roman" w:hAnsi="Times New Roman" w:eastAsia="宋体" w:cs="Times New Roman"/>
          <w:b/>
          <w:color w:val="auto"/>
          <w:sz w:val="24"/>
          <w:szCs w:val="24"/>
        </w:rPr>
        <w:t>氨氮</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336415" cy="4121785"/>
            <wp:effectExtent l="0" t="0" r="6985" b="8255"/>
            <wp:docPr id="43" name="图片 29"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9" descr="45"/>
                    <pic:cNvPicPr>
                      <a:picLocks noChangeAspect="1"/>
                    </pic:cNvPicPr>
                  </pic:nvPicPr>
                  <pic:blipFill>
                    <a:blip r:embed="rId88"/>
                    <a:stretch>
                      <a:fillRect/>
                    </a:stretch>
                  </pic:blipFill>
                  <pic:spPr>
                    <a:xfrm>
                      <a:off x="0" y="0"/>
                      <a:ext cx="4336415" cy="41217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5.2-18 </w:t>
      </w:r>
      <w:r>
        <w:rPr>
          <w:rFonts w:hint="default" w:ascii="Times New Roman" w:hAnsi="Times New Roman" w:eastAsia="宋体" w:cs="Times New Roman"/>
          <w:b/>
          <w:bCs/>
          <w:color w:val="auto"/>
          <w:sz w:val="24"/>
          <w:szCs w:val="24"/>
        </w:rPr>
        <w:t>渗漏45天污染影响范围（</w:t>
      </w:r>
      <w:r>
        <w:rPr>
          <w:rFonts w:hint="default" w:ascii="Times New Roman" w:hAnsi="Times New Roman" w:eastAsia="宋体" w:cs="Times New Roman"/>
          <w:b/>
          <w:color w:val="auto"/>
          <w:sz w:val="24"/>
          <w:szCs w:val="24"/>
        </w:rPr>
        <w:t>氨氮</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293235" cy="4076700"/>
            <wp:effectExtent l="0" t="0" r="4445" b="7620"/>
            <wp:docPr id="36" name="图片 30"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0" descr="53"/>
                    <pic:cNvPicPr>
                      <a:picLocks noChangeAspect="1"/>
                    </pic:cNvPicPr>
                  </pic:nvPicPr>
                  <pic:blipFill>
                    <a:blip r:embed="rId89"/>
                    <a:stretch>
                      <a:fillRect/>
                    </a:stretch>
                  </pic:blipFill>
                  <pic:spPr>
                    <a:xfrm>
                      <a:off x="0" y="0"/>
                      <a:ext cx="4293235" cy="40767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5.2-19 </w:t>
      </w:r>
      <w:r>
        <w:rPr>
          <w:rFonts w:hint="default" w:ascii="Times New Roman" w:hAnsi="Times New Roman" w:eastAsia="宋体" w:cs="Times New Roman"/>
          <w:b/>
          <w:bCs/>
          <w:color w:val="auto"/>
          <w:sz w:val="24"/>
          <w:szCs w:val="24"/>
        </w:rPr>
        <w:t>渗漏53天污染影响范围（</w:t>
      </w:r>
      <w:r>
        <w:rPr>
          <w:rFonts w:hint="default" w:ascii="Times New Roman" w:hAnsi="Times New Roman" w:eastAsia="宋体" w:cs="Times New Roman"/>
          <w:b/>
          <w:color w:val="auto"/>
          <w:sz w:val="24"/>
          <w:szCs w:val="24"/>
        </w:rPr>
        <w:t>氨氮</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332605" cy="4112260"/>
            <wp:effectExtent l="0" t="0" r="10795" b="2540"/>
            <wp:docPr id="35" name="图片 35"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60"/>
                    <pic:cNvPicPr>
                      <a:picLocks noChangeAspect="1"/>
                    </pic:cNvPicPr>
                  </pic:nvPicPr>
                  <pic:blipFill>
                    <a:blip r:embed="rId90"/>
                    <a:stretch>
                      <a:fillRect/>
                    </a:stretch>
                  </pic:blipFill>
                  <pic:spPr>
                    <a:xfrm>
                      <a:off x="0" y="0"/>
                      <a:ext cx="4332605" cy="41122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5.2-20 </w:t>
      </w:r>
      <w:r>
        <w:rPr>
          <w:rFonts w:hint="default" w:ascii="Times New Roman" w:hAnsi="Times New Roman" w:eastAsia="宋体" w:cs="Times New Roman"/>
          <w:b/>
          <w:bCs/>
          <w:color w:val="auto"/>
          <w:sz w:val="24"/>
          <w:szCs w:val="24"/>
        </w:rPr>
        <w:t>渗漏60天污染影响范围（氨氮）</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355465" cy="4139565"/>
            <wp:effectExtent l="0" t="0" r="3175" b="5715"/>
            <wp:docPr id="46" name="图片 3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2" descr="0"/>
                    <pic:cNvPicPr>
                      <a:picLocks noChangeAspect="1"/>
                    </pic:cNvPicPr>
                  </pic:nvPicPr>
                  <pic:blipFill>
                    <a:blip r:embed="rId91"/>
                    <a:stretch>
                      <a:fillRect/>
                    </a:stretch>
                  </pic:blipFill>
                  <pic:spPr>
                    <a:xfrm>
                      <a:off x="0" y="0"/>
                      <a:ext cx="4355465" cy="41395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5.2-21 </w:t>
      </w:r>
      <w:r>
        <w:rPr>
          <w:rFonts w:hint="default" w:ascii="Times New Roman" w:hAnsi="Times New Roman" w:eastAsia="宋体" w:cs="Times New Roman"/>
          <w:b/>
          <w:bCs/>
          <w:color w:val="auto"/>
          <w:sz w:val="24"/>
          <w:szCs w:val="24"/>
        </w:rPr>
        <w:t>渗漏61天污染影响范围（氨氮）</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289425" cy="4076700"/>
            <wp:effectExtent l="0" t="0" r="8255" b="7620"/>
            <wp:docPr id="47" name="图片 3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3" descr="0"/>
                    <pic:cNvPicPr>
                      <a:picLocks noChangeAspect="1"/>
                    </pic:cNvPicPr>
                  </pic:nvPicPr>
                  <pic:blipFill>
                    <a:blip r:embed="rId91"/>
                    <a:stretch>
                      <a:fillRect/>
                    </a:stretch>
                  </pic:blipFill>
                  <pic:spPr>
                    <a:xfrm>
                      <a:off x="0" y="0"/>
                      <a:ext cx="4289425" cy="40767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5.2-22 </w:t>
      </w:r>
      <w:r>
        <w:rPr>
          <w:rFonts w:hint="default" w:ascii="Times New Roman" w:hAnsi="Times New Roman" w:eastAsia="宋体" w:cs="Times New Roman"/>
          <w:b/>
          <w:bCs/>
          <w:color w:val="auto"/>
          <w:sz w:val="24"/>
          <w:szCs w:val="24"/>
        </w:rPr>
        <w:t>渗漏100天污染影响范围（氨氮）</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431665" cy="4211955"/>
            <wp:effectExtent l="0" t="0" r="3175" b="9525"/>
            <wp:docPr id="48" name="图片 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4" descr="0"/>
                    <pic:cNvPicPr>
                      <a:picLocks noChangeAspect="1"/>
                    </pic:cNvPicPr>
                  </pic:nvPicPr>
                  <pic:blipFill>
                    <a:blip r:embed="rId91"/>
                    <a:stretch>
                      <a:fillRect/>
                    </a:stretch>
                  </pic:blipFill>
                  <pic:spPr>
                    <a:xfrm>
                      <a:off x="0" y="0"/>
                      <a:ext cx="4431665" cy="42119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5.2-23 </w:t>
      </w:r>
      <w:r>
        <w:rPr>
          <w:rFonts w:hint="default" w:ascii="Times New Roman" w:hAnsi="Times New Roman" w:eastAsia="宋体" w:cs="Times New Roman"/>
          <w:b/>
          <w:bCs/>
          <w:color w:val="auto"/>
          <w:sz w:val="24"/>
          <w:szCs w:val="24"/>
        </w:rPr>
        <w:t>渗漏365天污染影响范围（氨氮）</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431665" cy="4211955"/>
            <wp:effectExtent l="0" t="0" r="3175" b="9525"/>
            <wp:docPr id="50" name="图片 3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5" descr="0"/>
                    <pic:cNvPicPr>
                      <a:picLocks noChangeAspect="1"/>
                    </pic:cNvPicPr>
                  </pic:nvPicPr>
                  <pic:blipFill>
                    <a:blip r:embed="rId91"/>
                    <a:stretch>
                      <a:fillRect/>
                    </a:stretch>
                  </pic:blipFill>
                  <pic:spPr>
                    <a:xfrm>
                      <a:off x="0" y="0"/>
                      <a:ext cx="4431665" cy="42119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5.2-24 </w:t>
      </w:r>
      <w:r>
        <w:rPr>
          <w:rFonts w:hint="default" w:ascii="Times New Roman" w:hAnsi="Times New Roman" w:eastAsia="宋体" w:cs="Times New Roman"/>
          <w:b/>
          <w:bCs/>
          <w:color w:val="auto"/>
          <w:sz w:val="24"/>
          <w:szCs w:val="24"/>
        </w:rPr>
        <w:t>渗漏1000天污染影响范围（氨氮）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模拟结果中，0.5mg/L作为污染羽最小值。根据模拟结果可知，非正常状况下发生泄漏时，污水进入地下水，在水流作用下向地下水径流的下游方向运移，并不断向周边扩散，形成污染羽。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泄漏发生10天时，污染物浓度最大值主要位于化粪池处，由于污染物持续泄露，浓度最大值为12mg/L，污染羽范围扩大，有向下游运移的趋势，污染羽影响范围12348m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，污染羽距离下游最近保护目标1047m。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泄漏发生30天时，污染物浓度最大值主要位于化粪池处，此时中心浓度为最大，浓度为14mg/L。污染羽影响范围32692m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，污染羽距离下游最近保护目标951m。此时切断污染源。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泄漏发生45天时，由于污染物已停止泄漏，在地下水流稀释径流作用，污染物浓度也降低，浓度最大值为1.2mg/L。污染羽影响范围29768m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，污染羽中心向下游运移距离为87m。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泄漏发生53天及60天时，污染物逐渐向下游移动，浓度最大值分别为0.7mg/L及0.6mg/L。由于地下水径流稀释作用，污染羽逐渐减小，污染羽影响范围分别为15046m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及2805m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，污染羽中心向下游运移距离为156m及194m。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至61天时，污染羽彻底消失，100天、365天及1000天无污染羽出现。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由于污水中氨氮超标倍数较COD低，污水进入地下水体后形成污染羽较COD不明显，沿地下水径流向下游方向运移。因地区降雨及灌溉原因，地下水补给量较大，因此污染物运移过程中稀释较快，对厂区附近区域影响时间较短。超标污染羽（氨氮标准参照《地下水质量标准》中的Ⅲ类水体要求，标准浓度为0.5mg/L）距离下游保护目标较远，并未对周边保护目标造成影响。</w:t>
      </w:r>
    </w:p>
    <w:p>
      <w:pPr>
        <w:snapToGrid w:val="0"/>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w:t>
      </w:r>
      <w:r>
        <w:rPr>
          <w:rFonts w:hint="default" w:ascii="Times New Roman" w:hAnsi="Times New Roman" w:eastAsia="宋体" w:cs="Times New Roman"/>
          <w:color w:val="auto"/>
          <w:sz w:val="24"/>
          <w:lang w:val="en-US" w:eastAsia="zh-CN"/>
        </w:rPr>
        <w:t xml:space="preserve">5.2-13                    </w:t>
      </w:r>
      <w:r>
        <w:rPr>
          <w:rFonts w:hint="default" w:ascii="Times New Roman" w:hAnsi="Times New Roman" w:eastAsia="宋体" w:cs="Times New Roman"/>
          <w:color w:val="auto"/>
          <w:sz w:val="24"/>
        </w:rPr>
        <w:t xml:space="preserve">  污染物运移情况</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9"/>
        <w:gridCol w:w="1246"/>
        <w:gridCol w:w="1780"/>
        <w:gridCol w:w="1226"/>
        <w:gridCol w:w="2151"/>
        <w:gridCol w:w="190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9"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运移时间</w:t>
            </w:r>
          </w:p>
        </w:tc>
        <w:tc>
          <w:tcPr>
            <w:tcW w:w="114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污染羽中心浓度</w:t>
            </w:r>
          </w:p>
        </w:tc>
        <w:tc>
          <w:tcPr>
            <w:tcW w:w="163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污染中心位置</w:t>
            </w:r>
          </w:p>
        </w:tc>
        <w:tc>
          <w:tcPr>
            <w:tcW w:w="112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是否到达保护目标</w:t>
            </w:r>
          </w:p>
        </w:tc>
        <w:tc>
          <w:tcPr>
            <w:tcW w:w="197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污染羽与下游最近保护目标的距离</w:t>
            </w:r>
          </w:p>
        </w:tc>
        <w:tc>
          <w:tcPr>
            <w:tcW w:w="175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污染羽中心运移距离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9"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10天</w:t>
            </w:r>
          </w:p>
        </w:tc>
        <w:tc>
          <w:tcPr>
            <w:tcW w:w="114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12mg/L</w:t>
            </w:r>
          </w:p>
        </w:tc>
        <w:tc>
          <w:tcPr>
            <w:tcW w:w="163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化粪池</w:t>
            </w:r>
          </w:p>
        </w:tc>
        <w:tc>
          <w:tcPr>
            <w:tcW w:w="112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c>
          <w:tcPr>
            <w:tcW w:w="197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1047m</w:t>
            </w:r>
          </w:p>
        </w:tc>
        <w:tc>
          <w:tcPr>
            <w:tcW w:w="175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9"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30天</w:t>
            </w:r>
          </w:p>
        </w:tc>
        <w:tc>
          <w:tcPr>
            <w:tcW w:w="114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14mg/L</w:t>
            </w:r>
          </w:p>
        </w:tc>
        <w:tc>
          <w:tcPr>
            <w:tcW w:w="163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化粪池</w:t>
            </w:r>
          </w:p>
        </w:tc>
        <w:tc>
          <w:tcPr>
            <w:tcW w:w="112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c>
          <w:tcPr>
            <w:tcW w:w="197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951m</w:t>
            </w:r>
          </w:p>
        </w:tc>
        <w:tc>
          <w:tcPr>
            <w:tcW w:w="175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9"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45天</w:t>
            </w:r>
          </w:p>
        </w:tc>
        <w:tc>
          <w:tcPr>
            <w:tcW w:w="114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1.2mg/L</w:t>
            </w:r>
          </w:p>
        </w:tc>
        <w:tc>
          <w:tcPr>
            <w:tcW w:w="163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厂区边界</w:t>
            </w:r>
          </w:p>
        </w:tc>
        <w:tc>
          <w:tcPr>
            <w:tcW w:w="112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c>
          <w:tcPr>
            <w:tcW w:w="197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897m</w:t>
            </w:r>
          </w:p>
        </w:tc>
        <w:tc>
          <w:tcPr>
            <w:tcW w:w="175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87m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9"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53天</w:t>
            </w:r>
          </w:p>
        </w:tc>
        <w:tc>
          <w:tcPr>
            <w:tcW w:w="114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0.7mg/L</w:t>
            </w:r>
          </w:p>
        </w:tc>
        <w:tc>
          <w:tcPr>
            <w:tcW w:w="163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厂界下游</w:t>
            </w:r>
          </w:p>
        </w:tc>
        <w:tc>
          <w:tcPr>
            <w:tcW w:w="112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c>
          <w:tcPr>
            <w:tcW w:w="197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890m</w:t>
            </w:r>
          </w:p>
        </w:tc>
        <w:tc>
          <w:tcPr>
            <w:tcW w:w="175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156m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9"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60天</w:t>
            </w:r>
          </w:p>
        </w:tc>
        <w:tc>
          <w:tcPr>
            <w:tcW w:w="114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0.6mg/L</w:t>
            </w:r>
          </w:p>
        </w:tc>
        <w:tc>
          <w:tcPr>
            <w:tcW w:w="163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厂界下游</w:t>
            </w:r>
          </w:p>
        </w:tc>
        <w:tc>
          <w:tcPr>
            <w:tcW w:w="112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c>
          <w:tcPr>
            <w:tcW w:w="197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903m</w:t>
            </w:r>
          </w:p>
        </w:tc>
        <w:tc>
          <w:tcPr>
            <w:tcW w:w="175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194m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9"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61天</w:t>
            </w:r>
          </w:p>
        </w:tc>
        <w:tc>
          <w:tcPr>
            <w:tcW w:w="114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63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2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7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75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9"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100天</w:t>
            </w:r>
          </w:p>
        </w:tc>
        <w:tc>
          <w:tcPr>
            <w:tcW w:w="114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63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2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7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75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9"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365天</w:t>
            </w:r>
          </w:p>
        </w:tc>
        <w:tc>
          <w:tcPr>
            <w:tcW w:w="114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63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2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7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75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9"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1000天</w:t>
            </w:r>
          </w:p>
        </w:tc>
        <w:tc>
          <w:tcPr>
            <w:tcW w:w="114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63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2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7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75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9"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4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63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2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7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75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pPr>
        <w:adjustRightInd w:val="0"/>
        <w:snapToGrid w:val="0"/>
        <w:jc w:val="center"/>
        <w:rPr>
          <w:rFonts w:hint="default" w:ascii="Times New Roman" w:hAnsi="Times New Roman" w:eastAsia="宋体" w:cs="Times New Roman"/>
          <w:b/>
          <w:bCs/>
          <w:color w:val="auto"/>
        </w:rPr>
      </w:pPr>
    </w:p>
    <w:p>
      <w:pPr>
        <w:pStyle w:val="61"/>
        <w:rPr>
          <w:rFonts w:hint="default" w:ascii="Times New Roman" w:hAnsi="Times New Roman" w:eastAsia="宋体" w:cs="Times New Roman"/>
          <w:color w:val="auto"/>
        </w:rPr>
      </w:pP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5264150" cy="2861945"/>
            <wp:effectExtent l="0" t="0" r="8890" b="3175"/>
            <wp:docPr id="51" name="图片 36" descr="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6" descr="c1"/>
                    <pic:cNvPicPr>
                      <a:picLocks noChangeAspect="1"/>
                    </pic:cNvPicPr>
                  </pic:nvPicPr>
                  <pic:blipFill>
                    <a:blip r:embed="rId92"/>
                    <a:stretch>
                      <a:fillRect/>
                    </a:stretch>
                  </pic:blipFill>
                  <pic:spPr>
                    <a:xfrm>
                      <a:off x="0" y="0"/>
                      <a:ext cx="5264150" cy="28619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5.2-24 </w:t>
      </w:r>
      <w:r>
        <w:rPr>
          <w:rFonts w:hint="default" w:ascii="Times New Roman" w:hAnsi="Times New Roman" w:eastAsia="宋体" w:cs="Times New Roman"/>
          <w:b/>
          <w:bCs/>
          <w:color w:val="auto"/>
          <w:sz w:val="24"/>
          <w:szCs w:val="24"/>
        </w:rPr>
        <w:t>下游最近保护目标预测点浓度变化</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通过各个预测点浓度变化看出，由于地下水径流稀释作用，污染物质很快被稀释，浓度很快降低到标准值以下，污染羽距离保护目标处较远，始终未对保护目标造成影响，超标污染羽在61天时消失，不再对周边地下水环境造成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事故状态下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硫酸盐以《地下水质量标准》（GB/T14848-2017）Ⅲ类中硫酸盐标准（250mg/L）作为污染羽的最小值。将上述源强信息代入模型，得出模拟结论。</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445000" cy="4211955"/>
            <wp:effectExtent l="0" t="0" r="5080" b="9525"/>
            <wp:docPr id="53" name="图片 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7" descr="1"/>
                    <pic:cNvPicPr>
                      <a:picLocks noChangeAspect="1"/>
                    </pic:cNvPicPr>
                  </pic:nvPicPr>
                  <pic:blipFill>
                    <a:blip r:embed="rId93"/>
                    <a:stretch>
                      <a:fillRect/>
                    </a:stretch>
                  </pic:blipFill>
                  <pic:spPr>
                    <a:xfrm>
                      <a:off x="0" y="0"/>
                      <a:ext cx="4445000" cy="42119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5.2-25 </w:t>
      </w:r>
      <w:r>
        <w:rPr>
          <w:rFonts w:hint="default" w:ascii="Times New Roman" w:hAnsi="Times New Roman" w:eastAsia="宋体" w:cs="Times New Roman"/>
          <w:b/>
          <w:bCs/>
          <w:color w:val="auto"/>
          <w:sz w:val="24"/>
          <w:szCs w:val="24"/>
        </w:rPr>
        <w:t>渗漏1天污染影响范围（</w:t>
      </w:r>
      <w:r>
        <w:rPr>
          <w:rFonts w:hint="default" w:ascii="Times New Roman" w:hAnsi="Times New Roman" w:eastAsia="宋体" w:cs="Times New Roman"/>
          <w:b/>
          <w:color w:val="auto"/>
          <w:sz w:val="24"/>
          <w:szCs w:val="24"/>
        </w:rPr>
        <w:t>硫酸盐</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361180" cy="4139565"/>
            <wp:effectExtent l="0" t="0" r="12700" b="5715"/>
            <wp:docPr id="54" name="图片 3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8" descr="10"/>
                    <pic:cNvPicPr>
                      <a:picLocks noChangeAspect="1"/>
                    </pic:cNvPicPr>
                  </pic:nvPicPr>
                  <pic:blipFill>
                    <a:blip r:embed="rId94"/>
                    <a:stretch>
                      <a:fillRect/>
                    </a:stretch>
                  </pic:blipFill>
                  <pic:spPr>
                    <a:xfrm>
                      <a:off x="0" y="0"/>
                      <a:ext cx="4361180" cy="41395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5.2-26 </w:t>
      </w:r>
      <w:r>
        <w:rPr>
          <w:rFonts w:hint="default" w:ascii="Times New Roman" w:hAnsi="Times New Roman" w:eastAsia="宋体" w:cs="Times New Roman"/>
          <w:b/>
          <w:bCs/>
          <w:color w:val="auto"/>
          <w:sz w:val="24"/>
          <w:szCs w:val="24"/>
        </w:rPr>
        <w:t>渗漏10天污染影响范围（</w:t>
      </w:r>
      <w:r>
        <w:rPr>
          <w:rFonts w:hint="default" w:ascii="Times New Roman" w:hAnsi="Times New Roman" w:eastAsia="宋体" w:cs="Times New Roman"/>
          <w:b/>
          <w:color w:val="auto"/>
          <w:sz w:val="24"/>
          <w:szCs w:val="24"/>
        </w:rPr>
        <w:t>硫酸盐</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335780" cy="4112260"/>
            <wp:effectExtent l="0" t="0" r="7620" b="2540"/>
            <wp:docPr id="55" name="图片 39"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9" descr="20"/>
                    <pic:cNvPicPr>
                      <a:picLocks noChangeAspect="1"/>
                    </pic:cNvPicPr>
                  </pic:nvPicPr>
                  <pic:blipFill>
                    <a:blip r:embed="rId95"/>
                    <a:stretch>
                      <a:fillRect/>
                    </a:stretch>
                  </pic:blipFill>
                  <pic:spPr>
                    <a:xfrm>
                      <a:off x="0" y="0"/>
                      <a:ext cx="4335780" cy="41122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5.2-27 </w:t>
      </w:r>
      <w:r>
        <w:rPr>
          <w:rFonts w:hint="default" w:ascii="Times New Roman" w:hAnsi="Times New Roman" w:eastAsia="宋体" w:cs="Times New Roman"/>
          <w:b/>
          <w:bCs/>
          <w:color w:val="auto"/>
          <w:sz w:val="24"/>
          <w:szCs w:val="24"/>
        </w:rPr>
        <w:t>渗漏20天污染影响范围（</w:t>
      </w:r>
      <w:r>
        <w:rPr>
          <w:rFonts w:hint="default" w:ascii="Times New Roman" w:hAnsi="Times New Roman" w:eastAsia="宋体" w:cs="Times New Roman"/>
          <w:b/>
          <w:color w:val="auto"/>
          <w:sz w:val="24"/>
          <w:szCs w:val="24"/>
        </w:rPr>
        <w:t>硫酸盐</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325620" cy="4103370"/>
            <wp:effectExtent l="0" t="0" r="2540" b="11430"/>
            <wp:docPr id="56" name="图片 40"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0" descr="24"/>
                    <pic:cNvPicPr>
                      <a:picLocks noChangeAspect="1"/>
                    </pic:cNvPicPr>
                  </pic:nvPicPr>
                  <pic:blipFill>
                    <a:blip r:embed="rId96"/>
                    <a:stretch>
                      <a:fillRect/>
                    </a:stretch>
                  </pic:blipFill>
                  <pic:spPr>
                    <a:xfrm>
                      <a:off x="0" y="0"/>
                      <a:ext cx="4325620" cy="41033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5.2-28 </w:t>
      </w:r>
      <w:r>
        <w:rPr>
          <w:rFonts w:hint="default" w:ascii="Times New Roman" w:hAnsi="Times New Roman" w:eastAsia="宋体" w:cs="Times New Roman"/>
          <w:b/>
          <w:bCs/>
          <w:color w:val="auto"/>
          <w:sz w:val="24"/>
          <w:szCs w:val="24"/>
        </w:rPr>
        <w:t>渗漏24天污染影响范围（</w:t>
      </w:r>
      <w:r>
        <w:rPr>
          <w:rFonts w:hint="default" w:ascii="Times New Roman" w:hAnsi="Times New Roman" w:eastAsia="宋体" w:cs="Times New Roman"/>
          <w:b/>
          <w:color w:val="auto"/>
          <w:sz w:val="24"/>
          <w:szCs w:val="24"/>
        </w:rPr>
        <w:t>硫酸盐</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439920" cy="4211955"/>
            <wp:effectExtent l="0" t="0" r="10160" b="9525"/>
            <wp:docPr id="57" name="图片 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1" descr="0"/>
                    <pic:cNvPicPr>
                      <a:picLocks noChangeAspect="1"/>
                    </pic:cNvPicPr>
                  </pic:nvPicPr>
                  <pic:blipFill>
                    <a:blip r:embed="rId97"/>
                    <a:stretch>
                      <a:fillRect/>
                    </a:stretch>
                  </pic:blipFill>
                  <pic:spPr>
                    <a:xfrm>
                      <a:off x="0" y="0"/>
                      <a:ext cx="4439920" cy="42119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5.2-29 </w:t>
      </w:r>
      <w:r>
        <w:rPr>
          <w:rFonts w:hint="default" w:ascii="Times New Roman" w:hAnsi="Times New Roman" w:eastAsia="宋体" w:cs="Times New Roman"/>
          <w:b/>
          <w:bCs/>
          <w:color w:val="auto"/>
          <w:sz w:val="24"/>
          <w:szCs w:val="24"/>
        </w:rPr>
        <w:t>渗漏25天污染影响范围（</w:t>
      </w:r>
      <w:r>
        <w:rPr>
          <w:rFonts w:hint="default" w:ascii="Times New Roman" w:hAnsi="Times New Roman" w:eastAsia="宋体" w:cs="Times New Roman"/>
          <w:b/>
          <w:color w:val="auto"/>
          <w:sz w:val="24"/>
          <w:szCs w:val="24"/>
        </w:rPr>
        <w:t>硫酸盐</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354195" cy="4130675"/>
            <wp:effectExtent l="0" t="0" r="4445" b="14605"/>
            <wp:docPr id="58" name="图片 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2" descr="0"/>
                    <pic:cNvPicPr>
                      <a:picLocks noChangeAspect="1"/>
                    </pic:cNvPicPr>
                  </pic:nvPicPr>
                  <pic:blipFill>
                    <a:blip r:embed="rId97"/>
                    <a:stretch>
                      <a:fillRect/>
                    </a:stretch>
                  </pic:blipFill>
                  <pic:spPr>
                    <a:xfrm>
                      <a:off x="0" y="0"/>
                      <a:ext cx="4354195" cy="41306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5.2-30 </w:t>
      </w:r>
      <w:r>
        <w:rPr>
          <w:rFonts w:hint="default" w:ascii="Times New Roman" w:hAnsi="Times New Roman" w:eastAsia="宋体" w:cs="Times New Roman"/>
          <w:b/>
          <w:bCs/>
          <w:color w:val="auto"/>
          <w:sz w:val="24"/>
          <w:szCs w:val="24"/>
        </w:rPr>
        <w:t>渗漏100天污染影响范围（</w:t>
      </w:r>
      <w:r>
        <w:rPr>
          <w:rFonts w:hint="default" w:ascii="Times New Roman" w:hAnsi="Times New Roman" w:eastAsia="宋体" w:cs="Times New Roman"/>
          <w:b/>
          <w:color w:val="auto"/>
          <w:sz w:val="24"/>
          <w:szCs w:val="24"/>
        </w:rPr>
        <w:t>硫酸盐</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354195" cy="4130675"/>
            <wp:effectExtent l="0" t="0" r="4445" b="14605"/>
            <wp:docPr id="59" name="图片 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3" descr="0"/>
                    <pic:cNvPicPr>
                      <a:picLocks noChangeAspect="1"/>
                    </pic:cNvPicPr>
                  </pic:nvPicPr>
                  <pic:blipFill>
                    <a:blip r:embed="rId97"/>
                    <a:stretch>
                      <a:fillRect/>
                    </a:stretch>
                  </pic:blipFill>
                  <pic:spPr>
                    <a:xfrm>
                      <a:off x="0" y="0"/>
                      <a:ext cx="4354195" cy="41306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5.2-31 </w:t>
      </w:r>
      <w:r>
        <w:rPr>
          <w:rFonts w:hint="default" w:ascii="Times New Roman" w:hAnsi="Times New Roman" w:eastAsia="宋体" w:cs="Times New Roman"/>
          <w:b/>
          <w:bCs/>
          <w:color w:val="auto"/>
          <w:sz w:val="24"/>
          <w:szCs w:val="24"/>
        </w:rPr>
        <w:t>渗漏365天污染影响范围（</w:t>
      </w:r>
      <w:r>
        <w:rPr>
          <w:rFonts w:hint="default" w:ascii="Times New Roman" w:hAnsi="Times New Roman" w:eastAsia="宋体" w:cs="Times New Roman"/>
          <w:b/>
          <w:color w:val="auto"/>
          <w:sz w:val="24"/>
          <w:szCs w:val="24"/>
        </w:rPr>
        <w:t>硫酸盐</w:t>
      </w:r>
      <w:r>
        <w:rPr>
          <w:rFonts w:hint="default" w:ascii="Times New Roman" w:hAnsi="Times New Roman" w:eastAsia="宋体" w:cs="Times New Roman"/>
          <w:b/>
          <w:bCs/>
          <w:color w:val="auto"/>
          <w:sz w:val="24"/>
          <w:szCs w:val="24"/>
        </w:rPr>
        <w:t>）</w:t>
      </w: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4439920" cy="4211955"/>
            <wp:effectExtent l="0" t="0" r="10160" b="9525"/>
            <wp:docPr id="60" name="图片 4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4" descr="0"/>
                    <pic:cNvPicPr>
                      <a:picLocks noChangeAspect="1"/>
                    </pic:cNvPicPr>
                  </pic:nvPicPr>
                  <pic:blipFill>
                    <a:blip r:embed="rId97"/>
                    <a:stretch>
                      <a:fillRect/>
                    </a:stretch>
                  </pic:blipFill>
                  <pic:spPr>
                    <a:xfrm>
                      <a:off x="0" y="0"/>
                      <a:ext cx="4439920" cy="42119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5.2-32 </w:t>
      </w:r>
      <w:r>
        <w:rPr>
          <w:rFonts w:hint="default" w:ascii="Times New Roman" w:hAnsi="Times New Roman" w:eastAsia="宋体" w:cs="Times New Roman"/>
          <w:b/>
          <w:bCs/>
          <w:color w:val="auto"/>
          <w:sz w:val="24"/>
          <w:szCs w:val="24"/>
        </w:rPr>
        <w:t>渗漏1000天污染影响范围（</w:t>
      </w:r>
      <w:r>
        <w:rPr>
          <w:rFonts w:hint="default" w:ascii="Times New Roman" w:hAnsi="Times New Roman" w:eastAsia="宋体" w:cs="Times New Roman"/>
          <w:b/>
          <w:color w:val="auto"/>
          <w:sz w:val="24"/>
          <w:szCs w:val="24"/>
        </w:rPr>
        <w:t>硫酸盐</w:t>
      </w:r>
      <w:r>
        <w:rPr>
          <w:rFonts w:hint="default" w:ascii="Times New Roman" w:hAnsi="Times New Roman" w:eastAsia="宋体" w:cs="Times New Roman"/>
          <w:b/>
          <w:bCs/>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模拟结果中，250mg/L作为污染羽最小值。根据模拟结果可知，非正常状况下发生泄漏时，污水进入地下水，在水流作用下向地下水径流的下游方向运移，并不断向周边扩散，形成污染羽。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泄漏发生1天时，污染物浓度最大值主要位于储罐区处，此时中心浓度为最大，浓度最大值为20000mg/L，污染羽范围扩大，有向下游运移的趋势，污染羽影响范围8520m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，污染羽距离下游最近保护目标1082m。此时切断污染源。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泄漏发生10天时，由于污染物已停止泄漏，在地下水流稀释径流作用，污染物浓度也降低，浓度最大值为900mg/L。由于污染物质超标浓度较大，故在地下水流径流扩散作用下形成超标污染羽扩大随后逐渐减小，污染羽影响范围18904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，污染羽中心向下游运移距离为51m。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泄漏发生20天及24天时，污染物逐渐向下游移动，浓度最大值分别为350mg/L及300mg/L。由于地下水径流作用，污染羽逐渐先向外围扩散然后逐渐缩小，污染羽影响范围分别为7423m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及1172m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，污染羽中心向下游运移距离为95m及113m。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至25天时，污染羽彻底消失，100天及1000天无污染羽出现。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由于污水中硫酸盐超标倍数较高，污水进入地下水体后形成污染羽较明显，沿地下水径流向下游方向运移。因地区降雨及灌溉原因，地下水补给量较大，因此污染物运移过程中稀释较快，对厂区附近区域影响时间较短。超标污染羽（硫酸盐标准参照《地下水质量标准》中的Ⅲ类水体要求，标准浓度为250mg/L）距离下游保护目标较远，并未对周边保护目标造成影响。</w:t>
      </w:r>
    </w:p>
    <w:p>
      <w:pPr>
        <w:snapToGrid w:val="0"/>
        <w:spacing w:beforeLines="50" w:line="480" w:lineRule="exac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表</w:t>
      </w:r>
      <w:r>
        <w:rPr>
          <w:rFonts w:hint="default" w:ascii="Times New Roman" w:hAnsi="Times New Roman" w:eastAsia="宋体" w:cs="Times New Roman"/>
          <w:color w:val="auto"/>
          <w:sz w:val="24"/>
          <w:lang w:val="en-US" w:eastAsia="zh-CN"/>
        </w:rPr>
        <w:t xml:space="preserve">5.2-14                     </w:t>
      </w:r>
      <w:r>
        <w:rPr>
          <w:rFonts w:hint="default" w:ascii="Times New Roman" w:hAnsi="Times New Roman" w:eastAsia="宋体" w:cs="Times New Roman"/>
          <w:color w:val="auto"/>
          <w:sz w:val="24"/>
        </w:rPr>
        <w:t xml:space="preserve">  污染物运移情况</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7"/>
        <w:gridCol w:w="1302"/>
        <w:gridCol w:w="1769"/>
        <w:gridCol w:w="1214"/>
        <w:gridCol w:w="2140"/>
        <w:gridCol w:w="18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8"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运移时间</w:t>
            </w:r>
          </w:p>
        </w:tc>
        <w:tc>
          <w:tcPr>
            <w:tcW w:w="119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污染羽中心浓度</w:t>
            </w:r>
          </w:p>
        </w:tc>
        <w:tc>
          <w:tcPr>
            <w:tcW w:w="162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污染中心位置</w:t>
            </w:r>
          </w:p>
        </w:tc>
        <w:tc>
          <w:tcPr>
            <w:tcW w:w="111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是否到达保护目标</w:t>
            </w:r>
          </w:p>
        </w:tc>
        <w:tc>
          <w:tcPr>
            <w:tcW w:w="196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污染羽与下游最近保护目标的距离</w:t>
            </w:r>
          </w:p>
        </w:tc>
        <w:tc>
          <w:tcPr>
            <w:tcW w:w="174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污染羽中心运移距离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8"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1天</w:t>
            </w:r>
          </w:p>
        </w:tc>
        <w:tc>
          <w:tcPr>
            <w:tcW w:w="119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20000mg/L</w:t>
            </w:r>
          </w:p>
        </w:tc>
        <w:tc>
          <w:tcPr>
            <w:tcW w:w="162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储罐区</w:t>
            </w:r>
          </w:p>
        </w:tc>
        <w:tc>
          <w:tcPr>
            <w:tcW w:w="111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c>
          <w:tcPr>
            <w:tcW w:w="196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1082m</w:t>
            </w:r>
          </w:p>
        </w:tc>
        <w:tc>
          <w:tcPr>
            <w:tcW w:w="174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8"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10天</w:t>
            </w:r>
          </w:p>
        </w:tc>
        <w:tc>
          <w:tcPr>
            <w:tcW w:w="119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900mg/L</w:t>
            </w:r>
          </w:p>
        </w:tc>
        <w:tc>
          <w:tcPr>
            <w:tcW w:w="162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厂区边界</w:t>
            </w:r>
          </w:p>
        </w:tc>
        <w:tc>
          <w:tcPr>
            <w:tcW w:w="111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c>
          <w:tcPr>
            <w:tcW w:w="196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1041m</w:t>
            </w:r>
          </w:p>
        </w:tc>
        <w:tc>
          <w:tcPr>
            <w:tcW w:w="174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51m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8"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20天</w:t>
            </w:r>
          </w:p>
        </w:tc>
        <w:tc>
          <w:tcPr>
            <w:tcW w:w="119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350mg/L</w:t>
            </w:r>
          </w:p>
        </w:tc>
        <w:tc>
          <w:tcPr>
            <w:tcW w:w="162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厂界下游</w:t>
            </w:r>
          </w:p>
        </w:tc>
        <w:tc>
          <w:tcPr>
            <w:tcW w:w="111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c>
          <w:tcPr>
            <w:tcW w:w="196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999m</w:t>
            </w:r>
          </w:p>
        </w:tc>
        <w:tc>
          <w:tcPr>
            <w:tcW w:w="174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95m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8"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24天</w:t>
            </w:r>
          </w:p>
        </w:tc>
        <w:tc>
          <w:tcPr>
            <w:tcW w:w="119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300mg/L</w:t>
            </w:r>
          </w:p>
        </w:tc>
        <w:tc>
          <w:tcPr>
            <w:tcW w:w="162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厂界下游</w:t>
            </w:r>
          </w:p>
        </w:tc>
        <w:tc>
          <w:tcPr>
            <w:tcW w:w="111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c>
          <w:tcPr>
            <w:tcW w:w="196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1028m</w:t>
            </w:r>
          </w:p>
        </w:tc>
        <w:tc>
          <w:tcPr>
            <w:tcW w:w="174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113m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8"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25天</w:t>
            </w:r>
          </w:p>
        </w:tc>
        <w:tc>
          <w:tcPr>
            <w:tcW w:w="119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62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1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6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74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8"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100天</w:t>
            </w:r>
          </w:p>
        </w:tc>
        <w:tc>
          <w:tcPr>
            <w:tcW w:w="119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62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1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6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74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8"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365天</w:t>
            </w:r>
          </w:p>
        </w:tc>
        <w:tc>
          <w:tcPr>
            <w:tcW w:w="119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62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1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6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74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8"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1000天</w:t>
            </w:r>
          </w:p>
        </w:tc>
        <w:tc>
          <w:tcPr>
            <w:tcW w:w="119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62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1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6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74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8"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96"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624"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1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65"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740"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pPr>
        <w:adjustRightInd w:val="0"/>
        <w:snapToGrid w:val="0"/>
        <w:jc w:val="center"/>
        <w:rPr>
          <w:rFonts w:hint="default" w:ascii="Times New Roman" w:hAnsi="Times New Roman" w:eastAsia="宋体" w:cs="Times New Roman"/>
          <w:b/>
          <w:bCs/>
          <w:color w:val="auto"/>
        </w:rPr>
      </w:pPr>
    </w:p>
    <w:p>
      <w:pPr>
        <w:pStyle w:val="61"/>
        <w:rPr>
          <w:rFonts w:hint="default" w:ascii="Times New Roman" w:hAnsi="Times New Roman" w:eastAsia="宋体" w:cs="Times New Roman"/>
          <w:color w:val="auto"/>
        </w:rPr>
      </w:pPr>
    </w:p>
    <w:p>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drawing>
          <wp:inline distT="0" distB="0" distL="114300" distR="114300">
            <wp:extent cx="5277485" cy="2868295"/>
            <wp:effectExtent l="0" t="0" r="10795" b="12065"/>
            <wp:docPr id="61" name="图片 45" descr="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5" descr="c1"/>
                    <pic:cNvPicPr>
                      <a:picLocks noChangeAspect="1"/>
                    </pic:cNvPicPr>
                  </pic:nvPicPr>
                  <pic:blipFill>
                    <a:blip r:embed="rId98"/>
                    <a:stretch>
                      <a:fillRect/>
                    </a:stretch>
                  </pic:blipFill>
                  <pic:spPr>
                    <a:xfrm>
                      <a:off x="0" y="0"/>
                      <a:ext cx="5277485" cy="28682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 xml:space="preserve">5.2-33 </w:t>
      </w:r>
      <w:r>
        <w:rPr>
          <w:rFonts w:hint="default" w:ascii="Times New Roman" w:hAnsi="Times New Roman" w:eastAsia="宋体" w:cs="Times New Roman"/>
          <w:b/>
          <w:bCs/>
          <w:color w:val="auto"/>
          <w:sz w:val="24"/>
          <w:szCs w:val="24"/>
        </w:rPr>
        <w:t>下游最近保护目标预测点浓度变化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通过各个预测点浓度变化看出，由于地下水径流稀释作用，污染物质很快被稀释，浓度很快降低到标准值以下，污染羽距离保护目标处较远，始终未对保护目标造成影响，超标污染羽在25天时消失，不再对周边地下水环境造成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bookmarkStart w:id="287" w:name="_Toc24879985"/>
      <w:bookmarkStart w:id="288" w:name="_Toc479277547"/>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地下水模拟预测结论</w:t>
      </w:r>
      <w:bookmarkEnd w:id="287"/>
      <w:bookmarkEnd w:id="28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在非正常状况下，污水泄漏可能会对下游地下水环境产生不良的影响，但始终未到达保护目标处；在事故状态下也未对保护目标造成影响。随着时间所产生的污染物浓度逐渐减少，在包气带介质的吸附、降解等作用的影响，污染物质会得到不同程度的净化因此本项目做好防渗及日常监管，减少非正常状况下的废水外漏及风险事故的发生，对下游地下水的影响较小，因此对下游居民造成威胁的可能性较小。</w:t>
      </w:r>
    </w:p>
    <w:p>
      <w:pPr>
        <w:spacing w:beforeLines="50" w:line="360" w:lineRule="auto"/>
        <w:outlineLvl w:val="2"/>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5.2.4运营期噪声环境影响分析及预测</w:t>
      </w:r>
      <w:bookmarkEnd w:id="251"/>
      <w:bookmarkEnd w:id="252"/>
      <w:bookmarkEnd w:id="253"/>
      <w:bookmarkEnd w:id="254"/>
      <w:bookmarkEnd w:id="255"/>
    </w:p>
    <w:p>
      <w:pPr>
        <w:spacing w:beforeLines="50" w:line="360" w:lineRule="auto"/>
        <w:rPr>
          <w:rFonts w:hint="default" w:ascii="Times New Roman" w:hAnsi="Times New Roman" w:eastAsia="宋体" w:cs="Times New Roman"/>
          <w:b/>
          <w:bCs/>
          <w:color w:val="auto"/>
          <w:sz w:val="28"/>
          <w:szCs w:val="28"/>
        </w:rPr>
      </w:pPr>
      <w:bookmarkStart w:id="289" w:name="_Toc476225202"/>
      <w:bookmarkStart w:id="290" w:name="_Toc476225046"/>
      <w:r>
        <w:rPr>
          <w:rFonts w:hint="default" w:ascii="Times New Roman" w:hAnsi="Times New Roman" w:eastAsia="宋体" w:cs="Times New Roman"/>
          <w:b/>
          <w:bCs/>
          <w:color w:val="auto"/>
          <w:sz w:val="28"/>
          <w:szCs w:val="28"/>
        </w:rPr>
        <w:t>5.2.4.1预测模型及方法</w:t>
      </w:r>
      <w:bookmarkEnd w:id="289"/>
      <w:bookmarkEnd w:id="290"/>
    </w:p>
    <w:p>
      <w:pPr>
        <w:widowControl/>
        <w:autoSpaceDE w:val="0"/>
        <w:autoSpaceDN w:val="0"/>
        <w:adjustRightInd w:val="0"/>
        <w:spacing w:beforeLines="50" w:line="360" w:lineRule="auto"/>
        <w:ind w:firstLine="48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为说明工程投产后对周围声环境的影响程度，本次评价以现状厂界噪声监测点为评价点，预测工程噪声对各评价点的贡献值，然后与现状监测噪声值叠加计算工程投产后各评价点的噪声值。</w:t>
      </w:r>
    </w:p>
    <w:p>
      <w:pPr>
        <w:widowControl/>
        <w:autoSpaceDE w:val="0"/>
        <w:autoSpaceDN w:val="0"/>
        <w:adjustRightInd w:val="0"/>
        <w:spacing w:beforeLines="50" w:line="360" w:lineRule="auto"/>
        <w:ind w:firstLine="48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根据《环境影响评价技术导则声环境》（HJ 2.4-2009）的技术要求，本次评价采取导则上推荐模式。</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（1）声级计算</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建设项目声源在预测点产生的等效声级贡献值(Leqg)计算公式：</w:t>
      </w:r>
    </w:p>
    <w:p>
      <w:pPr>
        <w:pStyle w:val="74"/>
        <w:spacing w:beforeLines="50" w:line="36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drawing>
          <wp:anchor distT="0" distB="0" distL="0" distR="0" simplePos="0" relativeHeight="251659264" behindDoc="0" locked="0" layoutInCell="1" allowOverlap="1">
            <wp:simplePos x="0" y="0"/>
            <wp:positionH relativeFrom="column">
              <wp:posOffset>2088515</wp:posOffset>
            </wp:positionH>
            <wp:positionV relativeFrom="paragraph">
              <wp:posOffset>17145</wp:posOffset>
            </wp:positionV>
            <wp:extent cx="1602105" cy="417195"/>
            <wp:effectExtent l="19050" t="0" r="0" b="0"/>
            <wp:wrapNone/>
            <wp:docPr id="380" name="对象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对象 4"/>
                    <pic:cNvPicPr>
                      <a:picLocks noChangeAspect="1" noChangeArrowheads="1"/>
                    </pic:cNvPicPr>
                  </pic:nvPicPr>
                  <pic:blipFill>
                    <a:blip r:embed="rId99" cstate="print"/>
                    <a:srcRect/>
                    <a:stretch>
                      <a:fillRect/>
                    </a:stretch>
                  </pic:blipFill>
                  <pic:spPr>
                    <a:xfrm>
                      <a:off x="0" y="0"/>
                      <a:ext cx="1602105" cy="417195"/>
                    </a:xfrm>
                    <a:prstGeom prst="rect">
                      <a:avLst/>
                    </a:prstGeom>
                    <a:noFill/>
                    <a:ln w="9525">
                      <a:noFill/>
                      <a:miter lim="800000"/>
                      <a:headEnd/>
                      <a:tailEnd/>
                    </a:ln>
                  </pic:spPr>
                </pic:pic>
              </a:graphicData>
            </a:graphic>
          </wp:anchor>
        </w:drawing>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式中：L</w:t>
      </w:r>
      <w:r>
        <w:rPr>
          <w:rFonts w:hint="default" w:ascii="Times New Roman" w:hAnsi="Times New Roman" w:eastAsia="宋体" w:cs="Times New Roman"/>
          <w:color w:val="auto"/>
          <w:vertAlign w:val="subscript"/>
        </w:rPr>
        <w:t>eqg</w:t>
      </w:r>
      <w:r>
        <w:rPr>
          <w:rFonts w:hint="default" w:ascii="Times New Roman" w:hAnsi="Times New Roman" w:eastAsia="宋体" w:cs="Times New Roman"/>
          <w:color w:val="auto"/>
        </w:rPr>
        <w:t>——建设项目声源在预测点的等效声级贡献值，dB(A)；</w:t>
      </w:r>
    </w:p>
    <w:p>
      <w:pPr>
        <w:pStyle w:val="74"/>
        <w:spacing w:beforeLines="50" w:line="360" w:lineRule="auto"/>
        <w:ind w:firstLine="1200" w:firstLineChars="500"/>
        <w:rPr>
          <w:rFonts w:hint="default" w:ascii="Times New Roman" w:hAnsi="Times New Roman" w:eastAsia="宋体" w:cs="Times New Roman"/>
          <w:color w:val="auto"/>
        </w:rPr>
      </w:pPr>
      <w:r>
        <w:rPr>
          <w:rFonts w:hint="default" w:ascii="Times New Roman" w:hAnsi="Times New Roman" w:eastAsia="宋体" w:cs="Times New Roman"/>
          <w:color w:val="auto"/>
        </w:rPr>
        <w:t>L</w:t>
      </w:r>
      <w:r>
        <w:rPr>
          <w:rFonts w:hint="default" w:ascii="Times New Roman" w:hAnsi="Times New Roman" w:eastAsia="宋体" w:cs="Times New Roman"/>
          <w:color w:val="auto"/>
          <w:vertAlign w:val="subscript"/>
        </w:rPr>
        <w:t>Ai</w:t>
      </w:r>
      <w:r>
        <w:rPr>
          <w:rFonts w:hint="default" w:ascii="Times New Roman" w:hAnsi="Times New Roman" w:eastAsia="宋体" w:cs="Times New Roman"/>
          <w:color w:val="auto"/>
        </w:rPr>
        <w:t>—— i 声源在预测点产生的A声级，dB(A)；</w:t>
      </w:r>
    </w:p>
    <w:p>
      <w:pPr>
        <w:pStyle w:val="74"/>
        <w:spacing w:beforeLines="50" w:line="360" w:lineRule="auto"/>
        <w:ind w:firstLine="1200" w:firstLineChars="500"/>
        <w:rPr>
          <w:rFonts w:hint="default" w:ascii="Times New Roman" w:hAnsi="Times New Roman" w:eastAsia="宋体" w:cs="Times New Roman"/>
          <w:color w:val="auto"/>
        </w:rPr>
      </w:pPr>
      <w:r>
        <w:rPr>
          <w:rFonts w:hint="default" w:ascii="Times New Roman" w:hAnsi="Times New Roman" w:eastAsia="宋体" w:cs="Times New Roman"/>
          <w:color w:val="auto"/>
        </w:rPr>
        <w:t>T——预测计算的时间段，s；</w:t>
      </w:r>
    </w:p>
    <w:p>
      <w:pPr>
        <w:pStyle w:val="74"/>
        <w:spacing w:beforeLines="50" w:line="360" w:lineRule="auto"/>
        <w:ind w:firstLine="1200" w:firstLineChars="500"/>
        <w:rPr>
          <w:rFonts w:hint="default" w:ascii="Times New Roman" w:hAnsi="Times New Roman" w:eastAsia="宋体" w:cs="Times New Roman"/>
          <w:color w:val="auto"/>
        </w:rPr>
      </w:pPr>
      <w:r>
        <w:rPr>
          <w:rFonts w:hint="default" w:ascii="Times New Roman" w:hAnsi="Times New Roman" w:eastAsia="宋体" w:cs="Times New Roman"/>
          <w:color w:val="auto"/>
        </w:rPr>
        <w:t>t</w:t>
      </w:r>
      <w:r>
        <w:rPr>
          <w:rFonts w:hint="default" w:ascii="Times New Roman" w:hAnsi="Times New Roman" w:eastAsia="宋体" w:cs="Times New Roman"/>
          <w:color w:val="auto"/>
          <w:vertAlign w:val="subscript"/>
        </w:rPr>
        <w:t xml:space="preserve">i </w:t>
      </w:r>
      <w:r>
        <w:rPr>
          <w:rFonts w:hint="default" w:ascii="Times New Roman" w:hAnsi="Times New Roman" w:eastAsia="宋体" w:cs="Times New Roman"/>
          <w:color w:val="auto"/>
        </w:rPr>
        <w:t>— i 声源在T 时段内的运行时间，s。</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（2）预测点的预测等效声级</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预测点的预测等效声级(Leq)计算公式如下：</w:t>
      </w:r>
    </w:p>
    <w:p>
      <w:pPr>
        <w:pStyle w:val="74"/>
        <w:spacing w:beforeLines="50" w:line="36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position w:val="-14"/>
        </w:rPr>
        <w:object>
          <v:shape id="_x0000_i1043" o:spt="75" type="#_x0000_t75" style="height:22.45pt;width:154.8pt;" o:ole="t" filled="f" o:preferrelative="t" stroked="f" coordsize="21600,21600">
            <v:path/>
            <v:fill on="f" focussize="0,0"/>
            <v:stroke on="f" joinstyle="miter"/>
            <v:imagedata r:id="rId101" o:title=""/>
            <o:lock v:ext="edit" aspectratio="t"/>
            <w10:wrap type="none"/>
            <w10:anchorlock/>
          </v:shape>
          <o:OLEObject Type="Embed" ProgID="Equation.DSMT4" ShapeID="_x0000_i1043" DrawAspect="Content" ObjectID="_1468075744" r:id="rId100">
            <o:LockedField>false</o:LockedField>
          </o:OLEObject>
        </w:objec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式中：L</w:t>
      </w:r>
      <w:r>
        <w:rPr>
          <w:rFonts w:hint="default" w:ascii="Times New Roman" w:hAnsi="Times New Roman" w:eastAsia="宋体" w:cs="Times New Roman"/>
          <w:color w:val="auto"/>
          <w:vertAlign w:val="subscript"/>
        </w:rPr>
        <w:t>eqg</w:t>
      </w:r>
      <w:r>
        <w:rPr>
          <w:rFonts w:hint="default" w:ascii="Times New Roman" w:hAnsi="Times New Roman" w:eastAsia="宋体" w:cs="Times New Roman"/>
          <w:color w:val="auto"/>
        </w:rPr>
        <w:t>——建设项目声源在预测点的等效声级贡献值，dB(A)；</w:t>
      </w:r>
    </w:p>
    <w:p>
      <w:pPr>
        <w:pStyle w:val="74"/>
        <w:spacing w:beforeLines="50" w:line="360" w:lineRule="auto"/>
        <w:ind w:firstLine="1200" w:firstLineChars="500"/>
        <w:rPr>
          <w:rFonts w:hint="default" w:ascii="Times New Roman" w:hAnsi="Times New Roman" w:eastAsia="宋体" w:cs="Times New Roman"/>
          <w:color w:val="auto"/>
        </w:rPr>
      </w:pPr>
      <w:r>
        <w:rPr>
          <w:rFonts w:hint="default" w:ascii="Times New Roman" w:hAnsi="Times New Roman" w:eastAsia="宋体" w:cs="Times New Roman"/>
          <w:color w:val="auto"/>
        </w:rPr>
        <w:t>L</w:t>
      </w:r>
      <w:r>
        <w:rPr>
          <w:rFonts w:hint="default" w:ascii="Times New Roman" w:hAnsi="Times New Roman" w:eastAsia="宋体" w:cs="Times New Roman"/>
          <w:color w:val="auto"/>
          <w:vertAlign w:val="subscript"/>
        </w:rPr>
        <w:t>eqb</w:t>
      </w:r>
      <w:r>
        <w:rPr>
          <w:rFonts w:hint="default" w:ascii="Times New Roman" w:hAnsi="Times New Roman" w:eastAsia="宋体" w:cs="Times New Roman"/>
          <w:color w:val="auto"/>
        </w:rPr>
        <w:t>——预测点的背景值，dB(A)；</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（3）户外声传播衰减计算</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户外声传播衰减包括几何发散（Adiv）、大气吸收（Aatm）、地面效应（Agr）、屏障屏蔽（Abar）、其他多方面效应（Amisc）引起的衰减。</w: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距声源点r处的A 声级按下式计算：</w:t>
      </w:r>
    </w:p>
    <w:p>
      <w:pPr>
        <w:pStyle w:val="74"/>
        <w:spacing w:beforeLines="50" w:line="36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object>
          <v:shape id="_x0000_i1044" o:spt="75" type="#_x0000_t75" style="height:19.15pt;width:216pt;" o:ole="t" filled="f" o:preferrelative="t" stroked="f" coordsize="21600,21600">
            <v:path/>
            <v:fill on="f" focussize="0,0"/>
            <v:stroke on="f" joinstyle="miter"/>
            <v:imagedata r:id="rId103" o:title=""/>
            <o:lock v:ext="edit" aspectratio="t"/>
            <w10:wrap type="none"/>
            <w10:anchorlock/>
          </v:shape>
          <o:OLEObject Type="Embed" ProgID="Equation.DSMT4" ShapeID="_x0000_i1044" DrawAspect="Content" ObjectID="_1468075745" r:id="rId102">
            <o:LockedField>false</o:LockedField>
          </o:OLEObject>
        </w:object>
      </w:r>
    </w:p>
    <w:p>
      <w:pPr>
        <w:pStyle w:val="74"/>
        <w:spacing w:beforeLines="50"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在预测中考虑反射引起的修正、屏障引起的衰减、双绕射、室内声源等效室外声源等影响和计算方法。</w:t>
      </w:r>
    </w:p>
    <w:p>
      <w:pPr>
        <w:spacing w:beforeLines="50" w:line="360" w:lineRule="auto"/>
        <w:rPr>
          <w:rFonts w:hint="default" w:ascii="Times New Roman" w:hAnsi="Times New Roman" w:eastAsia="宋体" w:cs="Times New Roman"/>
          <w:b/>
          <w:bCs/>
          <w:color w:val="auto"/>
          <w:sz w:val="28"/>
          <w:szCs w:val="28"/>
        </w:rPr>
      </w:pPr>
      <w:bookmarkStart w:id="291" w:name="_Toc476225203"/>
      <w:bookmarkStart w:id="292" w:name="_Toc476225047"/>
      <w:r>
        <w:rPr>
          <w:rFonts w:hint="default" w:ascii="Times New Roman" w:hAnsi="Times New Roman" w:eastAsia="宋体" w:cs="Times New Roman"/>
          <w:b/>
          <w:bCs/>
          <w:color w:val="auto"/>
          <w:sz w:val="28"/>
          <w:szCs w:val="28"/>
        </w:rPr>
        <w:t>5.2.4.2噪声源参数的确定</w:t>
      </w:r>
      <w:bookmarkEnd w:id="291"/>
      <w:bookmarkEnd w:id="292"/>
    </w:p>
    <w:p>
      <w:pPr>
        <w:pStyle w:val="74"/>
        <w:spacing w:beforeLines="50"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根据类比调查的结果，得到工程产噪设备噪声值及采取治理措施的消减量，主要噪声源产生情况及降噪措施列于表5.2-</w:t>
      </w:r>
      <w:r>
        <w:rPr>
          <w:rFonts w:hint="default" w:ascii="Times New Roman" w:hAnsi="Times New Roman" w:eastAsia="宋体" w:cs="Times New Roman"/>
          <w:color w:val="auto"/>
          <w:highlight w:val="none"/>
          <w:lang w:val="en-US" w:eastAsia="zh-CN"/>
        </w:rPr>
        <w:t>15</w:t>
      </w:r>
      <w:r>
        <w:rPr>
          <w:rFonts w:hint="default" w:ascii="Times New Roman" w:hAnsi="Times New Roman" w:eastAsia="宋体" w:cs="Times New Roman"/>
          <w:color w:val="auto"/>
          <w:highlight w:val="none"/>
        </w:rPr>
        <w:t>。</w:t>
      </w:r>
    </w:p>
    <w:p>
      <w:pPr>
        <w:pStyle w:val="74"/>
        <w:spacing w:beforeLines="50" w:line="480" w:lineRule="exact"/>
        <w:ind w:firstLine="0" w:firstLineChars="0"/>
        <w:rPr>
          <w:rFonts w:hint="default" w:ascii="Times New Roman" w:hAnsi="Times New Roman" w:eastAsia="宋体" w:cs="Times New Roman"/>
          <w:b/>
          <w:bCs/>
          <w:color w:val="auto"/>
          <w:sz w:val="28"/>
          <w:szCs w:val="28"/>
        </w:rPr>
      </w:pPr>
      <w:r>
        <w:rPr>
          <w:rFonts w:hint="default" w:ascii="Times New Roman" w:hAnsi="Times New Roman" w:eastAsia="宋体" w:cs="Times New Roman"/>
          <w:color w:val="auto"/>
          <w:highlight w:val="none"/>
        </w:rPr>
        <w:t>表5.2-</w:t>
      </w:r>
      <w:r>
        <w:rPr>
          <w:rFonts w:hint="default" w:ascii="Times New Roman" w:hAnsi="Times New Roman" w:eastAsia="宋体" w:cs="Times New Roman"/>
          <w:color w:val="auto"/>
          <w:highlight w:val="none"/>
          <w:lang w:val="en-US" w:eastAsia="zh-CN"/>
        </w:rPr>
        <w:t xml:space="preserve">15                 </w:t>
      </w:r>
      <w:r>
        <w:rPr>
          <w:rFonts w:hint="default" w:ascii="Times New Roman" w:hAnsi="Times New Roman" w:eastAsia="宋体" w:cs="Times New Roman"/>
          <w:color w:val="auto"/>
          <w:highlight w:val="none"/>
        </w:rPr>
        <w:t xml:space="preserve"> 噪声污染源的声级情况</w:t>
      </w:r>
      <w:bookmarkStart w:id="293" w:name="_Toc476225048"/>
      <w:bookmarkStart w:id="294" w:name="_Toc476225204"/>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0"/>
        <w:gridCol w:w="1724"/>
        <w:gridCol w:w="1040"/>
        <w:gridCol w:w="1920"/>
        <w:gridCol w:w="1380"/>
        <w:gridCol w:w="230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序号</w:t>
            </w:r>
          </w:p>
        </w:tc>
        <w:tc>
          <w:tcPr>
            <w:tcW w:w="1724"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噪声源</w:t>
            </w:r>
          </w:p>
        </w:tc>
        <w:tc>
          <w:tcPr>
            <w:tcW w:w="1040" w:type="dxa"/>
            <w:vAlign w:val="center"/>
          </w:tcPr>
          <w:p>
            <w:pPr>
              <w:jc w:val="center"/>
              <w:rPr>
                <w:rFonts w:hint="default" w:ascii="Times New Roman" w:hAnsi="Times New Roman" w:eastAsia="宋体" w:cs="Times New Roman"/>
                <w:szCs w:val="21"/>
                <w:lang w:eastAsia="zh-CN"/>
              </w:rPr>
            </w:pPr>
            <w:r>
              <w:rPr>
                <w:rFonts w:hint="default" w:ascii="Times New Roman" w:hAnsi="Times New Roman" w:eastAsia="宋体" w:cs="Times New Roman"/>
                <w:szCs w:val="21"/>
                <w:lang w:eastAsia="zh-CN"/>
              </w:rPr>
              <w:t>数量</w:t>
            </w:r>
          </w:p>
        </w:tc>
        <w:tc>
          <w:tcPr>
            <w:tcW w:w="1920"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声功率级</w:t>
            </w:r>
            <w:r>
              <w:rPr>
                <w:rFonts w:hint="default" w:ascii="Times New Roman" w:hAnsi="Times New Roman" w:eastAsia="宋体" w:cs="Times New Roman"/>
                <w:color w:val="auto"/>
                <w:sz w:val="21"/>
                <w:szCs w:val="21"/>
              </w:rPr>
              <w:t>[dB(A)]</w:t>
            </w:r>
          </w:p>
        </w:tc>
        <w:tc>
          <w:tcPr>
            <w:tcW w:w="1380"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控制措施</w:t>
            </w:r>
          </w:p>
        </w:tc>
        <w:tc>
          <w:tcPr>
            <w:tcW w:w="2303"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采取措施后</w:t>
            </w:r>
            <w:r>
              <w:rPr>
                <w:rFonts w:hint="default" w:ascii="Times New Roman" w:hAnsi="Times New Roman" w:eastAsia="宋体" w:cs="Times New Roman"/>
                <w:color w:val="auto"/>
                <w:sz w:val="21"/>
                <w:szCs w:val="21"/>
              </w:rPr>
              <w:t>[dB(A)]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1</w:t>
            </w:r>
          </w:p>
        </w:tc>
        <w:tc>
          <w:tcPr>
            <w:tcW w:w="1724"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颚式破碎机</w:t>
            </w:r>
          </w:p>
        </w:tc>
        <w:tc>
          <w:tcPr>
            <w:tcW w:w="1040"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1</w:t>
            </w:r>
          </w:p>
        </w:tc>
        <w:tc>
          <w:tcPr>
            <w:tcW w:w="1920"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100</w:t>
            </w:r>
          </w:p>
        </w:tc>
        <w:tc>
          <w:tcPr>
            <w:tcW w:w="1380" w:type="dxa"/>
            <w:vMerge w:val="restart"/>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lang w:eastAsia="zh-CN"/>
              </w:rPr>
              <w:t>车间封闭</w:t>
            </w:r>
            <w:r>
              <w:rPr>
                <w:rFonts w:hint="default" w:ascii="Times New Roman" w:hAnsi="Times New Roman" w:eastAsia="宋体" w:cs="Times New Roman"/>
                <w:bCs/>
                <w:szCs w:val="21"/>
              </w:rPr>
              <w:t>，建筑隔声、基础减振</w:t>
            </w:r>
          </w:p>
        </w:tc>
        <w:tc>
          <w:tcPr>
            <w:tcW w:w="2303"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83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2</w:t>
            </w:r>
          </w:p>
        </w:tc>
        <w:tc>
          <w:tcPr>
            <w:tcW w:w="1724" w:type="dxa"/>
            <w:vAlign w:val="center"/>
          </w:tcPr>
          <w:p>
            <w:pPr>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锤式破碎机</w:t>
            </w:r>
          </w:p>
        </w:tc>
        <w:tc>
          <w:tcPr>
            <w:tcW w:w="1040"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1</w:t>
            </w:r>
          </w:p>
        </w:tc>
        <w:tc>
          <w:tcPr>
            <w:tcW w:w="1920"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100</w:t>
            </w:r>
          </w:p>
        </w:tc>
        <w:tc>
          <w:tcPr>
            <w:tcW w:w="1380" w:type="dxa"/>
            <w:vMerge w:val="continue"/>
            <w:vAlign w:val="center"/>
          </w:tcPr>
          <w:p>
            <w:pPr>
              <w:jc w:val="center"/>
              <w:rPr>
                <w:rFonts w:hint="default" w:ascii="Times New Roman" w:hAnsi="Times New Roman" w:eastAsia="宋体" w:cs="Times New Roman"/>
                <w:bCs/>
                <w:szCs w:val="21"/>
              </w:rPr>
            </w:pPr>
          </w:p>
        </w:tc>
        <w:tc>
          <w:tcPr>
            <w:tcW w:w="2303"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83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3</w:t>
            </w:r>
          </w:p>
        </w:tc>
        <w:tc>
          <w:tcPr>
            <w:tcW w:w="1724"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bCs/>
                <w:szCs w:val="21"/>
              </w:rPr>
              <w:t>筛分机</w:t>
            </w:r>
          </w:p>
        </w:tc>
        <w:tc>
          <w:tcPr>
            <w:tcW w:w="1040"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4</w:t>
            </w:r>
          </w:p>
        </w:tc>
        <w:tc>
          <w:tcPr>
            <w:tcW w:w="192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100</w:t>
            </w:r>
          </w:p>
        </w:tc>
        <w:tc>
          <w:tcPr>
            <w:tcW w:w="1380" w:type="dxa"/>
            <w:vMerge w:val="continue"/>
            <w:vAlign w:val="center"/>
          </w:tcPr>
          <w:p>
            <w:pPr>
              <w:jc w:val="center"/>
              <w:rPr>
                <w:rFonts w:hint="default" w:ascii="Times New Roman" w:hAnsi="Times New Roman" w:eastAsia="宋体" w:cs="Times New Roman"/>
                <w:szCs w:val="21"/>
              </w:rPr>
            </w:pPr>
          </w:p>
        </w:tc>
        <w:tc>
          <w:tcPr>
            <w:tcW w:w="2303"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4</w:t>
            </w:r>
          </w:p>
        </w:tc>
        <w:tc>
          <w:tcPr>
            <w:tcW w:w="1724"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bCs/>
                <w:szCs w:val="21"/>
              </w:rPr>
              <w:t>球磨机</w:t>
            </w:r>
          </w:p>
        </w:tc>
        <w:tc>
          <w:tcPr>
            <w:tcW w:w="1040"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3</w:t>
            </w:r>
          </w:p>
        </w:tc>
        <w:tc>
          <w:tcPr>
            <w:tcW w:w="192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100</w:t>
            </w:r>
          </w:p>
        </w:tc>
        <w:tc>
          <w:tcPr>
            <w:tcW w:w="1380" w:type="dxa"/>
            <w:vMerge w:val="continue"/>
            <w:vAlign w:val="center"/>
          </w:tcPr>
          <w:p>
            <w:pPr>
              <w:jc w:val="center"/>
              <w:rPr>
                <w:rFonts w:hint="default" w:ascii="Times New Roman" w:hAnsi="Times New Roman" w:eastAsia="宋体" w:cs="Times New Roman"/>
                <w:szCs w:val="21"/>
              </w:rPr>
            </w:pPr>
          </w:p>
        </w:tc>
        <w:tc>
          <w:tcPr>
            <w:tcW w:w="2303"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5</w:t>
            </w:r>
          </w:p>
        </w:tc>
        <w:tc>
          <w:tcPr>
            <w:tcW w:w="1724"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bCs/>
                <w:szCs w:val="21"/>
              </w:rPr>
              <w:t>磁选机</w:t>
            </w:r>
          </w:p>
        </w:tc>
        <w:tc>
          <w:tcPr>
            <w:tcW w:w="1040"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3</w:t>
            </w:r>
          </w:p>
        </w:tc>
        <w:tc>
          <w:tcPr>
            <w:tcW w:w="192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90</w:t>
            </w:r>
          </w:p>
        </w:tc>
        <w:tc>
          <w:tcPr>
            <w:tcW w:w="1380" w:type="dxa"/>
            <w:vMerge w:val="continue"/>
            <w:vAlign w:val="center"/>
          </w:tcPr>
          <w:p>
            <w:pPr>
              <w:jc w:val="center"/>
              <w:rPr>
                <w:rFonts w:hint="default" w:ascii="Times New Roman" w:hAnsi="Times New Roman" w:eastAsia="宋体" w:cs="Times New Roman"/>
                <w:szCs w:val="21"/>
              </w:rPr>
            </w:pPr>
          </w:p>
        </w:tc>
        <w:tc>
          <w:tcPr>
            <w:tcW w:w="2303"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74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6</w:t>
            </w:r>
          </w:p>
        </w:tc>
        <w:tc>
          <w:tcPr>
            <w:tcW w:w="1724" w:type="dxa"/>
            <w:vAlign w:val="center"/>
          </w:tcPr>
          <w:p>
            <w:pPr>
              <w:jc w:val="center"/>
              <w:rPr>
                <w:rFonts w:hint="default" w:ascii="Times New Roman" w:hAnsi="Times New Roman" w:eastAsia="宋体" w:cs="Times New Roman"/>
                <w:bCs/>
                <w:szCs w:val="21"/>
                <w:lang w:eastAsia="zh-CN"/>
              </w:rPr>
            </w:pPr>
            <w:r>
              <w:rPr>
                <w:rFonts w:hint="default" w:ascii="Times New Roman" w:hAnsi="Times New Roman" w:eastAsia="宋体" w:cs="Times New Roman"/>
                <w:bCs/>
                <w:szCs w:val="21"/>
                <w:lang w:eastAsia="zh-CN"/>
              </w:rPr>
              <w:t>水泵</w:t>
            </w:r>
          </w:p>
        </w:tc>
        <w:tc>
          <w:tcPr>
            <w:tcW w:w="1040" w:type="dxa"/>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8</w:t>
            </w:r>
          </w:p>
        </w:tc>
        <w:tc>
          <w:tcPr>
            <w:tcW w:w="192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95</w:t>
            </w:r>
          </w:p>
        </w:tc>
        <w:tc>
          <w:tcPr>
            <w:tcW w:w="1380" w:type="dxa"/>
            <w:vMerge w:val="continue"/>
            <w:vAlign w:val="center"/>
          </w:tcPr>
          <w:p>
            <w:pPr>
              <w:jc w:val="center"/>
              <w:rPr>
                <w:rFonts w:hint="default" w:ascii="Times New Roman" w:hAnsi="Times New Roman" w:eastAsia="宋体" w:cs="Times New Roman"/>
                <w:szCs w:val="21"/>
              </w:rPr>
            </w:pPr>
          </w:p>
        </w:tc>
        <w:tc>
          <w:tcPr>
            <w:tcW w:w="2303"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78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7</w:t>
            </w:r>
          </w:p>
        </w:tc>
        <w:tc>
          <w:tcPr>
            <w:tcW w:w="1724" w:type="dxa"/>
            <w:vAlign w:val="center"/>
          </w:tcPr>
          <w:p>
            <w:pPr>
              <w:jc w:val="center"/>
              <w:rPr>
                <w:rFonts w:hint="default" w:ascii="Times New Roman" w:hAnsi="Times New Roman" w:eastAsia="宋体" w:cs="Times New Roman"/>
                <w:szCs w:val="21"/>
                <w:lang w:eastAsia="zh-CN"/>
              </w:rPr>
            </w:pPr>
            <w:r>
              <w:rPr>
                <w:rFonts w:hint="default" w:ascii="Times New Roman" w:hAnsi="Times New Roman" w:eastAsia="宋体" w:cs="Times New Roman"/>
                <w:szCs w:val="21"/>
                <w:lang w:eastAsia="zh-CN"/>
              </w:rPr>
              <w:t>压滤机</w:t>
            </w:r>
          </w:p>
        </w:tc>
        <w:tc>
          <w:tcPr>
            <w:tcW w:w="104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2</w:t>
            </w:r>
          </w:p>
        </w:tc>
        <w:tc>
          <w:tcPr>
            <w:tcW w:w="192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85</w:t>
            </w:r>
          </w:p>
        </w:tc>
        <w:tc>
          <w:tcPr>
            <w:tcW w:w="1380" w:type="dxa"/>
            <w:vMerge w:val="continue"/>
            <w:vAlign w:val="center"/>
          </w:tcPr>
          <w:p>
            <w:pPr>
              <w:jc w:val="center"/>
              <w:rPr>
                <w:rFonts w:hint="default" w:ascii="Times New Roman" w:hAnsi="Times New Roman" w:eastAsia="宋体" w:cs="Times New Roman"/>
                <w:szCs w:val="21"/>
              </w:rPr>
            </w:pPr>
          </w:p>
        </w:tc>
        <w:tc>
          <w:tcPr>
            <w:tcW w:w="2303"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8</w:t>
            </w:r>
          </w:p>
        </w:tc>
        <w:tc>
          <w:tcPr>
            <w:tcW w:w="1724" w:type="dxa"/>
            <w:vAlign w:val="center"/>
          </w:tcPr>
          <w:p>
            <w:pPr>
              <w:jc w:val="center"/>
              <w:rPr>
                <w:rFonts w:hint="default" w:ascii="Times New Roman" w:hAnsi="Times New Roman" w:eastAsia="宋体" w:cs="Times New Roman"/>
                <w:szCs w:val="21"/>
                <w:lang w:eastAsia="zh-CN"/>
              </w:rPr>
            </w:pPr>
            <w:r>
              <w:rPr>
                <w:rFonts w:hint="default" w:ascii="Times New Roman" w:hAnsi="Times New Roman" w:eastAsia="宋体" w:cs="Times New Roman"/>
                <w:szCs w:val="21"/>
                <w:lang w:eastAsia="zh-CN"/>
              </w:rPr>
              <w:t>风机</w:t>
            </w:r>
          </w:p>
        </w:tc>
        <w:tc>
          <w:tcPr>
            <w:tcW w:w="104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1</w:t>
            </w:r>
          </w:p>
        </w:tc>
        <w:tc>
          <w:tcPr>
            <w:tcW w:w="1920"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95</w:t>
            </w:r>
          </w:p>
        </w:tc>
        <w:tc>
          <w:tcPr>
            <w:tcW w:w="1380" w:type="dxa"/>
            <w:vMerge w:val="continue"/>
            <w:vAlign w:val="center"/>
          </w:tcPr>
          <w:p>
            <w:pPr>
              <w:jc w:val="center"/>
              <w:rPr>
                <w:rFonts w:hint="default" w:ascii="Times New Roman" w:hAnsi="Times New Roman" w:eastAsia="宋体" w:cs="Times New Roman"/>
                <w:szCs w:val="21"/>
              </w:rPr>
            </w:pPr>
          </w:p>
        </w:tc>
        <w:tc>
          <w:tcPr>
            <w:tcW w:w="2303"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75</w:t>
            </w:r>
          </w:p>
        </w:tc>
      </w:tr>
    </w:tbl>
    <w:p>
      <w:pPr>
        <w:spacing w:beforeLines="50" w:line="480" w:lineRule="exact"/>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z w:val="28"/>
          <w:szCs w:val="28"/>
        </w:rPr>
        <w:t>5.2.4.3预测结果分析</w:t>
      </w:r>
      <w:bookmarkEnd w:id="293"/>
      <w:bookmarkEnd w:id="294"/>
    </w:p>
    <w:p>
      <w:pPr>
        <w:pStyle w:val="74"/>
        <w:spacing w:beforeLines="50" w:line="480" w:lineRule="exact"/>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本项目噪声影响的预测结果见表5.2-</w:t>
      </w:r>
      <w:r>
        <w:rPr>
          <w:rFonts w:hint="default" w:ascii="Times New Roman" w:hAnsi="Times New Roman" w:eastAsia="宋体" w:cs="Times New Roman"/>
          <w:color w:val="auto"/>
          <w:lang w:val="en-US" w:eastAsia="zh-CN"/>
        </w:rPr>
        <w:t>16</w:t>
      </w:r>
      <w:r>
        <w:rPr>
          <w:rFonts w:hint="default" w:ascii="Times New Roman" w:hAnsi="Times New Roman" w:eastAsia="宋体" w:cs="Times New Roman"/>
          <w:color w:val="auto"/>
        </w:rPr>
        <w:t>。</w:t>
      </w:r>
    </w:p>
    <w:p>
      <w:pPr>
        <w:pStyle w:val="74"/>
        <w:spacing w:beforeLines="50" w:line="480" w:lineRule="exact"/>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表5.2-</w:t>
      </w:r>
      <w:r>
        <w:rPr>
          <w:rFonts w:hint="default" w:ascii="Times New Roman" w:hAnsi="Times New Roman" w:eastAsia="宋体" w:cs="Times New Roman"/>
          <w:color w:val="auto"/>
          <w:lang w:val="en-US" w:eastAsia="zh-CN"/>
        </w:rPr>
        <w:t xml:space="preserve">16                   </w:t>
      </w:r>
      <w:r>
        <w:rPr>
          <w:rFonts w:hint="default" w:ascii="Times New Roman" w:hAnsi="Times New Roman" w:eastAsia="宋体" w:cs="Times New Roman"/>
          <w:color w:val="auto"/>
        </w:rPr>
        <w:t>项目厂界噪声预测结果               单位：dB(A)</w:t>
      </w:r>
    </w:p>
    <w:tbl>
      <w:tblPr>
        <w:tblStyle w:val="51"/>
        <w:tblW w:w="4996"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2"/>
        <w:gridCol w:w="938"/>
        <w:gridCol w:w="1221"/>
        <w:gridCol w:w="1094"/>
        <w:gridCol w:w="927"/>
        <w:gridCol w:w="1094"/>
        <w:gridCol w:w="948"/>
        <w:gridCol w:w="1095"/>
        <w:gridCol w:w="86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3" w:type="pct"/>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预测点</w:t>
            </w:r>
          </w:p>
        </w:tc>
        <w:tc>
          <w:tcPr>
            <w:tcW w:w="505" w:type="pct"/>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b w:val="0"/>
                <w:bCs w:val="0"/>
                <w:color w:val="auto"/>
                <w:kern w:val="0"/>
                <w:sz w:val="21"/>
                <w:szCs w:val="21"/>
              </w:rPr>
              <w:t>距厂界的最近距离</w:t>
            </w:r>
          </w:p>
        </w:tc>
        <w:tc>
          <w:tcPr>
            <w:tcW w:w="657" w:type="pct"/>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各噪声源厂界等效贡献值</w:t>
            </w:r>
          </w:p>
        </w:tc>
        <w:tc>
          <w:tcPr>
            <w:tcW w:w="589" w:type="pct"/>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现状</w:t>
            </w:r>
            <w:r>
              <w:rPr>
                <w:rFonts w:hint="default" w:ascii="Times New Roman" w:hAnsi="Times New Roman" w:eastAsia="宋体" w:cs="Times New Roman"/>
                <w:color w:val="auto"/>
                <w:szCs w:val="21"/>
              </w:rPr>
              <w:t>值（昼间）</w:t>
            </w:r>
          </w:p>
        </w:tc>
        <w:tc>
          <w:tcPr>
            <w:tcW w:w="499" w:type="pct"/>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叠加值</w:t>
            </w:r>
          </w:p>
        </w:tc>
        <w:tc>
          <w:tcPr>
            <w:tcW w:w="589" w:type="pct"/>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现状</w:t>
            </w:r>
            <w:r>
              <w:rPr>
                <w:rFonts w:hint="default" w:ascii="Times New Roman" w:hAnsi="Times New Roman" w:eastAsia="宋体" w:cs="Times New Roman"/>
                <w:color w:val="auto"/>
                <w:szCs w:val="21"/>
              </w:rPr>
              <w:t>值（夜间）</w:t>
            </w:r>
          </w:p>
        </w:tc>
        <w:tc>
          <w:tcPr>
            <w:tcW w:w="510" w:type="pct"/>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叠加值</w:t>
            </w:r>
          </w:p>
        </w:tc>
        <w:tc>
          <w:tcPr>
            <w:tcW w:w="589" w:type="pct"/>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标准值（昼间/夜间）</w:t>
            </w:r>
          </w:p>
        </w:tc>
        <w:tc>
          <w:tcPr>
            <w:tcW w:w="463" w:type="pct"/>
            <w:tcBorders>
              <w:tl2br w:val="nil"/>
              <w:tr2bl w:val="nil"/>
            </w:tcBorders>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3" w:type="pct"/>
            <w:tcBorders>
              <w:tl2br w:val="nil"/>
              <w:tr2bl w:val="nil"/>
            </w:tcBorders>
            <w:vAlign w:val="center"/>
          </w:tcPr>
          <w:p>
            <w:pPr>
              <w:spacing w:line="46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厂界北侧</w:t>
            </w:r>
          </w:p>
        </w:tc>
        <w:tc>
          <w:tcPr>
            <w:tcW w:w="505" w:type="pct"/>
            <w:tcBorders>
              <w:tl2br w:val="nil"/>
              <w:tr2bl w:val="nil"/>
            </w:tcBorders>
            <w:vAlign w:val="center"/>
          </w:tcPr>
          <w:p>
            <w:pPr>
              <w:spacing w:line="460" w:lineRule="exac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67</w:t>
            </w:r>
          </w:p>
        </w:tc>
        <w:tc>
          <w:tcPr>
            <w:tcW w:w="657" w:type="pct"/>
            <w:tcBorders>
              <w:tl2br w:val="nil"/>
              <w:tr2bl w:val="nil"/>
            </w:tcBorders>
            <w:vAlign w:val="center"/>
          </w:tcPr>
          <w:p>
            <w:pPr>
              <w:spacing w:line="460" w:lineRule="exac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41.7</w:t>
            </w:r>
          </w:p>
        </w:tc>
        <w:tc>
          <w:tcPr>
            <w:tcW w:w="589" w:type="pct"/>
            <w:tcBorders>
              <w:tl2br w:val="nil"/>
              <w:tr2bl w:val="nil"/>
            </w:tcBorders>
            <w:vAlign w:val="center"/>
          </w:tcPr>
          <w:p>
            <w:pPr>
              <w:spacing w:line="4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45</w:t>
            </w:r>
          </w:p>
        </w:tc>
        <w:tc>
          <w:tcPr>
            <w:tcW w:w="499" w:type="pct"/>
            <w:tcBorders>
              <w:tl2br w:val="nil"/>
              <w:tr2bl w:val="nil"/>
            </w:tcBorders>
            <w:vAlign w:val="center"/>
          </w:tcPr>
          <w:p>
            <w:pPr>
              <w:spacing w:line="4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46.6</w:t>
            </w:r>
          </w:p>
        </w:tc>
        <w:tc>
          <w:tcPr>
            <w:tcW w:w="589" w:type="pct"/>
            <w:tcBorders>
              <w:tl2br w:val="nil"/>
              <w:tr2bl w:val="nil"/>
            </w:tcBorders>
          </w:tcPr>
          <w:p>
            <w:pPr>
              <w:spacing w:line="4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38</w:t>
            </w:r>
          </w:p>
        </w:tc>
        <w:tc>
          <w:tcPr>
            <w:tcW w:w="510" w:type="pct"/>
            <w:tcBorders>
              <w:tl2br w:val="nil"/>
              <w:tr2bl w:val="nil"/>
            </w:tcBorders>
          </w:tcPr>
          <w:p>
            <w:pPr>
              <w:spacing w:line="4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43.2</w:t>
            </w:r>
          </w:p>
        </w:tc>
        <w:tc>
          <w:tcPr>
            <w:tcW w:w="589" w:type="pct"/>
            <w:tcBorders>
              <w:tl2br w:val="nil"/>
              <w:tr2bl w:val="nil"/>
            </w:tcBorders>
          </w:tcPr>
          <w:p>
            <w:pPr>
              <w:spacing w:line="460" w:lineRule="exac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55/45</w:t>
            </w:r>
          </w:p>
        </w:tc>
        <w:tc>
          <w:tcPr>
            <w:tcW w:w="463" w:type="pct"/>
            <w:vMerge w:val="restart"/>
            <w:tcBorders>
              <w:tl2br w:val="nil"/>
              <w:tr2bl w:val="nil"/>
            </w:tcBorders>
            <w:vAlign w:val="center"/>
          </w:tcPr>
          <w:p>
            <w:pPr>
              <w:spacing w:line="46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3" w:type="pct"/>
            <w:tcBorders>
              <w:tl2br w:val="nil"/>
              <w:tr2bl w:val="nil"/>
            </w:tcBorders>
            <w:vAlign w:val="center"/>
          </w:tcPr>
          <w:p>
            <w:pPr>
              <w:spacing w:line="46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厂界东侧</w:t>
            </w:r>
          </w:p>
        </w:tc>
        <w:tc>
          <w:tcPr>
            <w:tcW w:w="505" w:type="pct"/>
            <w:tcBorders>
              <w:tl2br w:val="nil"/>
              <w:tr2bl w:val="nil"/>
            </w:tcBorders>
            <w:vAlign w:val="center"/>
          </w:tcPr>
          <w:p>
            <w:pPr>
              <w:spacing w:line="460" w:lineRule="exac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48</w:t>
            </w:r>
          </w:p>
        </w:tc>
        <w:tc>
          <w:tcPr>
            <w:tcW w:w="657" w:type="pct"/>
            <w:tcBorders>
              <w:tl2br w:val="nil"/>
              <w:tr2bl w:val="nil"/>
            </w:tcBorders>
            <w:vAlign w:val="center"/>
          </w:tcPr>
          <w:p>
            <w:pPr>
              <w:spacing w:line="460" w:lineRule="exac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43.9</w:t>
            </w:r>
          </w:p>
        </w:tc>
        <w:tc>
          <w:tcPr>
            <w:tcW w:w="589" w:type="pct"/>
            <w:tcBorders>
              <w:tl2br w:val="nil"/>
              <w:tr2bl w:val="nil"/>
            </w:tcBorders>
            <w:vAlign w:val="center"/>
          </w:tcPr>
          <w:p>
            <w:pPr>
              <w:spacing w:line="4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47</w:t>
            </w:r>
          </w:p>
        </w:tc>
        <w:tc>
          <w:tcPr>
            <w:tcW w:w="499" w:type="pct"/>
            <w:tcBorders>
              <w:tl2br w:val="nil"/>
              <w:tr2bl w:val="nil"/>
            </w:tcBorders>
            <w:vAlign w:val="center"/>
          </w:tcPr>
          <w:p>
            <w:pPr>
              <w:spacing w:line="4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4</w:t>
            </w:r>
            <w:r>
              <w:rPr>
                <w:rFonts w:hint="default" w:ascii="Times New Roman" w:hAnsi="Times New Roman" w:eastAsia="宋体" w:cs="Times New Roman"/>
                <w:color w:val="auto"/>
                <w:szCs w:val="21"/>
                <w:highlight w:val="none"/>
                <w:lang w:val="en-US" w:eastAsia="zh-CN"/>
              </w:rPr>
              <w:t>8.7</w:t>
            </w:r>
          </w:p>
        </w:tc>
        <w:tc>
          <w:tcPr>
            <w:tcW w:w="589" w:type="pct"/>
            <w:tcBorders>
              <w:tl2br w:val="nil"/>
              <w:tr2bl w:val="nil"/>
            </w:tcBorders>
          </w:tcPr>
          <w:p>
            <w:pPr>
              <w:spacing w:line="4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35</w:t>
            </w:r>
          </w:p>
        </w:tc>
        <w:tc>
          <w:tcPr>
            <w:tcW w:w="510" w:type="pct"/>
            <w:tcBorders>
              <w:tl2br w:val="nil"/>
              <w:tr2bl w:val="nil"/>
            </w:tcBorders>
          </w:tcPr>
          <w:p>
            <w:pPr>
              <w:spacing w:line="4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44.4</w:t>
            </w:r>
          </w:p>
        </w:tc>
        <w:tc>
          <w:tcPr>
            <w:tcW w:w="589" w:type="pct"/>
            <w:tcBorders>
              <w:tl2br w:val="nil"/>
              <w:tr2bl w:val="nil"/>
            </w:tcBorders>
          </w:tcPr>
          <w:p>
            <w:pPr>
              <w:spacing w:line="46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55/45</w:t>
            </w:r>
          </w:p>
        </w:tc>
        <w:tc>
          <w:tcPr>
            <w:tcW w:w="463" w:type="pct"/>
            <w:vMerge w:val="continue"/>
            <w:tcBorders>
              <w:tl2br w:val="nil"/>
              <w:tr2bl w:val="nil"/>
            </w:tcBorders>
            <w:vAlign w:val="center"/>
          </w:tcPr>
          <w:p>
            <w:pPr>
              <w:spacing w:line="460" w:lineRule="exact"/>
              <w:jc w:val="center"/>
              <w:rPr>
                <w:rFonts w:hint="default" w:ascii="Times New Roman" w:hAnsi="Times New Roman" w:eastAsia="宋体" w:cs="Times New Roman"/>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3" w:type="pct"/>
            <w:tcBorders>
              <w:tl2br w:val="nil"/>
              <w:tr2bl w:val="nil"/>
            </w:tcBorders>
            <w:vAlign w:val="center"/>
          </w:tcPr>
          <w:p>
            <w:pPr>
              <w:spacing w:line="46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厂界南侧</w:t>
            </w:r>
          </w:p>
        </w:tc>
        <w:tc>
          <w:tcPr>
            <w:tcW w:w="505" w:type="pct"/>
            <w:tcBorders>
              <w:tl2br w:val="nil"/>
              <w:tr2bl w:val="nil"/>
            </w:tcBorders>
            <w:vAlign w:val="center"/>
          </w:tcPr>
          <w:p>
            <w:pPr>
              <w:spacing w:line="460" w:lineRule="exac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219</w:t>
            </w:r>
          </w:p>
        </w:tc>
        <w:tc>
          <w:tcPr>
            <w:tcW w:w="657" w:type="pct"/>
            <w:tcBorders>
              <w:tl2br w:val="nil"/>
              <w:tr2bl w:val="nil"/>
            </w:tcBorders>
            <w:vAlign w:val="center"/>
          </w:tcPr>
          <w:p>
            <w:pPr>
              <w:spacing w:line="460" w:lineRule="exac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36.6</w:t>
            </w:r>
          </w:p>
        </w:tc>
        <w:tc>
          <w:tcPr>
            <w:tcW w:w="589" w:type="pct"/>
            <w:tcBorders>
              <w:tl2br w:val="nil"/>
              <w:tr2bl w:val="nil"/>
            </w:tcBorders>
            <w:vAlign w:val="center"/>
          </w:tcPr>
          <w:p>
            <w:pPr>
              <w:spacing w:line="4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46</w:t>
            </w:r>
          </w:p>
        </w:tc>
        <w:tc>
          <w:tcPr>
            <w:tcW w:w="499" w:type="pct"/>
            <w:tcBorders>
              <w:tl2br w:val="nil"/>
              <w:tr2bl w:val="nil"/>
            </w:tcBorders>
            <w:vAlign w:val="center"/>
          </w:tcPr>
          <w:p>
            <w:pPr>
              <w:spacing w:line="4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46.4</w:t>
            </w:r>
          </w:p>
        </w:tc>
        <w:tc>
          <w:tcPr>
            <w:tcW w:w="589" w:type="pct"/>
            <w:tcBorders>
              <w:tl2br w:val="nil"/>
              <w:tr2bl w:val="nil"/>
            </w:tcBorders>
          </w:tcPr>
          <w:p>
            <w:pPr>
              <w:spacing w:line="4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37</w:t>
            </w:r>
          </w:p>
        </w:tc>
        <w:tc>
          <w:tcPr>
            <w:tcW w:w="510" w:type="pct"/>
            <w:tcBorders>
              <w:tl2br w:val="nil"/>
              <w:tr2bl w:val="nil"/>
            </w:tcBorders>
          </w:tcPr>
          <w:p>
            <w:pPr>
              <w:spacing w:line="4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39.8</w:t>
            </w:r>
          </w:p>
        </w:tc>
        <w:tc>
          <w:tcPr>
            <w:tcW w:w="589" w:type="pct"/>
            <w:tcBorders>
              <w:tl2br w:val="nil"/>
              <w:tr2bl w:val="nil"/>
            </w:tcBorders>
          </w:tcPr>
          <w:p>
            <w:pPr>
              <w:spacing w:line="46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55/45</w:t>
            </w:r>
          </w:p>
        </w:tc>
        <w:tc>
          <w:tcPr>
            <w:tcW w:w="463" w:type="pct"/>
            <w:vMerge w:val="continue"/>
            <w:tcBorders>
              <w:tl2br w:val="nil"/>
              <w:tr2bl w:val="nil"/>
            </w:tcBorders>
            <w:vAlign w:val="center"/>
          </w:tcPr>
          <w:p>
            <w:pPr>
              <w:spacing w:line="460" w:lineRule="exact"/>
              <w:jc w:val="center"/>
              <w:rPr>
                <w:rFonts w:hint="default" w:ascii="Times New Roman" w:hAnsi="Times New Roman" w:eastAsia="宋体" w:cs="Times New Roman"/>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3" w:type="pct"/>
            <w:tcBorders>
              <w:tl2br w:val="nil"/>
              <w:tr2bl w:val="nil"/>
            </w:tcBorders>
            <w:vAlign w:val="center"/>
          </w:tcPr>
          <w:p>
            <w:pPr>
              <w:spacing w:line="46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厂界西侧</w:t>
            </w:r>
          </w:p>
        </w:tc>
        <w:tc>
          <w:tcPr>
            <w:tcW w:w="505" w:type="pct"/>
            <w:tcBorders>
              <w:tl2br w:val="nil"/>
              <w:tr2bl w:val="nil"/>
            </w:tcBorders>
            <w:vAlign w:val="center"/>
          </w:tcPr>
          <w:p>
            <w:pPr>
              <w:spacing w:line="460" w:lineRule="exac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98</w:t>
            </w:r>
          </w:p>
        </w:tc>
        <w:tc>
          <w:tcPr>
            <w:tcW w:w="657" w:type="pct"/>
            <w:tcBorders>
              <w:tl2br w:val="nil"/>
              <w:tr2bl w:val="nil"/>
            </w:tcBorders>
            <w:vAlign w:val="center"/>
          </w:tcPr>
          <w:p>
            <w:pPr>
              <w:spacing w:line="460" w:lineRule="exac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40.1</w:t>
            </w:r>
          </w:p>
        </w:tc>
        <w:tc>
          <w:tcPr>
            <w:tcW w:w="589" w:type="pct"/>
            <w:tcBorders>
              <w:tl2br w:val="nil"/>
              <w:tr2bl w:val="nil"/>
            </w:tcBorders>
            <w:vAlign w:val="center"/>
          </w:tcPr>
          <w:p>
            <w:pPr>
              <w:spacing w:line="4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4</w:t>
            </w:r>
            <w:r>
              <w:rPr>
                <w:rFonts w:hint="default" w:ascii="Times New Roman" w:hAnsi="Times New Roman" w:eastAsia="宋体" w:cs="Times New Roman"/>
                <w:color w:val="auto"/>
                <w:szCs w:val="21"/>
                <w:highlight w:val="none"/>
                <w:lang w:val="en-US" w:eastAsia="zh-CN"/>
              </w:rPr>
              <w:t>8</w:t>
            </w:r>
          </w:p>
        </w:tc>
        <w:tc>
          <w:tcPr>
            <w:tcW w:w="499" w:type="pct"/>
            <w:tcBorders>
              <w:tl2br w:val="nil"/>
              <w:tr2bl w:val="nil"/>
            </w:tcBorders>
            <w:vAlign w:val="center"/>
          </w:tcPr>
          <w:p>
            <w:pPr>
              <w:spacing w:line="4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48.6</w:t>
            </w:r>
          </w:p>
        </w:tc>
        <w:tc>
          <w:tcPr>
            <w:tcW w:w="589" w:type="pct"/>
            <w:tcBorders>
              <w:tl2br w:val="nil"/>
              <w:tr2bl w:val="nil"/>
            </w:tcBorders>
          </w:tcPr>
          <w:p>
            <w:pPr>
              <w:spacing w:line="4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38</w:t>
            </w:r>
          </w:p>
        </w:tc>
        <w:tc>
          <w:tcPr>
            <w:tcW w:w="510" w:type="pct"/>
            <w:tcBorders>
              <w:tl2br w:val="nil"/>
              <w:tr2bl w:val="nil"/>
            </w:tcBorders>
          </w:tcPr>
          <w:p>
            <w:pPr>
              <w:spacing w:line="4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42.1</w:t>
            </w:r>
          </w:p>
        </w:tc>
        <w:tc>
          <w:tcPr>
            <w:tcW w:w="589" w:type="pct"/>
            <w:tcBorders>
              <w:tl2br w:val="nil"/>
              <w:tr2bl w:val="nil"/>
            </w:tcBorders>
          </w:tcPr>
          <w:p>
            <w:pPr>
              <w:spacing w:line="46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55/45</w:t>
            </w:r>
          </w:p>
        </w:tc>
        <w:tc>
          <w:tcPr>
            <w:tcW w:w="463" w:type="pct"/>
            <w:vMerge w:val="continue"/>
            <w:tcBorders>
              <w:tl2br w:val="nil"/>
              <w:tr2bl w:val="nil"/>
            </w:tcBorders>
            <w:vAlign w:val="center"/>
          </w:tcPr>
          <w:p>
            <w:pPr>
              <w:spacing w:line="460" w:lineRule="exact"/>
              <w:jc w:val="center"/>
              <w:rPr>
                <w:rFonts w:hint="default" w:ascii="Times New Roman" w:hAnsi="Times New Roman" w:eastAsia="宋体" w:cs="Times New Roman"/>
                <w:color w:val="auto"/>
                <w:szCs w:val="21"/>
              </w:rPr>
            </w:pPr>
          </w:p>
        </w:tc>
      </w:tr>
    </w:tbl>
    <w:p>
      <w:pPr>
        <w:pStyle w:val="74"/>
        <w:spacing w:beforeLines="50" w:line="360" w:lineRule="auto"/>
        <w:ind w:left="0" w:leftChars="0"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从表5.2-</w:t>
      </w:r>
      <w:r>
        <w:rPr>
          <w:rFonts w:hint="default" w:ascii="Times New Roman" w:hAnsi="Times New Roman" w:eastAsia="宋体" w:cs="Times New Roman"/>
          <w:color w:val="auto"/>
          <w:lang w:val="en-US" w:eastAsia="zh-CN"/>
        </w:rPr>
        <w:t>16</w:t>
      </w:r>
      <w:r>
        <w:rPr>
          <w:rFonts w:hint="default" w:ascii="Times New Roman" w:hAnsi="Times New Roman" w:eastAsia="宋体" w:cs="Times New Roman"/>
          <w:color w:val="auto"/>
        </w:rPr>
        <w:t>可以看出，工程噪声源对各厂界评价点的贡献值</w:t>
      </w:r>
      <w:r>
        <w:rPr>
          <w:rFonts w:hint="default" w:ascii="Times New Roman" w:hAnsi="Times New Roman" w:eastAsia="宋体" w:cs="Times New Roman"/>
          <w:color w:val="auto"/>
          <w:highlight w:val="none"/>
        </w:rPr>
        <w:t>在</w:t>
      </w:r>
      <w:r>
        <w:rPr>
          <w:rFonts w:hint="default" w:ascii="Times New Roman" w:hAnsi="Times New Roman" w:eastAsia="宋体" w:cs="Times New Roman"/>
          <w:color w:val="auto"/>
          <w:highlight w:val="none"/>
          <w:lang w:val="en-US" w:eastAsia="zh-CN"/>
        </w:rPr>
        <w:t>39.8</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44.4</w:t>
      </w:r>
      <w:r>
        <w:rPr>
          <w:rFonts w:hint="default" w:ascii="Times New Roman" w:hAnsi="Times New Roman" w:eastAsia="宋体" w:cs="Times New Roman"/>
          <w:color w:val="auto"/>
          <w:highlight w:val="none"/>
        </w:rPr>
        <w:t>dB(A)</w:t>
      </w:r>
      <w:r>
        <w:rPr>
          <w:rFonts w:hint="default" w:ascii="Times New Roman" w:hAnsi="Times New Roman" w:eastAsia="宋体" w:cs="Times New Roman"/>
          <w:color w:val="auto"/>
        </w:rPr>
        <w:t>之间，噪声叠加值可</w:t>
      </w:r>
      <w:r>
        <w:rPr>
          <w:rFonts w:hint="default" w:ascii="Times New Roman" w:hAnsi="Times New Roman" w:eastAsia="宋体" w:cs="Times New Roman"/>
          <w:color w:val="auto"/>
          <w:lang w:eastAsia="zh-CN"/>
        </w:rPr>
        <w:t>满足</w:t>
      </w:r>
      <w:r>
        <w:rPr>
          <w:rFonts w:hint="default" w:ascii="Times New Roman" w:hAnsi="Times New Roman" w:eastAsia="宋体" w:cs="Times New Roman"/>
          <w:color w:val="auto"/>
        </w:rPr>
        <w:t>《工业企业厂界环境噪声排放标准》（GB12348-2008）中</w:t>
      </w:r>
      <w:r>
        <w:rPr>
          <w:rFonts w:hint="default" w:ascii="Times New Roman" w:hAnsi="Times New Roman" w:eastAsia="宋体" w:cs="Times New Roman"/>
          <w:color w:val="auto"/>
          <w:lang w:val="en-US" w:eastAsia="zh-CN"/>
        </w:rPr>
        <w:t>1</w:t>
      </w:r>
      <w:r>
        <w:rPr>
          <w:rFonts w:hint="default" w:ascii="Times New Roman" w:hAnsi="Times New Roman" w:eastAsia="宋体" w:cs="Times New Roman"/>
          <w:color w:val="auto"/>
        </w:rPr>
        <w:t>类标准。因此，项目噪声不会对周围声环境产生明显影响。</w:t>
      </w:r>
    </w:p>
    <w:p>
      <w:pPr>
        <w:spacing w:beforeLines="50" w:line="360" w:lineRule="auto"/>
        <w:outlineLvl w:val="2"/>
        <w:rPr>
          <w:rFonts w:hint="default" w:ascii="Times New Roman" w:hAnsi="Times New Roman" w:eastAsia="宋体" w:cs="Times New Roman"/>
          <w:b/>
          <w:color w:val="auto"/>
          <w:sz w:val="28"/>
          <w:szCs w:val="28"/>
        </w:rPr>
      </w:pPr>
      <w:bookmarkStart w:id="295" w:name="_Toc476553978"/>
      <w:bookmarkStart w:id="296" w:name="_Toc476225049"/>
      <w:bookmarkStart w:id="297" w:name="_Toc476639463"/>
      <w:bookmarkStart w:id="298" w:name="_Toc478394810"/>
      <w:bookmarkStart w:id="299" w:name="_Toc478038852"/>
      <w:r>
        <w:rPr>
          <w:rFonts w:hint="default" w:ascii="Times New Roman" w:hAnsi="Times New Roman" w:eastAsia="宋体" w:cs="Times New Roman"/>
          <w:b/>
          <w:color w:val="auto"/>
          <w:sz w:val="28"/>
          <w:szCs w:val="28"/>
        </w:rPr>
        <w:t>5.2.5</w:t>
      </w:r>
      <w:bookmarkStart w:id="300" w:name="_Hlk39049072"/>
      <w:r>
        <w:rPr>
          <w:rFonts w:hint="default" w:ascii="Times New Roman" w:hAnsi="Times New Roman" w:eastAsia="宋体" w:cs="Times New Roman"/>
          <w:b/>
          <w:color w:val="auto"/>
          <w:sz w:val="28"/>
          <w:szCs w:val="28"/>
        </w:rPr>
        <w:t>运营期固体废物影响分析</w:t>
      </w:r>
      <w:bookmarkEnd w:id="295"/>
      <w:bookmarkEnd w:id="296"/>
      <w:bookmarkEnd w:id="297"/>
      <w:bookmarkEnd w:id="298"/>
      <w:bookmarkEnd w:id="299"/>
    </w:p>
    <w:bookmarkEnd w:id="300"/>
    <w:p>
      <w:pPr>
        <w:bidi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本项目固体废物主要为尾矿渣、除尘器收集的除尘灰、废机油</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员工生活垃圾。</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（1）除尘器除尘灰</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根据前文计算可得，</w:t>
      </w:r>
      <w:r>
        <w:rPr>
          <w:rFonts w:hint="default" w:ascii="Times New Roman" w:hAnsi="Times New Roman" w:eastAsia="宋体" w:cs="Times New Roman"/>
          <w:color w:val="auto"/>
        </w:rPr>
        <w:t>本项目除尘器收集除尘灰</w:t>
      </w:r>
      <w:r>
        <w:rPr>
          <w:rFonts w:hint="default" w:ascii="Times New Roman" w:hAnsi="Times New Roman" w:eastAsia="宋体" w:cs="Times New Roman"/>
          <w:color w:val="auto"/>
          <w:lang w:val="en-US" w:eastAsia="zh-CN"/>
        </w:rPr>
        <w:t>235.93</w:t>
      </w:r>
      <w:r>
        <w:rPr>
          <w:rFonts w:hint="default" w:ascii="Times New Roman" w:hAnsi="Times New Roman" w:eastAsia="宋体" w:cs="Times New Roman"/>
          <w:color w:val="auto"/>
        </w:rPr>
        <w:t>t/a，进入选矿工艺，不外排。</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）生活垃圾</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本项目</w:t>
      </w:r>
      <w:r>
        <w:rPr>
          <w:rFonts w:hint="default" w:ascii="Times New Roman" w:hAnsi="Times New Roman" w:eastAsia="宋体" w:cs="Times New Roman"/>
          <w:color w:val="auto"/>
          <w:lang w:eastAsia="zh-CN"/>
        </w:rPr>
        <w:t>新增</w:t>
      </w:r>
      <w:r>
        <w:rPr>
          <w:rFonts w:hint="default" w:ascii="Times New Roman" w:hAnsi="Times New Roman" w:eastAsia="宋体" w:cs="Times New Roman"/>
          <w:color w:val="auto"/>
        </w:rPr>
        <w:t>员工</w:t>
      </w:r>
      <w:r>
        <w:rPr>
          <w:rFonts w:hint="default" w:ascii="Times New Roman" w:hAnsi="Times New Roman" w:eastAsia="宋体" w:cs="Times New Roman"/>
          <w:color w:val="auto"/>
          <w:lang w:val="en-US" w:eastAsia="zh-CN"/>
        </w:rPr>
        <w:t>30</w:t>
      </w:r>
      <w:r>
        <w:rPr>
          <w:rFonts w:hint="default" w:ascii="Times New Roman" w:hAnsi="Times New Roman" w:eastAsia="宋体" w:cs="Times New Roman"/>
          <w:color w:val="auto"/>
        </w:rPr>
        <w:t>人，年工作</w:t>
      </w:r>
      <w:r>
        <w:rPr>
          <w:rFonts w:hint="default" w:ascii="Times New Roman" w:hAnsi="Times New Roman" w:eastAsia="宋体" w:cs="Times New Roman"/>
          <w:color w:val="auto"/>
          <w:lang w:val="en-US" w:eastAsia="zh-CN"/>
        </w:rPr>
        <w:t>300</w:t>
      </w:r>
      <w:r>
        <w:rPr>
          <w:rFonts w:hint="default" w:ascii="Times New Roman" w:hAnsi="Times New Roman" w:eastAsia="宋体" w:cs="Times New Roman"/>
          <w:color w:val="auto"/>
        </w:rPr>
        <w:t>天，生活垃圾按0.5kg/人·d计，年产生</w:t>
      </w:r>
      <w:r>
        <w:rPr>
          <w:rFonts w:hint="default" w:ascii="Times New Roman" w:hAnsi="Times New Roman" w:eastAsia="宋体" w:cs="Times New Roman"/>
          <w:color w:val="auto"/>
          <w:lang w:val="en-US" w:eastAsia="zh-CN"/>
        </w:rPr>
        <w:t>4.5</w:t>
      </w:r>
      <w:r>
        <w:rPr>
          <w:rFonts w:hint="default" w:ascii="Times New Roman" w:hAnsi="Times New Roman" w:eastAsia="宋体" w:cs="Times New Roman"/>
          <w:color w:val="auto"/>
        </w:rPr>
        <w:t>t，垃圾箱临时储存，定期</w:t>
      </w:r>
      <w:r>
        <w:rPr>
          <w:rFonts w:hint="default" w:ascii="Times New Roman" w:hAnsi="Times New Roman" w:eastAsia="宋体" w:cs="Times New Roman"/>
          <w:bCs w:val="0"/>
          <w:color w:val="auto"/>
          <w:szCs w:val="21"/>
        </w:rPr>
        <w:t>送环卫部门指定地点</w:t>
      </w:r>
      <w:r>
        <w:rPr>
          <w:rFonts w:hint="default" w:ascii="Times New Roman" w:hAnsi="Times New Roman" w:eastAsia="宋体" w:cs="Times New Roman"/>
          <w:color w:val="auto"/>
        </w:rPr>
        <w:t>。</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3）尾矿渣</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选矿后产生的尾矿渣约为150万t/a，暂存于1座占地面积为300m</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color w:val="auto"/>
          <w:lang w:val="en-US" w:eastAsia="zh-CN"/>
        </w:rPr>
        <w:t>的尾矿仓内，用于填埋历史采坑。</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（4）废机油</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本项目生产设备定期更换机油，废机油产生量约0.5t/a，于厂区内10m</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color w:val="auto"/>
          <w:lang w:val="en-US" w:eastAsia="zh-CN"/>
        </w:rPr>
        <w:t>的危废间内暂存，定期交由资质单位处置。</w:t>
      </w:r>
    </w:p>
    <w:p>
      <w:pPr>
        <w:pStyle w:val="519"/>
        <w:keepNext w:val="0"/>
        <w:keepLines w:val="0"/>
        <w:pageBreakBefore w:val="0"/>
        <w:widowControl w:val="0"/>
        <w:kinsoku/>
        <w:wordWrap/>
        <w:overflowPunct/>
        <w:topLinePunct w:val="0"/>
        <w:bidi w:val="0"/>
        <w:snapToGrid/>
        <w:rPr>
          <w:rFonts w:hint="default" w:ascii="Times New Roman" w:hAnsi="Times New Roman" w:eastAsia="宋体" w:cs="Times New Roman"/>
          <w:bCs/>
          <w:color w:val="auto"/>
          <w:szCs w:val="24"/>
        </w:rPr>
      </w:pPr>
      <w:r>
        <w:rPr>
          <w:rFonts w:hint="default" w:ascii="Times New Roman" w:hAnsi="Times New Roman" w:eastAsia="宋体" w:cs="Times New Roman"/>
          <w:bCs/>
          <w:color w:val="auto"/>
          <w:szCs w:val="24"/>
        </w:rPr>
        <w:t>固体废物产生及排放情况见表</w:t>
      </w:r>
      <w:r>
        <w:rPr>
          <w:rFonts w:hint="default" w:ascii="Times New Roman" w:hAnsi="Times New Roman" w:eastAsia="宋体" w:cs="Times New Roman"/>
          <w:bCs/>
          <w:color w:val="auto"/>
          <w:szCs w:val="24"/>
          <w:lang w:val="en-US" w:eastAsia="zh-CN"/>
        </w:rPr>
        <w:t>5.2-17</w:t>
      </w:r>
      <w:r>
        <w:rPr>
          <w:rFonts w:hint="default" w:ascii="Times New Roman" w:hAnsi="Times New Roman" w:eastAsia="宋体" w:cs="Times New Roman"/>
          <w:bCs/>
          <w:color w:val="auto"/>
          <w:szCs w:val="24"/>
        </w:rPr>
        <w:t>。</w:t>
      </w:r>
    </w:p>
    <w:p>
      <w:pPr>
        <w:pStyle w:val="74"/>
        <w:spacing w:beforeLines="50" w:line="480" w:lineRule="exact"/>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表5.2-17               固体废物产生及排放情况汇总表</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96"/>
        <w:gridCol w:w="1154"/>
        <w:gridCol w:w="1184"/>
        <w:gridCol w:w="1259"/>
        <w:gridCol w:w="805"/>
        <w:gridCol w:w="990"/>
        <w:gridCol w:w="2339"/>
        <w:gridCol w:w="959"/>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序</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号</w:t>
            </w:r>
          </w:p>
        </w:tc>
        <w:tc>
          <w:tcPr>
            <w:tcW w:w="115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名称</w:t>
            </w: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产生工序</w:t>
            </w:r>
          </w:p>
        </w:tc>
        <w:tc>
          <w:tcPr>
            <w:tcW w:w="12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废物类别</w:t>
            </w:r>
          </w:p>
        </w:tc>
        <w:tc>
          <w:tcPr>
            <w:tcW w:w="805"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废物</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代码</w:t>
            </w:r>
          </w:p>
        </w:tc>
        <w:tc>
          <w:tcPr>
            <w:tcW w:w="99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产生量</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（t/a）</w:t>
            </w:r>
          </w:p>
        </w:tc>
        <w:tc>
          <w:tcPr>
            <w:tcW w:w="234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拟采取的处理</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或处置方式</w:t>
            </w:r>
          </w:p>
        </w:tc>
        <w:tc>
          <w:tcPr>
            <w:tcW w:w="9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排放量（t/a）</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1</w:t>
            </w:r>
          </w:p>
        </w:tc>
        <w:tc>
          <w:tcPr>
            <w:tcW w:w="115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除尘灰</w:t>
            </w: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sz w:val="21"/>
                <w:szCs w:val="21"/>
              </w:rPr>
              <w:t>除尘器</w:t>
            </w:r>
          </w:p>
        </w:tc>
        <w:tc>
          <w:tcPr>
            <w:tcW w:w="12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一般固废</w:t>
            </w:r>
          </w:p>
        </w:tc>
        <w:tc>
          <w:tcPr>
            <w:tcW w:w="805"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kern w:val="0"/>
                <w:sz w:val="21"/>
                <w:szCs w:val="21"/>
              </w:rPr>
              <w:t>/</w:t>
            </w:r>
          </w:p>
        </w:tc>
        <w:tc>
          <w:tcPr>
            <w:tcW w:w="99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color w:val="auto"/>
                <w:lang w:val="en-US" w:eastAsia="zh-CN"/>
              </w:rPr>
              <w:t>235.93</w:t>
            </w:r>
          </w:p>
        </w:tc>
        <w:tc>
          <w:tcPr>
            <w:tcW w:w="234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color w:val="auto"/>
              </w:rPr>
              <w:t>进入选矿工艺，不外排</w:t>
            </w:r>
          </w:p>
        </w:tc>
        <w:tc>
          <w:tcPr>
            <w:tcW w:w="9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val="en-US" w:eastAsia="zh-CN"/>
              </w:rPr>
              <w:t>2</w:t>
            </w:r>
          </w:p>
        </w:tc>
        <w:tc>
          <w:tcPr>
            <w:tcW w:w="115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生活垃圾</w:t>
            </w: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职工生活</w:t>
            </w:r>
          </w:p>
        </w:tc>
        <w:tc>
          <w:tcPr>
            <w:tcW w:w="12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一般固废</w:t>
            </w:r>
          </w:p>
        </w:tc>
        <w:tc>
          <w:tcPr>
            <w:tcW w:w="805"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w:t>
            </w:r>
          </w:p>
        </w:tc>
        <w:tc>
          <w:tcPr>
            <w:tcW w:w="99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4.5</w:t>
            </w:r>
          </w:p>
        </w:tc>
        <w:tc>
          <w:tcPr>
            <w:tcW w:w="234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暂存于垃圾桶内，</w:t>
            </w:r>
            <w:r>
              <w:rPr>
                <w:rFonts w:hint="default" w:ascii="Times New Roman" w:hAnsi="Times New Roman" w:eastAsia="宋体" w:cs="Times New Roman"/>
                <w:b w:val="0"/>
                <w:bCs/>
                <w:color w:val="auto"/>
                <w:sz w:val="21"/>
                <w:szCs w:val="21"/>
              </w:rPr>
              <w:t>定期送环卫部门指定地点</w:t>
            </w:r>
          </w:p>
        </w:tc>
        <w:tc>
          <w:tcPr>
            <w:tcW w:w="9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3</w:t>
            </w:r>
          </w:p>
        </w:tc>
        <w:tc>
          <w:tcPr>
            <w:tcW w:w="115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尾矿</w:t>
            </w: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生产</w:t>
            </w:r>
          </w:p>
        </w:tc>
        <w:tc>
          <w:tcPr>
            <w:tcW w:w="12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rPr>
              <w:t>一般固废</w:t>
            </w:r>
          </w:p>
        </w:tc>
        <w:tc>
          <w:tcPr>
            <w:tcW w:w="805"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rPr>
              <w:t>/</w:t>
            </w:r>
          </w:p>
        </w:tc>
        <w:tc>
          <w:tcPr>
            <w:tcW w:w="99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150万</w:t>
            </w:r>
          </w:p>
        </w:tc>
        <w:tc>
          <w:tcPr>
            <w:tcW w:w="234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color w:val="auto"/>
                <w:lang w:val="en-US" w:eastAsia="zh-CN"/>
              </w:rPr>
              <w:t>用于填埋历史采坑</w:t>
            </w:r>
          </w:p>
        </w:tc>
        <w:tc>
          <w:tcPr>
            <w:tcW w:w="9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eastAsia="宋体" w:cs="Times New Roman"/>
                <w:b w:val="0"/>
                <w:bCs/>
                <w:color w:val="auto"/>
                <w:kern w:val="0"/>
                <w:sz w:val="21"/>
                <w:szCs w:val="21"/>
                <w:lang w:val="en-US" w:eastAsia="zh-CN"/>
              </w:rPr>
              <w:t>4</w:t>
            </w:r>
          </w:p>
        </w:tc>
        <w:tc>
          <w:tcPr>
            <w:tcW w:w="115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废机油</w:t>
            </w: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生产设备</w:t>
            </w:r>
          </w:p>
        </w:tc>
        <w:tc>
          <w:tcPr>
            <w:tcW w:w="12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危险废物</w:t>
            </w:r>
          </w:p>
        </w:tc>
        <w:tc>
          <w:tcPr>
            <w:tcW w:w="805"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kern w:val="0"/>
                <w:sz w:val="21"/>
                <w:szCs w:val="21"/>
              </w:rPr>
              <w:t>900-214-08</w:t>
            </w:r>
          </w:p>
        </w:tc>
        <w:tc>
          <w:tcPr>
            <w:tcW w:w="99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0.5</w:t>
            </w:r>
          </w:p>
        </w:tc>
        <w:tc>
          <w:tcPr>
            <w:tcW w:w="234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eastAsia="zh-CN"/>
              </w:rPr>
            </w:pPr>
            <w:r>
              <w:rPr>
                <w:rFonts w:hint="default" w:ascii="Times New Roman" w:hAnsi="Times New Roman" w:eastAsia="宋体" w:cs="Times New Roman"/>
                <w:b w:val="0"/>
                <w:bCs/>
                <w:color w:val="auto"/>
                <w:kern w:val="0"/>
                <w:sz w:val="21"/>
                <w:szCs w:val="21"/>
                <w:lang w:eastAsia="zh-CN"/>
              </w:rPr>
              <w:t>危废间内暂存，定期交由资质单位</w:t>
            </w:r>
          </w:p>
        </w:tc>
        <w:tc>
          <w:tcPr>
            <w:tcW w:w="9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0</w:t>
            </w:r>
          </w:p>
        </w:tc>
      </w:tr>
    </w:tbl>
    <w:p>
      <w:pPr>
        <w:spacing w:beforeLines="50" w:line="360" w:lineRule="auto"/>
        <w:outlineLvl w:val="2"/>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color w:val="auto"/>
          <w:sz w:val="28"/>
          <w:szCs w:val="28"/>
          <w:highlight w:val="none"/>
        </w:rPr>
        <w:t>5.2.6土壤影响预测与评价</w:t>
      </w:r>
    </w:p>
    <w:bookmarkEnd w:id="256"/>
    <w:p>
      <w:pPr>
        <w:spacing w:beforeLines="50" w:line="360" w:lineRule="auto"/>
        <w:rPr>
          <w:rFonts w:hint="default" w:ascii="Times New Roman" w:hAnsi="Times New Roman" w:eastAsia="宋体" w:cs="Times New Roman"/>
          <w:b/>
          <w:bCs/>
          <w:color w:val="auto"/>
          <w:sz w:val="28"/>
          <w:szCs w:val="28"/>
          <w:highlight w:val="none"/>
          <w:lang w:val="en-US" w:eastAsia="zh-CN"/>
        </w:rPr>
      </w:pPr>
      <w:bookmarkStart w:id="301" w:name="_Toc476225050"/>
      <w:r>
        <w:rPr>
          <w:rFonts w:hint="default" w:ascii="Times New Roman" w:hAnsi="Times New Roman" w:eastAsia="宋体" w:cs="Times New Roman"/>
          <w:b/>
          <w:bCs/>
          <w:color w:val="auto"/>
          <w:sz w:val="28"/>
          <w:szCs w:val="28"/>
          <w:highlight w:val="none"/>
          <w:lang w:val="en-US" w:eastAsia="zh-CN"/>
        </w:rPr>
        <w:t>5.2.6.1土壤环境现状调查</w:t>
      </w:r>
    </w:p>
    <w:p>
      <w:pPr>
        <w:pStyle w:val="2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color w:val="auto"/>
          <w:sz w:val="24"/>
          <w:szCs w:val="24"/>
          <w:highlight w:val="none"/>
        </w:rPr>
        <w:t>土壤区域分布是指由于中小地形、水文地质条件和成土母质等区域性成土条件的变化而引起的土壤有规律的变化。根据地貌和土壤组合特点，辽宁土壤的区域性分布可分为辽东山地丘陵区、辽西低山丘陵区、辽河平原区3种类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本项目区域属于辽西低山丘陵区。</w:t>
      </w:r>
    </w:p>
    <w:p>
      <w:pPr>
        <w:pStyle w:val="2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（1）水文地质资料</w:t>
      </w:r>
    </w:p>
    <w:p>
      <w:pPr>
        <w:pStyle w:val="2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color w:val="auto"/>
          <w:sz w:val="24"/>
          <w:szCs w:val="24"/>
          <w:highlight w:val="none"/>
        </w:rPr>
        <w:t>区域地层岩性、构造、地貌及气象等自然条件决定了本区地下水的赋存条件和分布规律。根据区内地下水的赋存特征、水力特征等，本区地下水类型主要划分：松散岩类孔隙水，碎屑岩类裂隙孔隙水；碳酸盐类裂隙岩溶水；基岩裂隙水。</w:t>
      </w:r>
    </w:p>
    <w:p>
      <w:pPr>
        <w:pStyle w:val="2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（2）土壤类型现状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北票市境内土壤分褐土、棕壤、草甸土3大类11个亚类，其中褐土续分为5个亚类，棕壤续分为3个亚类，草甸土续分为3个亚类。褐土是境内主要的地带性土壤，分布面积较广，占全市土壤总面积的85%。棕壤分布面积小，只占全市土壤总面积的8%。草甸土是草甸植被下由草甸化过程形成的一种土壤，分布面积较少，占全市土壤总面积的7%。 </w:t>
      </w:r>
    </w:p>
    <w:p>
      <w:pPr>
        <w:pStyle w:val="2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1)褐土</w:t>
      </w:r>
    </w:p>
    <w:p>
      <w:pPr>
        <w:pStyle w:val="2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半湿润暖温带地区碳酸盐弱度</w:t>
      </w:r>
      <w:r>
        <w:rPr>
          <w:rFonts w:hint="default" w:ascii="Times New Roman" w:hAnsi="Times New Roman" w:eastAsia="宋体" w:cs="Times New Roman"/>
          <w:b w:val="0"/>
          <w:bCs/>
          <w:color w:val="auto"/>
          <w:sz w:val="24"/>
          <w:szCs w:val="24"/>
          <w:highlight w:val="none"/>
          <w:lang w:val="en-US" w:eastAsia="zh-CN"/>
        </w:rPr>
        <w:fldChar w:fldCharType="begin"/>
      </w:r>
      <w:r>
        <w:rPr>
          <w:rFonts w:hint="default" w:ascii="Times New Roman" w:hAnsi="Times New Roman" w:eastAsia="宋体" w:cs="Times New Roman"/>
          <w:b w:val="0"/>
          <w:bCs/>
          <w:color w:val="auto"/>
          <w:sz w:val="24"/>
          <w:szCs w:val="24"/>
          <w:highlight w:val="none"/>
          <w:lang w:val="en-US" w:eastAsia="zh-CN"/>
        </w:rPr>
        <w:instrText xml:space="preserve"> HYPERLINK "https://baike.so.com/doc/5970614-6183571.html" \t "https://baike.so.com/doc/_blank" </w:instrText>
      </w:r>
      <w:r>
        <w:rPr>
          <w:rFonts w:hint="default" w:ascii="Times New Roman" w:hAnsi="Times New Roman" w:eastAsia="宋体" w:cs="Times New Roman"/>
          <w:b w:val="0"/>
          <w:bCs/>
          <w:color w:val="auto"/>
          <w:sz w:val="24"/>
          <w:szCs w:val="24"/>
          <w:highlight w:val="none"/>
          <w:lang w:val="en-US" w:eastAsia="zh-CN"/>
        </w:rPr>
        <w:fldChar w:fldCharType="separate"/>
      </w:r>
      <w:r>
        <w:rPr>
          <w:rFonts w:hint="default" w:ascii="Times New Roman" w:hAnsi="Times New Roman" w:eastAsia="宋体" w:cs="Times New Roman"/>
          <w:b w:val="0"/>
          <w:bCs/>
          <w:color w:val="auto"/>
          <w:sz w:val="24"/>
          <w:szCs w:val="24"/>
          <w:highlight w:val="none"/>
          <w:lang w:val="en-US" w:eastAsia="zh-CN"/>
        </w:rPr>
        <w:t>淋溶</w:t>
      </w:r>
      <w:r>
        <w:rPr>
          <w:rFonts w:hint="default" w:ascii="Times New Roman" w:hAnsi="Times New Roman" w:eastAsia="宋体" w:cs="Times New Roman"/>
          <w:b w:val="0"/>
          <w:bCs/>
          <w:color w:val="auto"/>
          <w:sz w:val="24"/>
          <w:szCs w:val="24"/>
          <w:highlight w:val="none"/>
          <w:lang w:val="en-US" w:eastAsia="zh-CN"/>
        </w:rPr>
        <w:fldChar w:fldCharType="end"/>
      </w:r>
      <w:r>
        <w:rPr>
          <w:rFonts w:hint="default" w:ascii="Times New Roman" w:hAnsi="Times New Roman" w:eastAsia="宋体" w:cs="Times New Roman"/>
          <w:b w:val="0"/>
          <w:bCs/>
          <w:color w:val="auto"/>
          <w:sz w:val="24"/>
          <w:szCs w:val="24"/>
          <w:highlight w:val="none"/>
          <w:lang w:val="en-US" w:eastAsia="zh-CN"/>
        </w:rPr>
        <w:t>与聚积，有次生黏化现象的带棕色土壤，又称褐色森林土。</w:t>
      </w:r>
    </w:p>
    <w:p>
      <w:pPr>
        <w:pStyle w:val="2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褐土的表土呈褐色至棕黄色；剖面中、下部有</w:t>
      </w:r>
      <w:r>
        <w:rPr>
          <w:rFonts w:hint="default" w:ascii="Times New Roman" w:hAnsi="Times New Roman" w:eastAsia="宋体" w:cs="Times New Roman"/>
          <w:b w:val="0"/>
          <w:bCs/>
          <w:color w:val="auto"/>
          <w:sz w:val="24"/>
          <w:szCs w:val="24"/>
          <w:highlight w:val="none"/>
          <w:lang w:val="en-US" w:eastAsia="zh-CN"/>
        </w:rPr>
        <w:fldChar w:fldCharType="begin"/>
      </w:r>
      <w:r>
        <w:rPr>
          <w:rFonts w:hint="default" w:ascii="Times New Roman" w:hAnsi="Times New Roman" w:eastAsia="宋体" w:cs="Times New Roman"/>
          <w:b w:val="0"/>
          <w:bCs/>
          <w:color w:val="auto"/>
          <w:sz w:val="24"/>
          <w:szCs w:val="24"/>
          <w:highlight w:val="none"/>
          <w:lang w:val="en-US" w:eastAsia="zh-CN"/>
        </w:rPr>
        <w:instrText xml:space="preserve"> HYPERLINK "https://baike.so.com/doc/9477344-9819827.html" \t "https://baike.so.com/doc/_blank" </w:instrText>
      </w:r>
      <w:r>
        <w:rPr>
          <w:rFonts w:hint="default" w:ascii="Times New Roman" w:hAnsi="Times New Roman" w:eastAsia="宋体" w:cs="Times New Roman"/>
          <w:b w:val="0"/>
          <w:bCs/>
          <w:color w:val="auto"/>
          <w:sz w:val="24"/>
          <w:szCs w:val="24"/>
          <w:highlight w:val="none"/>
          <w:lang w:val="en-US" w:eastAsia="zh-CN"/>
        </w:rPr>
        <w:fldChar w:fldCharType="separate"/>
      </w:r>
      <w:r>
        <w:rPr>
          <w:rFonts w:hint="default" w:ascii="Times New Roman" w:hAnsi="Times New Roman" w:eastAsia="宋体" w:cs="Times New Roman"/>
          <w:b w:val="0"/>
          <w:bCs/>
          <w:color w:val="auto"/>
          <w:sz w:val="24"/>
          <w:szCs w:val="24"/>
          <w:highlight w:val="none"/>
          <w:lang w:val="en-US" w:eastAsia="zh-CN"/>
        </w:rPr>
        <w:t>粘粒</w:t>
      </w:r>
      <w:r>
        <w:rPr>
          <w:rFonts w:hint="default" w:ascii="Times New Roman" w:hAnsi="Times New Roman" w:eastAsia="宋体" w:cs="Times New Roman"/>
          <w:b w:val="0"/>
          <w:bCs/>
          <w:color w:val="auto"/>
          <w:sz w:val="24"/>
          <w:szCs w:val="24"/>
          <w:highlight w:val="none"/>
          <w:lang w:val="en-US" w:eastAsia="zh-CN"/>
        </w:rPr>
        <w:fldChar w:fldCharType="end"/>
      </w:r>
      <w:r>
        <w:rPr>
          <w:rFonts w:hint="default" w:ascii="Times New Roman" w:hAnsi="Times New Roman" w:eastAsia="宋体" w:cs="Times New Roman"/>
          <w:b w:val="0"/>
          <w:bCs/>
          <w:color w:val="auto"/>
          <w:sz w:val="24"/>
          <w:szCs w:val="24"/>
          <w:highlight w:val="none"/>
          <w:lang w:val="en-US" w:eastAsia="zh-CN"/>
        </w:rPr>
        <w:t>和钙的积聚；呈</w:t>
      </w:r>
      <w:r>
        <w:rPr>
          <w:rFonts w:hint="default" w:ascii="Times New Roman" w:hAnsi="Times New Roman" w:eastAsia="宋体" w:cs="Times New Roman"/>
          <w:b w:val="0"/>
          <w:bCs/>
          <w:color w:val="auto"/>
          <w:sz w:val="24"/>
          <w:szCs w:val="24"/>
          <w:highlight w:val="none"/>
          <w:lang w:val="en-US" w:eastAsia="zh-CN"/>
        </w:rPr>
        <w:fldChar w:fldCharType="begin"/>
      </w:r>
      <w:r>
        <w:rPr>
          <w:rFonts w:hint="default" w:ascii="Times New Roman" w:hAnsi="Times New Roman" w:eastAsia="宋体" w:cs="Times New Roman"/>
          <w:b w:val="0"/>
          <w:bCs/>
          <w:color w:val="auto"/>
          <w:sz w:val="24"/>
          <w:szCs w:val="24"/>
          <w:highlight w:val="none"/>
          <w:lang w:val="en-US" w:eastAsia="zh-CN"/>
        </w:rPr>
        <w:instrText xml:space="preserve"> HYPERLINK "https://baike.so.com/doc/6355608-6569240.html" \t "https://baike.so.com/doc/_blank" </w:instrText>
      </w:r>
      <w:r>
        <w:rPr>
          <w:rFonts w:hint="default" w:ascii="Times New Roman" w:hAnsi="Times New Roman" w:eastAsia="宋体" w:cs="Times New Roman"/>
          <w:b w:val="0"/>
          <w:bCs/>
          <w:color w:val="auto"/>
          <w:sz w:val="24"/>
          <w:szCs w:val="24"/>
          <w:highlight w:val="none"/>
          <w:lang w:val="en-US" w:eastAsia="zh-CN"/>
        </w:rPr>
        <w:fldChar w:fldCharType="separate"/>
      </w:r>
      <w:r>
        <w:rPr>
          <w:rFonts w:hint="default" w:ascii="Times New Roman" w:hAnsi="Times New Roman" w:eastAsia="宋体" w:cs="Times New Roman"/>
          <w:b w:val="0"/>
          <w:bCs/>
          <w:color w:val="auto"/>
          <w:sz w:val="24"/>
          <w:szCs w:val="24"/>
          <w:highlight w:val="none"/>
          <w:lang w:val="en-US" w:eastAsia="zh-CN"/>
        </w:rPr>
        <w:t>中性</w:t>
      </w:r>
      <w:r>
        <w:rPr>
          <w:rFonts w:hint="default" w:ascii="Times New Roman" w:hAnsi="Times New Roman" w:eastAsia="宋体" w:cs="Times New Roman"/>
          <w:b w:val="0"/>
          <w:bCs/>
          <w:color w:val="auto"/>
          <w:sz w:val="24"/>
          <w:szCs w:val="24"/>
          <w:highlight w:val="none"/>
          <w:lang w:val="en-US" w:eastAsia="zh-CN"/>
        </w:rPr>
        <w:fldChar w:fldCharType="end"/>
      </w:r>
      <w:r>
        <w:rPr>
          <w:rFonts w:hint="default" w:ascii="Times New Roman" w:hAnsi="Times New Roman" w:eastAsia="宋体" w:cs="Times New Roman"/>
          <w:b w:val="0"/>
          <w:bCs/>
          <w:color w:val="auto"/>
          <w:sz w:val="24"/>
          <w:szCs w:val="24"/>
          <w:highlight w:val="none"/>
          <w:lang w:val="en-US" w:eastAsia="zh-CN"/>
        </w:rPr>
        <w:t>(表层)至微碱性(</w:t>
      </w:r>
      <w:r>
        <w:rPr>
          <w:rFonts w:hint="default" w:ascii="Times New Roman" w:hAnsi="Times New Roman" w:eastAsia="宋体" w:cs="Times New Roman"/>
          <w:b w:val="0"/>
          <w:bCs/>
          <w:color w:val="auto"/>
          <w:sz w:val="24"/>
          <w:szCs w:val="24"/>
          <w:highlight w:val="none"/>
          <w:lang w:val="en-US" w:eastAsia="zh-CN"/>
        </w:rPr>
        <w:fldChar w:fldCharType="begin"/>
      </w:r>
      <w:r>
        <w:rPr>
          <w:rFonts w:hint="default" w:ascii="Times New Roman" w:hAnsi="Times New Roman" w:eastAsia="宋体" w:cs="Times New Roman"/>
          <w:b w:val="0"/>
          <w:bCs/>
          <w:color w:val="auto"/>
          <w:sz w:val="24"/>
          <w:szCs w:val="24"/>
          <w:highlight w:val="none"/>
          <w:lang w:val="en-US" w:eastAsia="zh-CN"/>
        </w:rPr>
        <w:instrText xml:space="preserve"> HYPERLINK "https://p1.ssl.qhimg.com/t01c2b89e9ae7603a56.jpg" </w:instrText>
      </w:r>
      <w:r>
        <w:rPr>
          <w:rFonts w:hint="default" w:ascii="Times New Roman" w:hAnsi="Times New Roman" w:eastAsia="宋体" w:cs="Times New Roman"/>
          <w:b w:val="0"/>
          <w:bCs/>
          <w:color w:val="auto"/>
          <w:sz w:val="24"/>
          <w:szCs w:val="24"/>
          <w:highlight w:val="none"/>
          <w:lang w:val="en-US" w:eastAsia="zh-CN"/>
        </w:rPr>
        <w:fldChar w:fldCharType="separate"/>
      </w:r>
      <w:r>
        <w:rPr>
          <w:rFonts w:hint="default" w:ascii="Times New Roman" w:hAnsi="Times New Roman" w:eastAsia="宋体" w:cs="Times New Roman"/>
          <w:b w:val="0"/>
          <w:bCs/>
          <w:color w:val="auto"/>
          <w:sz w:val="24"/>
          <w:szCs w:val="24"/>
          <w:highlight w:val="none"/>
          <w:lang w:val="en-US" w:eastAsia="zh-CN"/>
        </w:rPr>
        <w:t>褐土</w:t>
      </w:r>
      <w:r>
        <w:rPr>
          <w:rFonts w:hint="default" w:ascii="Times New Roman" w:hAnsi="Times New Roman" w:eastAsia="宋体" w:cs="Times New Roman"/>
          <w:b w:val="0"/>
          <w:bCs/>
          <w:color w:val="auto"/>
          <w:sz w:val="24"/>
          <w:szCs w:val="24"/>
          <w:highlight w:val="none"/>
          <w:lang w:val="en-US" w:eastAsia="zh-CN"/>
        </w:rPr>
        <w:fldChar w:fldCharType="end"/>
      </w:r>
      <w:r>
        <w:rPr>
          <w:rFonts w:hint="default" w:ascii="Times New Roman" w:hAnsi="Times New Roman" w:eastAsia="宋体" w:cs="Times New Roman"/>
          <w:b w:val="0"/>
          <w:bCs/>
          <w:color w:val="auto"/>
          <w:sz w:val="24"/>
          <w:szCs w:val="24"/>
          <w:highlight w:val="none"/>
          <w:lang w:val="en-US" w:eastAsia="zh-CN"/>
        </w:rPr>
        <w:t>心底土层)反应。</w:t>
      </w:r>
      <w:r>
        <w:rPr>
          <w:rFonts w:hint="default" w:ascii="Times New Roman" w:hAnsi="Times New Roman" w:eastAsia="宋体" w:cs="Times New Roman"/>
          <w:b w:val="0"/>
          <w:bCs/>
          <w:color w:val="auto"/>
          <w:sz w:val="24"/>
          <w:szCs w:val="24"/>
          <w:highlight w:val="none"/>
          <w:lang w:val="en-US" w:eastAsia="zh-CN"/>
        </w:rPr>
        <w:fldChar w:fldCharType="begin"/>
      </w:r>
      <w:r>
        <w:rPr>
          <w:rFonts w:hint="default" w:ascii="Times New Roman" w:hAnsi="Times New Roman" w:eastAsia="宋体" w:cs="Times New Roman"/>
          <w:b w:val="0"/>
          <w:bCs/>
          <w:color w:val="auto"/>
          <w:sz w:val="24"/>
          <w:szCs w:val="24"/>
          <w:highlight w:val="none"/>
          <w:lang w:val="en-US" w:eastAsia="zh-CN"/>
        </w:rPr>
        <w:instrText xml:space="preserve"> HYPERLINK "https://baike.so.com/doc/6500471-6714186.html" \t "https://baike.so.com/doc/_blank" </w:instrText>
      </w:r>
      <w:r>
        <w:rPr>
          <w:rFonts w:hint="default" w:ascii="Times New Roman" w:hAnsi="Times New Roman" w:eastAsia="宋体" w:cs="Times New Roman"/>
          <w:b w:val="0"/>
          <w:bCs/>
          <w:color w:val="auto"/>
          <w:sz w:val="24"/>
          <w:szCs w:val="24"/>
          <w:highlight w:val="none"/>
          <w:lang w:val="en-US" w:eastAsia="zh-CN"/>
        </w:rPr>
        <w:fldChar w:fldCharType="separate"/>
      </w:r>
      <w:r>
        <w:rPr>
          <w:rFonts w:hint="default" w:ascii="Times New Roman" w:hAnsi="Times New Roman" w:eastAsia="宋体" w:cs="Times New Roman"/>
          <w:b w:val="0"/>
          <w:bCs/>
          <w:color w:val="auto"/>
          <w:sz w:val="24"/>
          <w:szCs w:val="24"/>
          <w:highlight w:val="none"/>
          <w:lang w:val="en-US" w:eastAsia="zh-CN"/>
        </w:rPr>
        <w:t>土壤剖面</w:t>
      </w:r>
      <w:r>
        <w:rPr>
          <w:rFonts w:hint="default" w:ascii="Times New Roman" w:hAnsi="Times New Roman" w:eastAsia="宋体" w:cs="Times New Roman"/>
          <w:b w:val="0"/>
          <w:bCs/>
          <w:color w:val="auto"/>
          <w:sz w:val="24"/>
          <w:szCs w:val="24"/>
          <w:highlight w:val="none"/>
          <w:lang w:val="en-US" w:eastAsia="zh-CN"/>
        </w:rPr>
        <w:fldChar w:fldCharType="end"/>
      </w:r>
      <w:r>
        <w:rPr>
          <w:rFonts w:hint="default" w:ascii="Times New Roman" w:hAnsi="Times New Roman" w:eastAsia="宋体" w:cs="Times New Roman"/>
          <w:b w:val="0"/>
          <w:bCs/>
          <w:color w:val="auto"/>
          <w:sz w:val="24"/>
          <w:szCs w:val="24"/>
          <w:highlight w:val="none"/>
          <w:lang w:val="en-US" w:eastAsia="zh-CN"/>
        </w:rPr>
        <w:t>构型为</w:t>
      </w:r>
      <w:r>
        <w:rPr>
          <w:rFonts w:hint="default" w:ascii="Times New Roman" w:hAnsi="Times New Roman" w:eastAsia="宋体" w:cs="Times New Roman"/>
          <w:b w:val="0"/>
          <w:bCs/>
          <w:color w:val="auto"/>
          <w:sz w:val="24"/>
          <w:szCs w:val="24"/>
          <w:highlight w:val="none"/>
          <w:lang w:val="en-US" w:eastAsia="zh-CN"/>
        </w:rPr>
        <w:fldChar w:fldCharType="begin"/>
      </w:r>
      <w:r>
        <w:rPr>
          <w:rFonts w:hint="default" w:ascii="Times New Roman" w:hAnsi="Times New Roman" w:eastAsia="宋体" w:cs="Times New Roman"/>
          <w:b w:val="0"/>
          <w:bCs/>
          <w:color w:val="auto"/>
          <w:sz w:val="24"/>
          <w:szCs w:val="24"/>
          <w:highlight w:val="none"/>
          <w:lang w:val="en-US" w:eastAsia="zh-CN"/>
        </w:rPr>
        <w:instrText xml:space="preserve"> HYPERLINK "https://baike.so.com/doc/116489-122981.html" \t "https://baike.so.com/doc/_blank" </w:instrText>
      </w:r>
      <w:r>
        <w:rPr>
          <w:rFonts w:hint="default" w:ascii="Times New Roman" w:hAnsi="Times New Roman" w:eastAsia="宋体" w:cs="Times New Roman"/>
          <w:b w:val="0"/>
          <w:bCs/>
          <w:color w:val="auto"/>
          <w:sz w:val="24"/>
          <w:szCs w:val="24"/>
          <w:highlight w:val="none"/>
          <w:lang w:val="en-US" w:eastAsia="zh-CN"/>
        </w:rPr>
        <w:fldChar w:fldCharType="separate"/>
      </w:r>
      <w:r>
        <w:rPr>
          <w:rFonts w:hint="default" w:ascii="Times New Roman" w:hAnsi="Times New Roman" w:eastAsia="宋体" w:cs="Times New Roman"/>
          <w:b w:val="0"/>
          <w:bCs/>
          <w:color w:val="auto"/>
          <w:sz w:val="24"/>
          <w:szCs w:val="24"/>
          <w:highlight w:val="none"/>
          <w:lang w:val="en-US" w:eastAsia="zh-CN"/>
        </w:rPr>
        <w:t>有机质</w:t>
      </w:r>
      <w:r>
        <w:rPr>
          <w:rFonts w:hint="default" w:ascii="Times New Roman" w:hAnsi="Times New Roman" w:eastAsia="宋体" w:cs="Times New Roman"/>
          <w:b w:val="0"/>
          <w:bCs/>
          <w:color w:val="auto"/>
          <w:sz w:val="24"/>
          <w:szCs w:val="24"/>
          <w:highlight w:val="none"/>
          <w:lang w:val="en-US" w:eastAsia="zh-CN"/>
        </w:rPr>
        <w:fldChar w:fldCharType="end"/>
      </w:r>
      <w:r>
        <w:rPr>
          <w:rFonts w:hint="default" w:ascii="Times New Roman" w:hAnsi="Times New Roman" w:eastAsia="宋体" w:cs="Times New Roman"/>
          <w:b w:val="0"/>
          <w:bCs/>
          <w:color w:val="auto"/>
          <w:sz w:val="24"/>
          <w:szCs w:val="24"/>
          <w:highlight w:val="none"/>
          <w:lang w:val="en-US" w:eastAsia="zh-CN"/>
        </w:rPr>
        <w:t>积聚层-</w:t>
      </w:r>
      <w:r>
        <w:rPr>
          <w:rFonts w:hint="default" w:ascii="Times New Roman" w:hAnsi="Times New Roman" w:eastAsia="宋体" w:cs="Times New Roman"/>
          <w:b w:val="0"/>
          <w:bCs/>
          <w:color w:val="auto"/>
          <w:sz w:val="24"/>
          <w:szCs w:val="24"/>
          <w:highlight w:val="none"/>
          <w:lang w:val="en-US" w:eastAsia="zh-CN"/>
        </w:rPr>
        <w:fldChar w:fldCharType="begin"/>
      </w:r>
      <w:r>
        <w:rPr>
          <w:rFonts w:hint="default" w:ascii="Times New Roman" w:hAnsi="Times New Roman" w:eastAsia="宋体" w:cs="Times New Roman"/>
          <w:b w:val="0"/>
          <w:bCs/>
          <w:color w:val="auto"/>
          <w:sz w:val="24"/>
          <w:szCs w:val="24"/>
          <w:highlight w:val="none"/>
          <w:lang w:val="en-US" w:eastAsia="zh-CN"/>
        </w:rPr>
        <w:instrText xml:space="preserve"> HYPERLINK "https://baike.so.com/doc/722517-764925.html" \t "https://baike.so.com/doc/_blank" </w:instrText>
      </w:r>
      <w:r>
        <w:rPr>
          <w:rFonts w:hint="default" w:ascii="Times New Roman" w:hAnsi="Times New Roman" w:eastAsia="宋体" w:cs="Times New Roman"/>
          <w:b w:val="0"/>
          <w:bCs/>
          <w:color w:val="auto"/>
          <w:sz w:val="24"/>
          <w:szCs w:val="24"/>
          <w:highlight w:val="none"/>
          <w:lang w:val="en-US" w:eastAsia="zh-CN"/>
        </w:rPr>
        <w:fldChar w:fldCharType="separate"/>
      </w:r>
      <w:r>
        <w:rPr>
          <w:rFonts w:hint="default" w:ascii="Times New Roman" w:hAnsi="Times New Roman" w:eastAsia="宋体" w:cs="Times New Roman"/>
          <w:b w:val="0"/>
          <w:bCs/>
          <w:color w:val="auto"/>
          <w:sz w:val="24"/>
          <w:szCs w:val="24"/>
          <w:highlight w:val="none"/>
          <w:lang w:val="en-US" w:eastAsia="zh-CN"/>
        </w:rPr>
        <w:t>粘化层</w:t>
      </w:r>
      <w:r>
        <w:rPr>
          <w:rFonts w:hint="default" w:ascii="Times New Roman" w:hAnsi="Times New Roman" w:eastAsia="宋体" w:cs="Times New Roman"/>
          <w:b w:val="0"/>
          <w:bCs/>
          <w:color w:val="auto"/>
          <w:sz w:val="24"/>
          <w:szCs w:val="24"/>
          <w:highlight w:val="none"/>
          <w:lang w:val="en-US" w:eastAsia="zh-CN"/>
        </w:rPr>
        <w:fldChar w:fldCharType="end"/>
      </w:r>
      <w:r>
        <w:rPr>
          <w:rFonts w:hint="default" w:ascii="Times New Roman" w:hAnsi="Times New Roman" w:eastAsia="宋体"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fldChar w:fldCharType="begin"/>
      </w:r>
      <w:r>
        <w:rPr>
          <w:rFonts w:hint="default" w:ascii="Times New Roman" w:hAnsi="Times New Roman" w:eastAsia="宋体" w:cs="Times New Roman"/>
          <w:b w:val="0"/>
          <w:bCs/>
          <w:color w:val="auto"/>
          <w:sz w:val="24"/>
          <w:szCs w:val="24"/>
          <w:highlight w:val="none"/>
          <w:lang w:val="en-US" w:eastAsia="zh-CN"/>
        </w:rPr>
        <w:instrText xml:space="preserve"> HYPERLINK "https://baike.so.com/doc/908501-960236.html" \t "https://baike.so.com/doc/_blank" </w:instrText>
      </w:r>
      <w:r>
        <w:rPr>
          <w:rFonts w:hint="default" w:ascii="Times New Roman" w:hAnsi="Times New Roman" w:eastAsia="宋体" w:cs="Times New Roman"/>
          <w:b w:val="0"/>
          <w:bCs/>
          <w:color w:val="auto"/>
          <w:sz w:val="24"/>
          <w:szCs w:val="24"/>
          <w:highlight w:val="none"/>
          <w:lang w:val="en-US" w:eastAsia="zh-CN"/>
        </w:rPr>
        <w:fldChar w:fldCharType="separate"/>
      </w:r>
      <w:r>
        <w:rPr>
          <w:rFonts w:hint="default" w:ascii="Times New Roman" w:hAnsi="Times New Roman" w:eastAsia="宋体" w:cs="Times New Roman"/>
          <w:b w:val="0"/>
          <w:bCs/>
          <w:color w:val="auto"/>
          <w:sz w:val="24"/>
          <w:szCs w:val="24"/>
          <w:highlight w:val="none"/>
          <w:lang w:val="en-US" w:eastAsia="zh-CN"/>
        </w:rPr>
        <w:t>钙积层</w:t>
      </w:r>
      <w:r>
        <w:rPr>
          <w:rFonts w:hint="default" w:ascii="Times New Roman" w:hAnsi="Times New Roman" w:eastAsia="宋体" w:cs="Times New Roman"/>
          <w:b w:val="0"/>
          <w:bCs/>
          <w:color w:val="auto"/>
          <w:sz w:val="24"/>
          <w:szCs w:val="24"/>
          <w:highlight w:val="none"/>
          <w:lang w:val="en-US" w:eastAsia="zh-CN"/>
        </w:rPr>
        <w:fldChar w:fldCharType="end"/>
      </w:r>
      <w:r>
        <w:rPr>
          <w:rFonts w:hint="default" w:ascii="Times New Roman" w:hAnsi="Times New Roman" w:eastAsia="宋体"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fldChar w:fldCharType="begin"/>
      </w:r>
      <w:r>
        <w:rPr>
          <w:rFonts w:hint="default" w:ascii="Times New Roman" w:hAnsi="Times New Roman" w:eastAsia="宋体" w:cs="Times New Roman"/>
          <w:b w:val="0"/>
          <w:bCs/>
          <w:color w:val="auto"/>
          <w:sz w:val="24"/>
          <w:szCs w:val="24"/>
          <w:highlight w:val="none"/>
          <w:lang w:val="en-US" w:eastAsia="zh-CN"/>
        </w:rPr>
        <w:instrText xml:space="preserve"> HYPERLINK "https://baike.so.com/doc/9287490-9621896.html" \t "https://baike.so.com/doc/_blank" </w:instrText>
      </w:r>
      <w:r>
        <w:rPr>
          <w:rFonts w:hint="default" w:ascii="Times New Roman" w:hAnsi="Times New Roman" w:eastAsia="宋体" w:cs="Times New Roman"/>
          <w:b w:val="0"/>
          <w:bCs/>
          <w:color w:val="auto"/>
          <w:sz w:val="24"/>
          <w:szCs w:val="24"/>
          <w:highlight w:val="none"/>
          <w:lang w:val="en-US" w:eastAsia="zh-CN"/>
        </w:rPr>
        <w:fldChar w:fldCharType="separate"/>
      </w:r>
      <w:r>
        <w:rPr>
          <w:rFonts w:hint="default" w:ascii="Times New Roman" w:hAnsi="Times New Roman" w:eastAsia="宋体" w:cs="Times New Roman"/>
          <w:b w:val="0"/>
          <w:bCs/>
          <w:color w:val="auto"/>
          <w:sz w:val="24"/>
          <w:szCs w:val="24"/>
          <w:highlight w:val="none"/>
          <w:lang w:val="en-US" w:eastAsia="zh-CN"/>
        </w:rPr>
        <w:t>母质</w:t>
      </w:r>
      <w:r>
        <w:rPr>
          <w:rFonts w:hint="default" w:ascii="Times New Roman" w:hAnsi="Times New Roman" w:eastAsia="宋体" w:cs="Times New Roman"/>
          <w:b w:val="0"/>
          <w:bCs/>
          <w:color w:val="auto"/>
          <w:sz w:val="24"/>
          <w:szCs w:val="24"/>
          <w:highlight w:val="none"/>
          <w:lang w:val="en-US" w:eastAsia="zh-CN"/>
        </w:rPr>
        <w:fldChar w:fldCharType="end"/>
      </w:r>
      <w:r>
        <w:rPr>
          <w:rFonts w:hint="default" w:ascii="Times New Roman" w:hAnsi="Times New Roman" w:eastAsia="宋体" w:cs="Times New Roman"/>
          <w:b w:val="0"/>
          <w:bCs/>
          <w:color w:val="auto"/>
          <w:sz w:val="24"/>
          <w:szCs w:val="24"/>
          <w:highlight w:val="none"/>
          <w:lang w:val="en-US" w:eastAsia="zh-CN"/>
        </w:rPr>
        <w:t>层。中国境内褐土多发育于碳酸盐母质上，具有明显的</w:t>
      </w:r>
      <w:r>
        <w:rPr>
          <w:rFonts w:hint="default" w:ascii="Times New Roman" w:hAnsi="Times New Roman" w:eastAsia="宋体" w:cs="Times New Roman"/>
          <w:b w:val="0"/>
          <w:bCs/>
          <w:color w:val="auto"/>
          <w:sz w:val="24"/>
          <w:szCs w:val="24"/>
          <w:highlight w:val="none"/>
          <w:lang w:val="en-US" w:eastAsia="zh-CN"/>
        </w:rPr>
        <w:fldChar w:fldCharType="begin"/>
      </w:r>
      <w:r>
        <w:rPr>
          <w:rFonts w:hint="default" w:ascii="Times New Roman" w:hAnsi="Times New Roman" w:eastAsia="宋体" w:cs="Times New Roman"/>
          <w:b w:val="0"/>
          <w:bCs/>
          <w:color w:val="auto"/>
          <w:sz w:val="24"/>
          <w:szCs w:val="24"/>
          <w:highlight w:val="none"/>
          <w:lang w:val="en-US" w:eastAsia="zh-CN"/>
        </w:rPr>
        <w:instrText xml:space="preserve"> HYPERLINK "https://baike.so.com/doc/725256-767847.html" \t "https://baike.so.com/doc/_blank" </w:instrText>
      </w:r>
      <w:r>
        <w:rPr>
          <w:rFonts w:hint="default" w:ascii="Times New Roman" w:hAnsi="Times New Roman" w:eastAsia="宋体" w:cs="Times New Roman"/>
          <w:b w:val="0"/>
          <w:bCs/>
          <w:color w:val="auto"/>
          <w:sz w:val="24"/>
          <w:szCs w:val="24"/>
          <w:highlight w:val="none"/>
          <w:lang w:val="en-US" w:eastAsia="zh-CN"/>
        </w:rPr>
        <w:fldChar w:fldCharType="separate"/>
      </w:r>
      <w:r>
        <w:rPr>
          <w:rFonts w:hint="default" w:ascii="Times New Roman" w:hAnsi="Times New Roman" w:eastAsia="宋体" w:cs="Times New Roman"/>
          <w:b w:val="0"/>
          <w:bCs/>
          <w:color w:val="auto"/>
          <w:sz w:val="24"/>
          <w:szCs w:val="24"/>
          <w:highlight w:val="none"/>
          <w:lang w:val="en-US" w:eastAsia="zh-CN"/>
        </w:rPr>
        <w:t>粘化作用</w:t>
      </w:r>
      <w:r>
        <w:rPr>
          <w:rFonts w:hint="default" w:ascii="Times New Roman" w:hAnsi="Times New Roman" w:eastAsia="宋体" w:cs="Times New Roman"/>
          <w:b w:val="0"/>
          <w:bCs/>
          <w:color w:val="auto"/>
          <w:sz w:val="24"/>
          <w:szCs w:val="24"/>
          <w:highlight w:val="none"/>
          <w:lang w:val="en-US" w:eastAsia="zh-CN"/>
        </w:rPr>
        <w:fldChar w:fldCharType="end"/>
      </w:r>
      <w:r>
        <w:rPr>
          <w:rFonts w:hint="default" w:ascii="Times New Roman" w:hAnsi="Times New Roman" w:eastAsia="宋体" w:cs="Times New Roman"/>
          <w:b w:val="0"/>
          <w:bCs/>
          <w:color w:val="auto"/>
          <w:sz w:val="24"/>
          <w:szCs w:val="24"/>
          <w:highlight w:val="none"/>
          <w:lang w:val="en-US" w:eastAsia="zh-CN"/>
        </w:rPr>
        <w:t>和</w:t>
      </w:r>
      <w:r>
        <w:rPr>
          <w:rFonts w:hint="default" w:ascii="Times New Roman" w:hAnsi="Times New Roman" w:eastAsia="宋体" w:cs="Times New Roman"/>
          <w:b w:val="0"/>
          <w:bCs/>
          <w:color w:val="auto"/>
          <w:sz w:val="24"/>
          <w:szCs w:val="24"/>
          <w:highlight w:val="none"/>
          <w:lang w:val="en-US" w:eastAsia="zh-CN"/>
        </w:rPr>
        <w:fldChar w:fldCharType="begin"/>
      </w:r>
      <w:r>
        <w:rPr>
          <w:rFonts w:hint="default" w:ascii="Times New Roman" w:hAnsi="Times New Roman" w:eastAsia="宋体" w:cs="Times New Roman"/>
          <w:b w:val="0"/>
          <w:bCs/>
          <w:color w:val="auto"/>
          <w:sz w:val="24"/>
          <w:szCs w:val="24"/>
          <w:highlight w:val="none"/>
          <w:lang w:val="en-US" w:eastAsia="zh-CN"/>
        </w:rPr>
        <w:instrText xml:space="preserve"> HYPERLINK "https://baike.so.com/doc/282602-299197.html" \t "https://baike.so.com/doc/_blank" </w:instrText>
      </w:r>
      <w:r>
        <w:rPr>
          <w:rFonts w:hint="default" w:ascii="Times New Roman" w:hAnsi="Times New Roman" w:eastAsia="宋体" w:cs="Times New Roman"/>
          <w:b w:val="0"/>
          <w:bCs/>
          <w:color w:val="auto"/>
          <w:sz w:val="24"/>
          <w:szCs w:val="24"/>
          <w:highlight w:val="none"/>
          <w:lang w:val="en-US" w:eastAsia="zh-CN"/>
        </w:rPr>
        <w:fldChar w:fldCharType="separate"/>
      </w:r>
      <w:r>
        <w:rPr>
          <w:rFonts w:hint="default" w:ascii="Times New Roman" w:hAnsi="Times New Roman" w:eastAsia="宋体" w:cs="Times New Roman"/>
          <w:b w:val="0"/>
          <w:bCs/>
          <w:color w:val="auto"/>
          <w:sz w:val="24"/>
          <w:szCs w:val="24"/>
          <w:highlight w:val="none"/>
          <w:lang w:val="en-US" w:eastAsia="zh-CN"/>
        </w:rPr>
        <w:t>钙化作用</w:t>
      </w:r>
      <w:r>
        <w:rPr>
          <w:rFonts w:hint="default" w:ascii="Times New Roman" w:hAnsi="Times New Roman" w:eastAsia="宋体" w:cs="Times New Roman"/>
          <w:b w:val="0"/>
          <w:bCs/>
          <w:color w:val="auto"/>
          <w:sz w:val="24"/>
          <w:szCs w:val="24"/>
          <w:highlight w:val="none"/>
          <w:lang w:val="en-US" w:eastAsia="zh-CN"/>
        </w:rPr>
        <w:fldChar w:fldCharType="end"/>
      </w:r>
      <w:r>
        <w:rPr>
          <w:rFonts w:hint="default" w:ascii="Times New Roman" w:hAnsi="Times New Roman" w:eastAsia="宋体" w:cs="Times New Roman"/>
          <w:b w:val="0"/>
          <w:bCs/>
          <w:color w:val="auto"/>
          <w:sz w:val="24"/>
          <w:szCs w:val="24"/>
          <w:highlight w:val="none"/>
          <w:lang w:val="en-US" w:eastAsia="zh-CN"/>
        </w:rPr>
        <w:t>。呈中性至</w:t>
      </w:r>
      <w:r>
        <w:rPr>
          <w:rFonts w:hint="default" w:ascii="Times New Roman" w:hAnsi="Times New Roman" w:eastAsia="宋体" w:cs="Times New Roman"/>
          <w:b w:val="0"/>
          <w:bCs/>
          <w:color w:val="auto"/>
          <w:sz w:val="24"/>
          <w:szCs w:val="24"/>
          <w:highlight w:val="none"/>
          <w:lang w:val="en-US" w:eastAsia="zh-CN"/>
        </w:rPr>
        <w:fldChar w:fldCharType="begin"/>
      </w:r>
      <w:r>
        <w:rPr>
          <w:rFonts w:hint="default" w:ascii="Times New Roman" w:hAnsi="Times New Roman" w:eastAsia="宋体" w:cs="Times New Roman"/>
          <w:b w:val="0"/>
          <w:bCs/>
          <w:color w:val="auto"/>
          <w:sz w:val="24"/>
          <w:szCs w:val="24"/>
          <w:highlight w:val="none"/>
          <w:lang w:val="en-US" w:eastAsia="zh-CN"/>
        </w:rPr>
        <w:instrText xml:space="preserve"> HYPERLINK "https://baike.so.com/doc/932047-985190.html" \t "https://baike.so.com/doc/_blank" </w:instrText>
      </w:r>
      <w:r>
        <w:rPr>
          <w:rFonts w:hint="default" w:ascii="Times New Roman" w:hAnsi="Times New Roman" w:eastAsia="宋体" w:cs="Times New Roman"/>
          <w:b w:val="0"/>
          <w:bCs/>
          <w:color w:val="auto"/>
          <w:sz w:val="24"/>
          <w:szCs w:val="24"/>
          <w:highlight w:val="none"/>
          <w:lang w:val="en-US" w:eastAsia="zh-CN"/>
        </w:rPr>
        <w:fldChar w:fldCharType="separate"/>
      </w:r>
      <w:r>
        <w:rPr>
          <w:rFonts w:hint="default" w:ascii="Times New Roman" w:hAnsi="Times New Roman" w:eastAsia="宋体" w:cs="Times New Roman"/>
          <w:b w:val="0"/>
          <w:bCs/>
          <w:color w:val="auto"/>
          <w:sz w:val="24"/>
          <w:szCs w:val="24"/>
          <w:highlight w:val="none"/>
          <w:lang w:val="en-US" w:eastAsia="zh-CN"/>
        </w:rPr>
        <w:t>碱性反应</w:t>
      </w:r>
      <w:r>
        <w:rPr>
          <w:rFonts w:hint="default" w:ascii="Times New Roman" w:hAnsi="Times New Roman" w:eastAsia="宋体" w:cs="Times New Roman"/>
          <w:b w:val="0"/>
          <w:bCs/>
          <w:color w:val="auto"/>
          <w:sz w:val="24"/>
          <w:szCs w:val="24"/>
          <w:highlight w:val="none"/>
          <w:lang w:val="en-US" w:eastAsia="zh-CN"/>
        </w:rPr>
        <w:fldChar w:fldCharType="end"/>
      </w:r>
      <w:r>
        <w:rPr>
          <w:rFonts w:hint="default" w:ascii="Times New Roman" w:hAnsi="Times New Roman" w:eastAsia="宋体" w:cs="Times New Roman"/>
          <w:b w:val="0"/>
          <w:bCs/>
          <w:color w:val="auto"/>
          <w:sz w:val="24"/>
          <w:szCs w:val="24"/>
          <w:highlight w:val="none"/>
          <w:lang w:val="en-US" w:eastAsia="zh-CN"/>
        </w:rPr>
        <w:t>，碳酸钙多为假菌丝体状广泛存在于</w:t>
      </w:r>
      <w:r>
        <w:rPr>
          <w:rFonts w:hint="default" w:ascii="Times New Roman" w:hAnsi="Times New Roman" w:eastAsia="宋体" w:cs="Times New Roman"/>
          <w:b w:val="0"/>
          <w:bCs/>
          <w:color w:val="auto"/>
          <w:sz w:val="24"/>
          <w:szCs w:val="24"/>
          <w:highlight w:val="none"/>
          <w:lang w:val="en-US" w:eastAsia="zh-CN"/>
        </w:rPr>
        <w:fldChar w:fldCharType="begin"/>
      </w:r>
      <w:r>
        <w:rPr>
          <w:rFonts w:hint="default" w:ascii="Times New Roman" w:hAnsi="Times New Roman" w:eastAsia="宋体" w:cs="Times New Roman"/>
          <w:b w:val="0"/>
          <w:bCs/>
          <w:color w:val="auto"/>
          <w:sz w:val="24"/>
          <w:szCs w:val="24"/>
          <w:highlight w:val="none"/>
          <w:lang w:val="en-US" w:eastAsia="zh-CN"/>
        </w:rPr>
        <w:instrText xml:space="preserve"> HYPERLINK "https://baike.so.com/doc/6824592-7041729.html" \t "https://baike.so.com/doc/_blank" </w:instrText>
      </w:r>
      <w:r>
        <w:rPr>
          <w:rFonts w:hint="default" w:ascii="Times New Roman" w:hAnsi="Times New Roman" w:eastAsia="宋体" w:cs="Times New Roman"/>
          <w:b w:val="0"/>
          <w:bCs/>
          <w:color w:val="auto"/>
          <w:sz w:val="24"/>
          <w:szCs w:val="24"/>
          <w:highlight w:val="none"/>
          <w:lang w:val="en-US" w:eastAsia="zh-CN"/>
        </w:rPr>
        <w:fldChar w:fldCharType="separate"/>
      </w:r>
      <w:r>
        <w:rPr>
          <w:rFonts w:hint="default" w:ascii="Times New Roman" w:hAnsi="Times New Roman" w:eastAsia="宋体" w:cs="Times New Roman"/>
          <w:b w:val="0"/>
          <w:bCs/>
          <w:color w:val="auto"/>
          <w:sz w:val="24"/>
          <w:szCs w:val="24"/>
          <w:highlight w:val="none"/>
          <w:lang w:val="en-US" w:eastAsia="zh-CN"/>
        </w:rPr>
        <w:t>土层</w:t>
      </w:r>
      <w:r>
        <w:rPr>
          <w:rFonts w:hint="default" w:ascii="Times New Roman" w:hAnsi="Times New Roman" w:eastAsia="宋体" w:cs="Times New Roman"/>
          <w:b w:val="0"/>
          <w:bCs/>
          <w:color w:val="auto"/>
          <w:sz w:val="24"/>
          <w:szCs w:val="24"/>
          <w:highlight w:val="none"/>
          <w:lang w:val="en-US" w:eastAsia="zh-CN"/>
        </w:rPr>
        <w:fldChar w:fldCharType="end"/>
      </w:r>
      <w:r>
        <w:rPr>
          <w:rFonts w:hint="default" w:ascii="Times New Roman" w:hAnsi="Times New Roman" w:eastAsia="宋体" w:cs="Times New Roman"/>
          <w:b w:val="0"/>
          <w:bCs/>
          <w:color w:val="auto"/>
          <w:sz w:val="24"/>
          <w:szCs w:val="24"/>
          <w:highlight w:val="none"/>
          <w:lang w:val="en-US" w:eastAsia="zh-CN"/>
        </w:rPr>
        <w:t>中、下层，有时出现在</w:t>
      </w:r>
      <w:r>
        <w:rPr>
          <w:rFonts w:hint="default" w:ascii="Times New Roman" w:hAnsi="Times New Roman" w:eastAsia="宋体" w:cs="Times New Roman"/>
          <w:b w:val="0"/>
          <w:bCs/>
          <w:color w:val="auto"/>
          <w:sz w:val="24"/>
          <w:szCs w:val="24"/>
          <w:highlight w:val="none"/>
          <w:lang w:val="en-US" w:eastAsia="zh-CN"/>
        </w:rPr>
        <w:fldChar w:fldCharType="begin"/>
      </w:r>
      <w:r>
        <w:rPr>
          <w:rFonts w:hint="default" w:ascii="Times New Roman" w:hAnsi="Times New Roman" w:eastAsia="宋体" w:cs="Times New Roman"/>
          <w:b w:val="0"/>
          <w:bCs/>
          <w:color w:val="auto"/>
          <w:sz w:val="24"/>
          <w:szCs w:val="24"/>
          <w:highlight w:val="none"/>
          <w:lang w:val="en-US" w:eastAsia="zh-CN"/>
        </w:rPr>
        <w:instrText xml:space="preserve"> HYPERLINK "https://baike.so.com/doc/7915696-8189791.html" \t "https://baike.so.com/doc/_blank" </w:instrText>
      </w:r>
      <w:r>
        <w:rPr>
          <w:rFonts w:hint="default" w:ascii="Times New Roman" w:hAnsi="Times New Roman" w:eastAsia="宋体" w:cs="Times New Roman"/>
          <w:b w:val="0"/>
          <w:bCs/>
          <w:color w:val="auto"/>
          <w:sz w:val="24"/>
          <w:szCs w:val="24"/>
          <w:highlight w:val="none"/>
          <w:lang w:val="en-US" w:eastAsia="zh-CN"/>
        </w:rPr>
        <w:fldChar w:fldCharType="separate"/>
      </w:r>
      <w:r>
        <w:rPr>
          <w:rFonts w:hint="default" w:ascii="Times New Roman" w:hAnsi="Times New Roman" w:eastAsia="宋体" w:cs="Times New Roman"/>
          <w:b w:val="0"/>
          <w:bCs/>
          <w:color w:val="auto"/>
          <w:sz w:val="24"/>
          <w:szCs w:val="24"/>
          <w:highlight w:val="none"/>
          <w:lang w:val="en-US" w:eastAsia="zh-CN"/>
        </w:rPr>
        <w:t>表土层</w:t>
      </w:r>
      <w:r>
        <w:rPr>
          <w:rFonts w:hint="default" w:ascii="Times New Roman" w:hAnsi="Times New Roman" w:eastAsia="宋体" w:cs="Times New Roman"/>
          <w:b w:val="0"/>
          <w:bCs/>
          <w:color w:val="auto"/>
          <w:sz w:val="24"/>
          <w:szCs w:val="24"/>
          <w:highlight w:val="none"/>
          <w:lang w:val="en-US" w:eastAsia="zh-CN"/>
        </w:rPr>
        <w:fldChar w:fldCharType="end"/>
      </w:r>
      <w:r>
        <w:rPr>
          <w:rFonts w:hint="default" w:ascii="Times New Roman" w:hAnsi="Times New Roman" w:eastAsia="宋体" w:cs="Times New Roman"/>
          <w:b w:val="0"/>
          <w:bCs/>
          <w:color w:val="auto"/>
          <w:sz w:val="24"/>
          <w:szCs w:val="24"/>
          <w:highlight w:val="none"/>
          <w:lang w:val="en-US" w:eastAsia="zh-CN"/>
        </w:rPr>
        <w:t>。</w:t>
      </w:r>
    </w:p>
    <w:p>
      <w:pPr>
        <w:pStyle w:val="2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2</w:t>
      </w:r>
      <w:r>
        <w:rPr>
          <w:rFonts w:hint="default" w:ascii="Times New Roman" w:hAnsi="Times New Roman" w:eastAsia="宋体" w:cs="Times New Roman"/>
          <w:b w:val="0"/>
          <w:bCs/>
          <w:color w:val="auto"/>
          <w:kern w:val="2"/>
          <w:sz w:val="24"/>
          <w:szCs w:val="24"/>
          <w:highlight w:val="none"/>
          <w:lang w:val="en-US" w:eastAsia="zh-CN" w:bidi="ar-SA"/>
        </w:rPr>
        <w:t>)</w:t>
      </w:r>
      <w:r>
        <w:rPr>
          <w:rFonts w:hint="default" w:ascii="Times New Roman" w:hAnsi="Times New Roman" w:eastAsia="宋体" w:cs="Times New Roman"/>
          <w:b w:val="0"/>
          <w:bCs/>
          <w:color w:val="auto"/>
          <w:sz w:val="24"/>
          <w:szCs w:val="24"/>
          <w:highlight w:val="none"/>
          <w:lang w:val="en-US" w:eastAsia="zh-CN"/>
        </w:rPr>
        <w:t>棕壤</w:t>
      </w:r>
    </w:p>
    <w:p>
      <w:pPr>
        <w:pStyle w:val="2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棕壤又名棕色森林土。发育于暖温带湿润气候区中生型落叶林下的土壤。其主要特征是呈微酸性反应，心土层(B层)呈鲜棕色。成土母质多为酸性母岩风化物。</w:t>
      </w:r>
    </w:p>
    <w:p>
      <w:pPr>
        <w:pStyle w:val="2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i w:val="0"/>
          <w:caps w:val="0"/>
          <w:color w:val="auto"/>
          <w:spacing w:val="0"/>
          <w:sz w:val="24"/>
          <w:szCs w:val="24"/>
          <w:highlight w:val="none"/>
          <w:shd w:val="clear" w:color="auto" w:fill="FFFFFF"/>
        </w:rPr>
      </w:pPr>
      <w:r>
        <w:rPr>
          <w:rFonts w:hint="default" w:ascii="Times New Roman" w:hAnsi="Times New Roman" w:eastAsia="宋体" w:cs="Times New Roman"/>
          <w:i w:val="0"/>
          <w:caps w:val="0"/>
          <w:color w:val="auto"/>
          <w:spacing w:val="0"/>
          <w:sz w:val="24"/>
          <w:szCs w:val="24"/>
          <w:highlight w:val="none"/>
          <w:u w:val="none"/>
          <w:shd w:val="clear" w:color="auto" w:fill="FFFFFF"/>
        </w:rPr>
        <w:fldChar w:fldCharType="begin"/>
      </w:r>
      <w:r>
        <w:rPr>
          <w:rFonts w:hint="default" w:ascii="Times New Roman" w:hAnsi="Times New Roman" w:eastAsia="宋体" w:cs="Times New Roman"/>
          <w:i w:val="0"/>
          <w:caps w:val="0"/>
          <w:color w:val="auto"/>
          <w:spacing w:val="0"/>
          <w:sz w:val="24"/>
          <w:szCs w:val="24"/>
          <w:highlight w:val="none"/>
          <w:u w:val="none"/>
          <w:shd w:val="clear" w:color="auto" w:fill="FFFFFF"/>
        </w:rPr>
        <w:instrText xml:space="preserve"> HYPERLINK "https://baike.so.com/doc/6104550-6317662.html" \t "https://baike.so.com/doc/_blank" </w:instrText>
      </w:r>
      <w:r>
        <w:rPr>
          <w:rFonts w:hint="default" w:ascii="Times New Roman" w:hAnsi="Times New Roman" w:eastAsia="宋体" w:cs="Times New Roman"/>
          <w:i w:val="0"/>
          <w:caps w:val="0"/>
          <w:color w:val="auto"/>
          <w:spacing w:val="0"/>
          <w:sz w:val="24"/>
          <w:szCs w:val="24"/>
          <w:highlight w:val="none"/>
          <w:u w:val="none"/>
          <w:shd w:val="clear" w:color="auto" w:fill="FFFFFF"/>
        </w:rPr>
        <w:fldChar w:fldCharType="separate"/>
      </w:r>
      <w:r>
        <w:rPr>
          <w:rStyle w:val="59"/>
          <w:rFonts w:hint="default" w:ascii="Times New Roman" w:hAnsi="Times New Roman" w:eastAsia="宋体" w:cs="Times New Roman"/>
          <w:i w:val="0"/>
          <w:caps w:val="0"/>
          <w:color w:val="auto"/>
          <w:spacing w:val="0"/>
          <w:sz w:val="24"/>
          <w:szCs w:val="24"/>
          <w:highlight w:val="none"/>
          <w:u w:val="none"/>
          <w:shd w:val="clear" w:color="auto" w:fill="FFFFFF"/>
        </w:rPr>
        <w:t>棕壤</w:t>
      </w:r>
      <w:r>
        <w:rPr>
          <w:rFonts w:hint="default" w:ascii="Times New Roman" w:hAnsi="Times New Roman" w:eastAsia="宋体" w:cs="Times New Roman"/>
          <w:i w:val="0"/>
          <w:caps w:val="0"/>
          <w:color w:val="auto"/>
          <w:spacing w:val="0"/>
          <w:sz w:val="24"/>
          <w:szCs w:val="24"/>
          <w:highlight w:val="none"/>
          <w:u w:val="none"/>
          <w:shd w:val="clear" w:color="auto" w:fill="FFFFFF"/>
        </w:rPr>
        <w:fldChar w:fldCharType="end"/>
      </w:r>
      <w:r>
        <w:rPr>
          <w:rFonts w:hint="default" w:ascii="Times New Roman" w:hAnsi="Times New Roman" w:eastAsia="宋体" w:cs="Times New Roman"/>
          <w:i w:val="0"/>
          <w:caps w:val="0"/>
          <w:color w:val="auto"/>
          <w:spacing w:val="0"/>
          <w:sz w:val="24"/>
          <w:szCs w:val="24"/>
          <w:highlight w:val="none"/>
          <w:shd w:val="clear" w:color="auto" w:fill="FFFFFF"/>
        </w:rPr>
        <w:t>呈微酸性至中性反应，pH在6.0-7.0之间，盐基饱和度与pH呈正相关。盐基饱和度多在50%以上，高者可达80%以上</w:t>
      </w:r>
      <w:r>
        <w:rPr>
          <w:rFonts w:hint="default" w:ascii="Times New Roman" w:hAnsi="Times New Roman" w:eastAsia="宋体" w:cs="Times New Roman"/>
          <w:i w:val="0"/>
          <w:caps w:val="0"/>
          <w:color w:val="auto"/>
          <w:spacing w:val="0"/>
          <w:sz w:val="24"/>
          <w:szCs w:val="24"/>
          <w:highlight w:val="none"/>
          <w:shd w:val="clear" w:color="auto" w:fill="FFFFFF"/>
          <w:lang w:eastAsia="zh-CN"/>
        </w:rPr>
        <w:t>；</w:t>
      </w:r>
      <w:r>
        <w:rPr>
          <w:rFonts w:hint="default" w:ascii="Times New Roman" w:hAnsi="Times New Roman" w:eastAsia="宋体" w:cs="Times New Roman"/>
          <w:i w:val="0"/>
          <w:caps w:val="0"/>
          <w:color w:val="auto"/>
          <w:spacing w:val="0"/>
          <w:sz w:val="24"/>
          <w:szCs w:val="24"/>
          <w:highlight w:val="none"/>
          <w:shd w:val="clear" w:color="auto" w:fill="FFFFFF"/>
        </w:rPr>
        <w:t>而少数棕壤pH</w:t>
      </w:r>
      <w:r>
        <w:rPr>
          <w:rFonts w:hint="default" w:ascii="Times New Roman" w:hAnsi="Times New Roman" w:eastAsia="宋体" w:cs="Times New Roman"/>
          <w:i w:val="0"/>
          <w:caps w:val="0"/>
          <w:color w:val="auto"/>
          <w:spacing w:val="0"/>
          <w:sz w:val="24"/>
          <w:szCs w:val="24"/>
          <w:highlight w:val="none"/>
          <w:shd w:val="clear" w:color="auto" w:fill="FFFFFF"/>
          <w:lang w:eastAsia="zh-CN"/>
        </w:rPr>
        <w:t>（</w:t>
      </w:r>
      <w:r>
        <w:rPr>
          <w:rFonts w:hint="default" w:ascii="Times New Roman" w:hAnsi="Times New Roman" w:eastAsia="宋体" w:cs="Times New Roman"/>
          <w:i w:val="0"/>
          <w:caps w:val="0"/>
          <w:color w:val="auto"/>
          <w:spacing w:val="0"/>
          <w:sz w:val="24"/>
          <w:szCs w:val="24"/>
          <w:highlight w:val="none"/>
          <w:shd w:val="clear" w:color="auto" w:fill="FFFFFF"/>
        </w:rPr>
        <w:t>17me/100g)的现象，这与</w:t>
      </w:r>
      <w:r>
        <w:rPr>
          <w:rFonts w:hint="default" w:ascii="Times New Roman" w:hAnsi="Times New Roman" w:eastAsia="宋体" w:cs="Times New Roman"/>
          <w:i w:val="0"/>
          <w:caps w:val="0"/>
          <w:color w:val="auto"/>
          <w:spacing w:val="0"/>
          <w:sz w:val="24"/>
          <w:szCs w:val="24"/>
          <w:highlight w:val="none"/>
          <w:u w:val="none"/>
          <w:shd w:val="clear" w:color="auto" w:fill="FFFFFF"/>
        </w:rPr>
        <w:fldChar w:fldCharType="begin"/>
      </w:r>
      <w:r>
        <w:rPr>
          <w:rFonts w:hint="default" w:ascii="Times New Roman" w:hAnsi="Times New Roman" w:eastAsia="宋体" w:cs="Times New Roman"/>
          <w:i w:val="0"/>
          <w:caps w:val="0"/>
          <w:color w:val="auto"/>
          <w:spacing w:val="0"/>
          <w:sz w:val="24"/>
          <w:szCs w:val="24"/>
          <w:highlight w:val="none"/>
          <w:u w:val="none"/>
          <w:shd w:val="clear" w:color="auto" w:fill="FFFFFF"/>
        </w:rPr>
        <w:instrText xml:space="preserve"> HYPERLINK "https://baike.so.com/doc/3501364-3683325.html" \t "https://baike.so.com/doc/_blank" </w:instrText>
      </w:r>
      <w:r>
        <w:rPr>
          <w:rFonts w:hint="default" w:ascii="Times New Roman" w:hAnsi="Times New Roman" w:eastAsia="宋体" w:cs="Times New Roman"/>
          <w:i w:val="0"/>
          <w:caps w:val="0"/>
          <w:color w:val="auto"/>
          <w:spacing w:val="0"/>
          <w:sz w:val="24"/>
          <w:szCs w:val="24"/>
          <w:highlight w:val="none"/>
          <w:u w:val="none"/>
          <w:shd w:val="clear" w:color="auto" w:fill="FFFFFF"/>
        </w:rPr>
        <w:fldChar w:fldCharType="separate"/>
      </w:r>
      <w:r>
        <w:rPr>
          <w:rStyle w:val="59"/>
          <w:rFonts w:hint="default" w:ascii="Times New Roman" w:hAnsi="Times New Roman" w:eastAsia="宋体" w:cs="Times New Roman"/>
          <w:i w:val="0"/>
          <w:caps w:val="0"/>
          <w:color w:val="auto"/>
          <w:spacing w:val="0"/>
          <w:sz w:val="24"/>
          <w:szCs w:val="24"/>
          <w:highlight w:val="none"/>
          <w:u w:val="none"/>
          <w:shd w:val="clear" w:color="auto" w:fill="FFFFFF"/>
        </w:rPr>
        <w:t>成土母质</w:t>
      </w:r>
      <w:r>
        <w:rPr>
          <w:rFonts w:hint="default" w:ascii="Times New Roman" w:hAnsi="Times New Roman" w:eastAsia="宋体" w:cs="Times New Roman"/>
          <w:i w:val="0"/>
          <w:caps w:val="0"/>
          <w:color w:val="auto"/>
          <w:spacing w:val="0"/>
          <w:sz w:val="24"/>
          <w:szCs w:val="24"/>
          <w:highlight w:val="none"/>
          <w:u w:val="none"/>
          <w:shd w:val="clear" w:color="auto" w:fill="FFFFFF"/>
        </w:rPr>
        <w:fldChar w:fldCharType="end"/>
      </w:r>
      <w:r>
        <w:rPr>
          <w:rFonts w:hint="default" w:ascii="Times New Roman" w:hAnsi="Times New Roman" w:eastAsia="宋体" w:cs="Times New Roman"/>
          <w:i w:val="0"/>
          <w:caps w:val="0"/>
          <w:color w:val="auto"/>
          <w:spacing w:val="0"/>
          <w:sz w:val="24"/>
          <w:szCs w:val="24"/>
          <w:highlight w:val="none"/>
          <w:shd w:val="clear" w:color="auto" w:fill="FFFFFF"/>
        </w:rPr>
        <w:t>的岩性不同有很大关系。</w:t>
      </w:r>
    </w:p>
    <w:p>
      <w:pPr>
        <w:pStyle w:val="2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棕壤多为农林业用地，其养分状况，特别是</w:t>
      </w:r>
      <w:r>
        <w:rPr>
          <w:rFonts w:hint="default" w:ascii="Times New Roman" w:hAnsi="Times New Roman" w:eastAsia="宋体" w:cs="Times New Roman"/>
          <w:b w:val="0"/>
          <w:bCs/>
          <w:color w:val="auto"/>
          <w:kern w:val="2"/>
          <w:sz w:val="24"/>
          <w:szCs w:val="24"/>
          <w:highlight w:val="none"/>
          <w:lang w:val="en-US" w:eastAsia="zh-CN" w:bidi="ar-SA"/>
        </w:rPr>
        <w:fldChar w:fldCharType="begin"/>
      </w:r>
      <w:r>
        <w:rPr>
          <w:rFonts w:hint="default" w:ascii="Times New Roman" w:hAnsi="Times New Roman" w:eastAsia="宋体" w:cs="Times New Roman"/>
          <w:b w:val="0"/>
          <w:bCs/>
          <w:color w:val="auto"/>
          <w:kern w:val="2"/>
          <w:sz w:val="24"/>
          <w:szCs w:val="24"/>
          <w:highlight w:val="none"/>
          <w:lang w:val="en-US" w:eastAsia="zh-CN" w:bidi="ar-SA"/>
        </w:rPr>
        <w:instrText xml:space="preserve"> HYPERLINK "https://baike.so.com/doc/5333297-5568732.html" \t "https://baike.so.com/doc/_blank" </w:instrText>
      </w:r>
      <w:r>
        <w:rPr>
          <w:rFonts w:hint="default" w:ascii="Times New Roman" w:hAnsi="Times New Roman" w:eastAsia="宋体" w:cs="Times New Roman"/>
          <w:b w:val="0"/>
          <w:bCs/>
          <w:color w:val="auto"/>
          <w:kern w:val="2"/>
          <w:sz w:val="24"/>
          <w:szCs w:val="24"/>
          <w:highlight w:val="none"/>
          <w:lang w:val="en-US" w:eastAsia="zh-CN" w:bidi="ar-SA"/>
        </w:rPr>
        <w:fldChar w:fldCharType="separate"/>
      </w:r>
      <w:r>
        <w:rPr>
          <w:rFonts w:hint="default" w:ascii="Times New Roman" w:hAnsi="Times New Roman" w:eastAsia="宋体" w:cs="Times New Roman"/>
          <w:b w:val="0"/>
          <w:bCs/>
          <w:color w:val="auto"/>
          <w:kern w:val="2"/>
          <w:sz w:val="24"/>
          <w:szCs w:val="24"/>
          <w:highlight w:val="none"/>
          <w:lang w:val="en-US" w:eastAsia="zh-CN" w:bidi="ar-SA"/>
        </w:rPr>
        <w:t>土壤有机质</w:t>
      </w:r>
      <w:r>
        <w:rPr>
          <w:rFonts w:hint="default" w:ascii="Times New Roman" w:hAnsi="Times New Roman" w:eastAsia="宋体" w:cs="Times New Roman"/>
          <w:b w:val="0"/>
          <w:bCs/>
          <w:color w:val="auto"/>
          <w:kern w:val="2"/>
          <w:sz w:val="24"/>
          <w:szCs w:val="24"/>
          <w:highlight w:val="none"/>
          <w:lang w:val="en-US" w:eastAsia="zh-CN" w:bidi="ar-SA"/>
        </w:rPr>
        <w:fldChar w:fldCharType="end"/>
      </w:r>
      <w:r>
        <w:rPr>
          <w:rFonts w:hint="default" w:ascii="Times New Roman" w:hAnsi="Times New Roman" w:eastAsia="宋体" w:cs="Times New Roman"/>
          <w:b w:val="0"/>
          <w:bCs/>
          <w:color w:val="auto"/>
          <w:kern w:val="2"/>
          <w:sz w:val="24"/>
          <w:szCs w:val="24"/>
          <w:highlight w:val="none"/>
          <w:lang w:val="en-US" w:eastAsia="zh-CN" w:bidi="ar-SA"/>
        </w:rPr>
        <w:t>及氮素营养有很大变化。棕壤的磷、钾含量状况取决于成土母质含磷、钾矿物的种类和数量。</w:t>
      </w:r>
    </w:p>
    <w:p>
      <w:pPr>
        <w:pStyle w:val="2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3)草甸土</w:t>
      </w:r>
    </w:p>
    <w:p>
      <w:pPr>
        <w:pStyle w:val="2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草甸土是冲积、洪积母质直接受地下水湿润，在草甸植被作用下发育而成的土壤。</w:t>
      </w:r>
    </w:p>
    <w:p>
      <w:pPr>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drawing>
          <wp:inline distT="0" distB="0" distL="114300" distR="114300">
            <wp:extent cx="5100320" cy="4319905"/>
            <wp:effectExtent l="0" t="0" r="5080" b="8255"/>
            <wp:docPr id="116" name="图片 116" descr="1638948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1638948249(1)"/>
                    <pic:cNvPicPr>
                      <a:picLocks noChangeAspect="1"/>
                    </pic:cNvPicPr>
                  </pic:nvPicPr>
                  <pic:blipFill>
                    <a:blip r:embed="rId104"/>
                    <a:stretch>
                      <a:fillRect/>
                    </a:stretch>
                  </pic:blipFill>
                  <pic:spPr>
                    <a:xfrm>
                      <a:off x="0" y="0"/>
                      <a:ext cx="5100320" cy="4319905"/>
                    </a:xfrm>
                    <a:prstGeom prst="rect">
                      <a:avLst/>
                    </a:prstGeom>
                  </pic:spPr>
                </pic:pic>
              </a:graphicData>
            </a:graphic>
          </wp:inline>
        </w:drawing>
      </w:r>
    </w:p>
    <w:p>
      <w:pPr>
        <w:pStyle w:val="25"/>
        <w:ind w:left="0" w:leftChars="0" w:firstLine="0" w:firstLineChars="0"/>
        <w:jc w:val="both"/>
        <w:rPr>
          <w:rFonts w:hint="default" w:ascii="Times New Roman" w:hAnsi="Times New Roman" w:eastAsia="宋体" w:cs="Times New Roman"/>
          <w:b w:val="0"/>
          <w:bCs/>
          <w:color w:val="auto"/>
          <w:sz w:val="24"/>
          <w:szCs w:val="24"/>
          <w:highlight w:val="none"/>
          <w:lang w:val="en-US" w:eastAsia="zh-CN"/>
        </w:rPr>
      </w:pPr>
    </w:p>
    <w:p>
      <w:pPr>
        <w:pStyle w:val="521"/>
        <w:spacing w:before="12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图</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 xml:space="preserve">  土壤类型图</w:t>
      </w:r>
    </w:p>
    <w:p>
      <w:pPr>
        <w:spacing w:beforeLines="50" w:line="360" w:lineRule="auto"/>
        <w:rPr>
          <w:rFonts w:hint="default" w:ascii="Times New Roman" w:hAnsi="Times New Roman" w:eastAsia="宋体" w:cs="Times New Roman"/>
          <w:b/>
          <w:bCs/>
          <w:color w:val="auto"/>
          <w:sz w:val="28"/>
          <w:szCs w:val="28"/>
          <w:highlight w:val="none"/>
          <w:lang w:val="en-US" w:eastAsia="zh-CN"/>
        </w:rPr>
      </w:pPr>
      <w:r>
        <w:rPr>
          <w:rFonts w:hint="default" w:ascii="Times New Roman" w:hAnsi="Times New Roman" w:eastAsia="宋体" w:cs="Times New Roman"/>
          <w:b/>
          <w:bCs/>
          <w:color w:val="auto"/>
          <w:sz w:val="28"/>
          <w:szCs w:val="28"/>
          <w:highlight w:val="none"/>
          <w:lang w:val="en-US" w:eastAsia="zh-CN"/>
        </w:rPr>
        <w:t>5.2.6.2土壤环境影响分析</w:t>
      </w:r>
    </w:p>
    <w:p>
      <w:pPr>
        <w:keepNext w:val="0"/>
        <w:keepLines w:val="0"/>
        <w:pageBreakBefore w:val="0"/>
        <w:widowControl w:val="0"/>
        <w:kinsoku/>
        <w:wordWrap/>
        <w:overflowPunct/>
        <w:topLinePunct w:val="0"/>
        <w:autoSpaceDE/>
        <w:autoSpaceDN/>
        <w:bidi w:val="0"/>
        <w:adjustRightInd/>
        <w:snapToGrid/>
        <w:spacing w:line="360" w:lineRule="auto"/>
        <w:ind w:right="105" w:rightChars="5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1、土壤环境污染源识别</w:t>
      </w:r>
    </w:p>
    <w:p>
      <w:pPr>
        <w:keepNext w:val="0"/>
        <w:keepLines w:val="0"/>
        <w:pageBreakBefore w:val="0"/>
        <w:widowControl w:val="0"/>
        <w:kinsoku/>
        <w:wordWrap/>
        <w:overflowPunct/>
        <w:topLinePunct w:val="0"/>
        <w:autoSpaceDE/>
        <w:autoSpaceDN/>
        <w:bidi w:val="0"/>
        <w:adjustRightInd/>
        <w:snapToGrid/>
        <w:spacing w:line="360" w:lineRule="auto"/>
        <w:ind w:right="105" w:rightChars="50" w:firstLine="480" w:firstLineChars="200"/>
        <w:textAlignment w:val="auto"/>
        <w:rPr>
          <w:rFonts w:hint="eastAsia"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本项目为铁矿选矿项目</w:t>
      </w:r>
      <w:r>
        <w:rPr>
          <w:rFonts w:hint="eastAsia" w:ascii="Times New Roman" w:hAnsi="Times New Roman" w:eastAsia="宋体" w:cs="Times New Roman"/>
          <w:color w:val="auto"/>
          <w:sz w:val="24"/>
          <w:highlight w:val="none"/>
          <w:lang w:eastAsia="zh-CN"/>
        </w:rPr>
        <w:t>，属于污染影响型。运营期土壤污染主要来自浓密池地面漫流、底部垂直入渗，破碎筛分粉尘，通过大气沉降降落地面。</w:t>
      </w:r>
    </w:p>
    <w:p>
      <w:pPr>
        <w:pStyle w:val="74"/>
        <w:spacing w:beforeLines="50" w:line="480" w:lineRule="exact"/>
        <w:ind w:firstLine="0" w:firstLineChars="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表</w:t>
      </w:r>
      <w:r>
        <w:rPr>
          <w:rFonts w:hint="eastAsia" w:ascii="Times New Roman" w:hAnsi="Times New Roman" w:cs="Times New Roman"/>
          <w:color w:val="auto"/>
          <w:lang w:val="en-US" w:eastAsia="zh-CN"/>
        </w:rPr>
        <w:t>5.2-18</w:t>
      </w:r>
      <w:r>
        <w:rPr>
          <w:rFonts w:hint="eastAsia" w:ascii="Times New Roman" w:hAnsi="Times New Roman" w:eastAsia="宋体" w:cs="Times New Roman"/>
          <w:color w:val="auto"/>
          <w:lang w:val="en-US" w:eastAsia="zh-CN"/>
        </w:rPr>
        <w:t xml:space="preserve">          </w:t>
      </w:r>
      <w:r>
        <w:rPr>
          <w:rFonts w:hint="eastAsia" w:ascii="Times New Roman" w:hAnsi="Times New Roman" w:cs="Times New Roman"/>
          <w:color w:val="auto"/>
          <w:lang w:val="en-US" w:eastAsia="zh-CN"/>
        </w:rPr>
        <w:t xml:space="preserve">  </w:t>
      </w:r>
      <w:r>
        <w:rPr>
          <w:rFonts w:hint="eastAsia" w:ascii="Times New Roman" w:hAnsi="Times New Roman" w:eastAsia="宋体" w:cs="Times New Roman"/>
          <w:color w:val="auto"/>
          <w:lang w:val="en-US" w:eastAsia="zh-CN"/>
        </w:rPr>
        <w:t xml:space="preserve">      土壤影响类型及影响途径表</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90"/>
        <w:gridCol w:w="1391"/>
        <w:gridCol w:w="1160"/>
        <w:gridCol w:w="1160"/>
        <w:gridCol w:w="698"/>
        <w:gridCol w:w="978"/>
        <w:gridCol w:w="937"/>
        <w:gridCol w:w="874"/>
        <w:gridCol w:w="69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6" w:type="dxa"/>
            <w:vMerge w:val="restart"/>
            <w:tcBorders>
              <w:tl2br w:val="nil"/>
              <w:tr2bl w:val="nil"/>
            </w:tcBorders>
            <w:vAlign w:val="center"/>
          </w:tcPr>
          <w:p>
            <w:pPr>
              <w:adjustRightInd w:val="0"/>
              <w:snapToGrid w:val="0"/>
              <w:jc w:val="center"/>
              <w:rPr>
                <w:szCs w:val="21"/>
              </w:rPr>
            </w:pPr>
            <w:r>
              <w:rPr>
                <w:szCs w:val="21"/>
              </w:rPr>
              <w:t>不同时段</w:t>
            </w:r>
          </w:p>
        </w:tc>
        <w:tc>
          <w:tcPr>
            <w:tcW w:w="4048" w:type="dxa"/>
            <w:gridSpan w:val="4"/>
            <w:tcBorders>
              <w:tl2br w:val="nil"/>
              <w:tr2bl w:val="nil"/>
            </w:tcBorders>
            <w:vAlign w:val="center"/>
          </w:tcPr>
          <w:p>
            <w:pPr>
              <w:adjustRightInd w:val="0"/>
              <w:snapToGrid w:val="0"/>
              <w:jc w:val="center"/>
              <w:rPr>
                <w:szCs w:val="21"/>
              </w:rPr>
            </w:pPr>
            <w:r>
              <w:rPr>
                <w:szCs w:val="21"/>
              </w:rPr>
              <w:t>污染影响型</w:t>
            </w:r>
          </w:p>
        </w:tc>
        <w:tc>
          <w:tcPr>
            <w:tcW w:w="3199" w:type="dxa"/>
            <w:gridSpan w:val="4"/>
            <w:tcBorders>
              <w:tl2br w:val="nil"/>
              <w:tr2bl w:val="nil"/>
            </w:tcBorders>
            <w:vAlign w:val="center"/>
          </w:tcPr>
          <w:p>
            <w:pPr>
              <w:adjustRightInd w:val="0"/>
              <w:snapToGrid w:val="0"/>
              <w:jc w:val="center"/>
              <w:rPr>
                <w:szCs w:val="21"/>
              </w:rPr>
            </w:pPr>
            <w:r>
              <w:rPr>
                <w:szCs w:val="21"/>
              </w:rPr>
              <w:t>生态影响型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6" w:type="dxa"/>
            <w:vMerge w:val="continue"/>
            <w:tcBorders>
              <w:tl2br w:val="nil"/>
              <w:tr2bl w:val="nil"/>
            </w:tcBorders>
            <w:vAlign w:val="center"/>
          </w:tcPr>
          <w:p>
            <w:pPr>
              <w:widowControl/>
              <w:jc w:val="left"/>
              <w:rPr>
                <w:szCs w:val="21"/>
              </w:rPr>
            </w:pPr>
          </w:p>
        </w:tc>
        <w:tc>
          <w:tcPr>
            <w:tcW w:w="1277" w:type="dxa"/>
            <w:tcBorders>
              <w:tl2br w:val="nil"/>
              <w:tr2bl w:val="nil"/>
            </w:tcBorders>
            <w:vAlign w:val="center"/>
          </w:tcPr>
          <w:p>
            <w:pPr>
              <w:adjustRightInd w:val="0"/>
              <w:snapToGrid w:val="0"/>
              <w:jc w:val="center"/>
              <w:rPr>
                <w:szCs w:val="21"/>
              </w:rPr>
            </w:pPr>
            <w:r>
              <w:rPr>
                <w:szCs w:val="21"/>
              </w:rPr>
              <w:t>大气沉降</w:t>
            </w:r>
          </w:p>
        </w:tc>
        <w:tc>
          <w:tcPr>
            <w:tcW w:w="1065" w:type="dxa"/>
            <w:tcBorders>
              <w:tl2br w:val="nil"/>
              <w:tr2bl w:val="nil"/>
            </w:tcBorders>
            <w:vAlign w:val="center"/>
          </w:tcPr>
          <w:p>
            <w:pPr>
              <w:adjustRightInd w:val="0"/>
              <w:snapToGrid w:val="0"/>
              <w:jc w:val="center"/>
              <w:rPr>
                <w:szCs w:val="21"/>
              </w:rPr>
            </w:pPr>
            <w:r>
              <w:rPr>
                <w:szCs w:val="21"/>
              </w:rPr>
              <w:t>地面浸流</w:t>
            </w:r>
          </w:p>
        </w:tc>
        <w:tc>
          <w:tcPr>
            <w:tcW w:w="1065" w:type="dxa"/>
            <w:tcBorders>
              <w:tl2br w:val="nil"/>
              <w:tr2bl w:val="nil"/>
            </w:tcBorders>
            <w:vAlign w:val="center"/>
          </w:tcPr>
          <w:p>
            <w:pPr>
              <w:adjustRightInd w:val="0"/>
              <w:snapToGrid w:val="0"/>
              <w:jc w:val="center"/>
              <w:rPr>
                <w:szCs w:val="21"/>
              </w:rPr>
            </w:pPr>
            <w:r>
              <w:rPr>
                <w:szCs w:val="21"/>
              </w:rPr>
              <w:t>垂直入渗</w:t>
            </w:r>
          </w:p>
        </w:tc>
        <w:tc>
          <w:tcPr>
            <w:tcW w:w="641" w:type="dxa"/>
            <w:tcBorders>
              <w:tl2br w:val="nil"/>
              <w:tr2bl w:val="nil"/>
            </w:tcBorders>
            <w:vAlign w:val="center"/>
          </w:tcPr>
          <w:p>
            <w:pPr>
              <w:adjustRightInd w:val="0"/>
              <w:snapToGrid w:val="0"/>
              <w:jc w:val="center"/>
              <w:rPr>
                <w:szCs w:val="21"/>
              </w:rPr>
            </w:pPr>
            <w:r>
              <w:rPr>
                <w:szCs w:val="21"/>
              </w:rPr>
              <w:t>其他</w:t>
            </w:r>
          </w:p>
        </w:tc>
        <w:tc>
          <w:tcPr>
            <w:tcW w:w="898" w:type="dxa"/>
            <w:tcBorders>
              <w:tl2br w:val="nil"/>
              <w:tr2bl w:val="nil"/>
            </w:tcBorders>
            <w:vAlign w:val="center"/>
          </w:tcPr>
          <w:p>
            <w:pPr>
              <w:adjustRightInd w:val="0"/>
              <w:snapToGrid w:val="0"/>
              <w:jc w:val="center"/>
              <w:rPr>
                <w:szCs w:val="21"/>
              </w:rPr>
            </w:pPr>
            <w:r>
              <w:rPr>
                <w:szCs w:val="21"/>
              </w:rPr>
              <w:t>盐化</w:t>
            </w:r>
          </w:p>
        </w:tc>
        <w:tc>
          <w:tcPr>
            <w:tcW w:w="859" w:type="dxa"/>
            <w:tcBorders>
              <w:tl2br w:val="nil"/>
              <w:tr2bl w:val="nil"/>
            </w:tcBorders>
            <w:vAlign w:val="center"/>
          </w:tcPr>
          <w:p>
            <w:pPr>
              <w:adjustRightInd w:val="0"/>
              <w:snapToGrid w:val="0"/>
              <w:jc w:val="center"/>
              <w:rPr>
                <w:szCs w:val="21"/>
              </w:rPr>
            </w:pPr>
            <w:r>
              <w:rPr>
                <w:szCs w:val="21"/>
              </w:rPr>
              <w:t>碱化</w:t>
            </w:r>
          </w:p>
        </w:tc>
        <w:tc>
          <w:tcPr>
            <w:tcW w:w="801" w:type="dxa"/>
            <w:tcBorders>
              <w:tl2br w:val="nil"/>
              <w:tr2bl w:val="nil"/>
            </w:tcBorders>
            <w:vAlign w:val="center"/>
          </w:tcPr>
          <w:p>
            <w:pPr>
              <w:adjustRightInd w:val="0"/>
              <w:snapToGrid w:val="0"/>
              <w:jc w:val="center"/>
              <w:rPr>
                <w:szCs w:val="21"/>
              </w:rPr>
            </w:pPr>
            <w:r>
              <w:rPr>
                <w:szCs w:val="21"/>
              </w:rPr>
              <w:t>酸化</w:t>
            </w:r>
          </w:p>
        </w:tc>
        <w:tc>
          <w:tcPr>
            <w:tcW w:w="641" w:type="dxa"/>
            <w:tcBorders>
              <w:tl2br w:val="nil"/>
              <w:tr2bl w:val="nil"/>
            </w:tcBorders>
            <w:vAlign w:val="center"/>
          </w:tcPr>
          <w:p>
            <w:pPr>
              <w:adjustRightInd w:val="0"/>
              <w:snapToGrid w:val="0"/>
              <w:jc w:val="center"/>
              <w:rPr>
                <w:szCs w:val="21"/>
              </w:rPr>
            </w:pPr>
            <w:r>
              <w:rPr>
                <w:szCs w:val="21"/>
              </w:rPr>
              <w:t>其他</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6" w:type="dxa"/>
            <w:tcBorders>
              <w:tl2br w:val="nil"/>
              <w:tr2bl w:val="nil"/>
            </w:tcBorders>
            <w:vAlign w:val="center"/>
          </w:tcPr>
          <w:p>
            <w:pPr>
              <w:adjustRightInd w:val="0"/>
              <w:snapToGrid w:val="0"/>
              <w:jc w:val="center"/>
              <w:rPr>
                <w:szCs w:val="21"/>
              </w:rPr>
            </w:pPr>
            <w:r>
              <w:rPr>
                <w:szCs w:val="21"/>
              </w:rPr>
              <w:t>建设期</w:t>
            </w:r>
          </w:p>
        </w:tc>
        <w:tc>
          <w:tcPr>
            <w:tcW w:w="1277" w:type="dxa"/>
            <w:tcBorders>
              <w:tl2br w:val="nil"/>
              <w:tr2bl w:val="nil"/>
            </w:tcBorders>
            <w:vAlign w:val="center"/>
          </w:tcPr>
          <w:p>
            <w:pPr>
              <w:adjustRightInd w:val="0"/>
              <w:snapToGrid w:val="0"/>
              <w:jc w:val="center"/>
              <w:rPr>
                <w:szCs w:val="21"/>
              </w:rPr>
            </w:pPr>
            <w:r>
              <w:rPr>
                <w:szCs w:val="21"/>
              </w:rPr>
              <w:t>√</w:t>
            </w:r>
          </w:p>
        </w:tc>
        <w:tc>
          <w:tcPr>
            <w:tcW w:w="1065" w:type="dxa"/>
            <w:tcBorders>
              <w:tl2br w:val="nil"/>
              <w:tr2bl w:val="nil"/>
            </w:tcBorders>
            <w:vAlign w:val="center"/>
          </w:tcPr>
          <w:p>
            <w:pPr>
              <w:adjustRightInd w:val="0"/>
              <w:snapToGrid w:val="0"/>
              <w:jc w:val="center"/>
              <w:rPr>
                <w:szCs w:val="21"/>
              </w:rPr>
            </w:pPr>
          </w:p>
        </w:tc>
        <w:tc>
          <w:tcPr>
            <w:tcW w:w="1065" w:type="dxa"/>
            <w:tcBorders>
              <w:tl2br w:val="nil"/>
              <w:tr2bl w:val="nil"/>
            </w:tcBorders>
            <w:vAlign w:val="center"/>
          </w:tcPr>
          <w:p>
            <w:pPr>
              <w:adjustRightInd w:val="0"/>
              <w:snapToGrid w:val="0"/>
              <w:jc w:val="center"/>
              <w:rPr>
                <w:szCs w:val="21"/>
              </w:rPr>
            </w:pPr>
          </w:p>
        </w:tc>
        <w:tc>
          <w:tcPr>
            <w:tcW w:w="641" w:type="dxa"/>
            <w:tcBorders>
              <w:tl2br w:val="nil"/>
              <w:tr2bl w:val="nil"/>
            </w:tcBorders>
            <w:vAlign w:val="center"/>
          </w:tcPr>
          <w:p>
            <w:pPr>
              <w:adjustRightInd w:val="0"/>
              <w:snapToGrid w:val="0"/>
              <w:jc w:val="center"/>
              <w:rPr>
                <w:szCs w:val="21"/>
              </w:rPr>
            </w:pPr>
          </w:p>
        </w:tc>
        <w:tc>
          <w:tcPr>
            <w:tcW w:w="898" w:type="dxa"/>
            <w:tcBorders>
              <w:tl2br w:val="nil"/>
              <w:tr2bl w:val="nil"/>
            </w:tcBorders>
            <w:vAlign w:val="center"/>
          </w:tcPr>
          <w:p>
            <w:pPr>
              <w:adjustRightInd w:val="0"/>
              <w:snapToGrid w:val="0"/>
              <w:jc w:val="center"/>
              <w:rPr>
                <w:szCs w:val="21"/>
              </w:rPr>
            </w:pPr>
          </w:p>
        </w:tc>
        <w:tc>
          <w:tcPr>
            <w:tcW w:w="859" w:type="dxa"/>
            <w:tcBorders>
              <w:tl2br w:val="nil"/>
              <w:tr2bl w:val="nil"/>
            </w:tcBorders>
            <w:vAlign w:val="center"/>
          </w:tcPr>
          <w:p>
            <w:pPr>
              <w:adjustRightInd w:val="0"/>
              <w:snapToGrid w:val="0"/>
              <w:jc w:val="center"/>
              <w:rPr>
                <w:szCs w:val="21"/>
              </w:rPr>
            </w:pPr>
          </w:p>
        </w:tc>
        <w:tc>
          <w:tcPr>
            <w:tcW w:w="801" w:type="dxa"/>
            <w:tcBorders>
              <w:tl2br w:val="nil"/>
              <w:tr2bl w:val="nil"/>
            </w:tcBorders>
            <w:vAlign w:val="center"/>
          </w:tcPr>
          <w:p>
            <w:pPr>
              <w:adjustRightInd w:val="0"/>
              <w:snapToGrid w:val="0"/>
              <w:jc w:val="center"/>
              <w:rPr>
                <w:szCs w:val="21"/>
              </w:rPr>
            </w:pPr>
          </w:p>
        </w:tc>
        <w:tc>
          <w:tcPr>
            <w:tcW w:w="641" w:type="dxa"/>
            <w:tcBorders>
              <w:tl2br w:val="nil"/>
              <w:tr2bl w:val="nil"/>
            </w:tcBorders>
            <w:vAlign w:val="center"/>
          </w:tcPr>
          <w:p>
            <w:pPr>
              <w:adjustRightInd w:val="0"/>
              <w:snapToGrid w:val="0"/>
              <w:jc w:val="center"/>
              <w:rPr>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6" w:type="dxa"/>
            <w:tcBorders>
              <w:tl2br w:val="nil"/>
              <w:tr2bl w:val="nil"/>
            </w:tcBorders>
            <w:vAlign w:val="center"/>
          </w:tcPr>
          <w:p>
            <w:pPr>
              <w:adjustRightInd w:val="0"/>
              <w:snapToGrid w:val="0"/>
              <w:jc w:val="center"/>
              <w:rPr>
                <w:szCs w:val="21"/>
              </w:rPr>
            </w:pPr>
            <w:r>
              <w:rPr>
                <w:szCs w:val="21"/>
              </w:rPr>
              <w:t>运营期</w:t>
            </w:r>
          </w:p>
        </w:tc>
        <w:tc>
          <w:tcPr>
            <w:tcW w:w="1277" w:type="dxa"/>
            <w:tcBorders>
              <w:tl2br w:val="nil"/>
              <w:tr2bl w:val="nil"/>
            </w:tcBorders>
            <w:vAlign w:val="center"/>
          </w:tcPr>
          <w:p>
            <w:pPr>
              <w:adjustRightInd w:val="0"/>
              <w:snapToGrid w:val="0"/>
              <w:jc w:val="center"/>
              <w:rPr>
                <w:szCs w:val="21"/>
              </w:rPr>
            </w:pPr>
            <w:r>
              <w:rPr>
                <w:szCs w:val="21"/>
              </w:rPr>
              <w:t>√</w:t>
            </w:r>
          </w:p>
        </w:tc>
        <w:tc>
          <w:tcPr>
            <w:tcW w:w="1065" w:type="dxa"/>
            <w:tcBorders>
              <w:tl2br w:val="nil"/>
              <w:tr2bl w:val="nil"/>
            </w:tcBorders>
            <w:vAlign w:val="center"/>
          </w:tcPr>
          <w:p>
            <w:pPr>
              <w:adjustRightInd w:val="0"/>
              <w:snapToGrid w:val="0"/>
              <w:jc w:val="center"/>
              <w:rPr>
                <w:szCs w:val="21"/>
              </w:rPr>
            </w:pPr>
            <w:r>
              <w:rPr>
                <w:szCs w:val="21"/>
              </w:rPr>
              <w:t>√</w:t>
            </w:r>
          </w:p>
        </w:tc>
        <w:tc>
          <w:tcPr>
            <w:tcW w:w="1065" w:type="dxa"/>
            <w:tcBorders>
              <w:tl2br w:val="nil"/>
              <w:tr2bl w:val="nil"/>
            </w:tcBorders>
            <w:vAlign w:val="center"/>
          </w:tcPr>
          <w:p>
            <w:pPr>
              <w:adjustRightInd w:val="0"/>
              <w:snapToGrid w:val="0"/>
              <w:jc w:val="center"/>
              <w:rPr>
                <w:szCs w:val="21"/>
              </w:rPr>
            </w:pPr>
            <w:r>
              <w:rPr>
                <w:szCs w:val="21"/>
              </w:rPr>
              <w:t>√</w:t>
            </w:r>
          </w:p>
        </w:tc>
        <w:tc>
          <w:tcPr>
            <w:tcW w:w="641" w:type="dxa"/>
            <w:tcBorders>
              <w:tl2br w:val="nil"/>
              <w:tr2bl w:val="nil"/>
            </w:tcBorders>
            <w:vAlign w:val="center"/>
          </w:tcPr>
          <w:p>
            <w:pPr>
              <w:adjustRightInd w:val="0"/>
              <w:snapToGrid w:val="0"/>
              <w:jc w:val="center"/>
              <w:rPr>
                <w:szCs w:val="21"/>
              </w:rPr>
            </w:pPr>
          </w:p>
        </w:tc>
        <w:tc>
          <w:tcPr>
            <w:tcW w:w="898" w:type="dxa"/>
            <w:tcBorders>
              <w:tl2br w:val="nil"/>
              <w:tr2bl w:val="nil"/>
            </w:tcBorders>
            <w:vAlign w:val="center"/>
          </w:tcPr>
          <w:p>
            <w:pPr>
              <w:adjustRightInd w:val="0"/>
              <w:snapToGrid w:val="0"/>
              <w:jc w:val="center"/>
              <w:rPr>
                <w:szCs w:val="21"/>
              </w:rPr>
            </w:pPr>
          </w:p>
        </w:tc>
        <w:tc>
          <w:tcPr>
            <w:tcW w:w="859" w:type="dxa"/>
            <w:tcBorders>
              <w:tl2br w:val="nil"/>
              <w:tr2bl w:val="nil"/>
            </w:tcBorders>
            <w:vAlign w:val="center"/>
          </w:tcPr>
          <w:p>
            <w:pPr>
              <w:adjustRightInd w:val="0"/>
              <w:snapToGrid w:val="0"/>
              <w:jc w:val="center"/>
              <w:rPr>
                <w:szCs w:val="21"/>
              </w:rPr>
            </w:pPr>
          </w:p>
        </w:tc>
        <w:tc>
          <w:tcPr>
            <w:tcW w:w="801" w:type="dxa"/>
            <w:tcBorders>
              <w:tl2br w:val="nil"/>
              <w:tr2bl w:val="nil"/>
            </w:tcBorders>
            <w:vAlign w:val="center"/>
          </w:tcPr>
          <w:p>
            <w:pPr>
              <w:adjustRightInd w:val="0"/>
              <w:snapToGrid w:val="0"/>
              <w:jc w:val="center"/>
              <w:rPr>
                <w:szCs w:val="21"/>
              </w:rPr>
            </w:pPr>
          </w:p>
        </w:tc>
        <w:tc>
          <w:tcPr>
            <w:tcW w:w="641" w:type="dxa"/>
            <w:tcBorders>
              <w:tl2br w:val="nil"/>
              <w:tr2bl w:val="nil"/>
            </w:tcBorders>
            <w:vAlign w:val="center"/>
          </w:tcPr>
          <w:p>
            <w:pPr>
              <w:adjustRightInd w:val="0"/>
              <w:snapToGrid w:val="0"/>
              <w:jc w:val="center"/>
              <w:rPr>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6" w:type="dxa"/>
            <w:tcBorders>
              <w:tl2br w:val="nil"/>
              <w:tr2bl w:val="nil"/>
            </w:tcBorders>
            <w:vAlign w:val="center"/>
          </w:tcPr>
          <w:p>
            <w:pPr>
              <w:adjustRightInd w:val="0"/>
              <w:snapToGrid w:val="0"/>
              <w:jc w:val="center"/>
              <w:rPr>
                <w:szCs w:val="21"/>
              </w:rPr>
            </w:pPr>
            <w:r>
              <w:rPr>
                <w:szCs w:val="21"/>
              </w:rPr>
              <w:t>服务期满后</w:t>
            </w:r>
          </w:p>
        </w:tc>
        <w:tc>
          <w:tcPr>
            <w:tcW w:w="1277" w:type="dxa"/>
            <w:tcBorders>
              <w:tl2br w:val="nil"/>
              <w:tr2bl w:val="nil"/>
            </w:tcBorders>
            <w:vAlign w:val="center"/>
          </w:tcPr>
          <w:p>
            <w:pPr>
              <w:adjustRightInd w:val="0"/>
              <w:snapToGrid w:val="0"/>
              <w:jc w:val="center"/>
              <w:rPr>
                <w:szCs w:val="21"/>
              </w:rPr>
            </w:pPr>
          </w:p>
        </w:tc>
        <w:tc>
          <w:tcPr>
            <w:tcW w:w="1065" w:type="dxa"/>
            <w:tcBorders>
              <w:tl2br w:val="nil"/>
              <w:tr2bl w:val="nil"/>
            </w:tcBorders>
            <w:vAlign w:val="center"/>
          </w:tcPr>
          <w:p>
            <w:pPr>
              <w:adjustRightInd w:val="0"/>
              <w:snapToGrid w:val="0"/>
              <w:jc w:val="center"/>
              <w:rPr>
                <w:szCs w:val="21"/>
              </w:rPr>
            </w:pPr>
          </w:p>
        </w:tc>
        <w:tc>
          <w:tcPr>
            <w:tcW w:w="1065" w:type="dxa"/>
            <w:tcBorders>
              <w:tl2br w:val="nil"/>
              <w:tr2bl w:val="nil"/>
            </w:tcBorders>
            <w:vAlign w:val="center"/>
          </w:tcPr>
          <w:p>
            <w:pPr>
              <w:adjustRightInd w:val="0"/>
              <w:snapToGrid w:val="0"/>
              <w:jc w:val="center"/>
              <w:rPr>
                <w:szCs w:val="21"/>
              </w:rPr>
            </w:pPr>
          </w:p>
        </w:tc>
        <w:tc>
          <w:tcPr>
            <w:tcW w:w="641" w:type="dxa"/>
            <w:tcBorders>
              <w:tl2br w:val="nil"/>
              <w:tr2bl w:val="nil"/>
            </w:tcBorders>
            <w:vAlign w:val="center"/>
          </w:tcPr>
          <w:p>
            <w:pPr>
              <w:adjustRightInd w:val="0"/>
              <w:snapToGrid w:val="0"/>
              <w:jc w:val="center"/>
              <w:rPr>
                <w:szCs w:val="21"/>
              </w:rPr>
            </w:pPr>
          </w:p>
        </w:tc>
        <w:tc>
          <w:tcPr>
            <w:tcW w:w="898" w:type="dxa"/>
            <w:tcBorders>
              <w:tl2br w:val="nil"/>
              <w:tr2bl w:val="nil"/>
            </w:tcBorders>
            <w:vAlign w:val="center"/>
          </w:tcPr>
          <w:p>
            <w:pPr>
              <w:adjustRightInd w:val="0"/>
              <w:snapToGrid w:val="0"/>
              <w:jc w:val="center"/>
              <w:rPr>
                <w:szCs w:val="21"/>
              </w:rPr>
            </w:pPr>
          </w:p>
        </w:tc>
        <w:tc>
          <w:tcPr>
            <w:tcW w:w="859" w:type="dxa"/>
            <w:tcBorders>
              <w:tl2br w:val="nil"/>
              <w:tr2bl w:val="nil"/>
            </w:tcBorders>
            <w:vAlign w:val="center"/>
          </w:tcPr>
          <w:p>
            <w:pPr>
              <w:adjustRightInd w:val="0"/>
              <w:snapToGrid w:val="0"/>
              <w:jc w:val="center"/>
              <w:rPr>
                <w:szCs w:val="21"/>
              </w:rPr>
            </w:pPr>
          </w:p>
        </w:tc>
        <w:tc>
          <w:tcPr>
            <w:tcW w:w="801" w:type="dxa"/>
            <w:tcBorders>
              <w:tl2br w:val="nil"/>
              <w:tr2bl w:val="nil"/>
            </w:tcBorders>
            <w:vAlign w:val="center"/>
          </w:tcPr>
          <w:p>
            <w:pPr>
              <w:adjustRightInd w:val="0"/>
              <w:snapToGrid w:val="0"/>
              <w:jc w:val="center"/>
              <w:rPr>
                <w:szCs w:val="21"/>
              </w:rPr>
            </w:pPr>
          </w:p>
        </w:tc>
        <w:tc>
          <w:tcPr>
            <w:tcW w:w="641" w:type="dxa"/>
            <w:tcBorders>
              <w:tl2br w:val="nil"/>
              <w:tr2bl w:val="nil"/>
            </w:tcBorders>
            <w:vAlign w:val="center"/>
          </w:tcPr>
          <w:p>
            <w:pPr>
              <w:adjustRightInd w:val="0"/>
              <w:snapToGrid w:val="0"/>
              <w:jc w:val="center"/>
              <w:rPr>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23" w:type="dxa"/>
            <w:gridSpan w:val="9"/>
            <w:tcBorders>
              <w:tl2br w:val="nil"/>
              <w:tr2bl w:val="nil"/>
            </w:tcBorders>
            <w:vAlign w:val="center"/>
          </w:tcPr>
          <w:p>
            <w:pPr>
              <w:adjustRightInd w:val="0"/>
              <w:snapToGrid w:val="0"/>
              <w:rPr>
                <w:szCs w:val="21"/>
              </w:rPr>
            </w:pPr>
            <w:r>
              <w:rPr>
                <w:szCs w:val="21"/>
              </w:rPr>
              <w:t>注：在可能产生的土壤环境影响类型处打“√”，列表未覆盖的可自行设计</w:t>
            </w:r>
          </w:p>
        </w:tc>
      </w:tr>
    </w:tbl>
    <w:p>
      <w:pPr>
        <w:spacing w:beforeLines="50" w:line="360" w:lineRule="auto"/>
        <w:ind w:firstLine="480" w:firstLineChars="200"/>
        <w:rPr>
          <w:sz w:val="24"/>
        </w:rPr>
      </w:pPr>
      <w:r>
        <w:rPr>
          <w:rFonts w:hint="eastAsia"/>
          <w:sz w:val="24"/>
          <w:lang w:eastAsia="zh-CN"/>
        </w:rPr>
        <w:t>（</w:t>
      </w:r>
      <w:r>
        <w:rPr>
          <w:rFonts w:hint="eastAsia"/>
          <w:sz w:val="24"/>
          <w:lang w:val="en-US" w:eastAsia="zh-CN"/>
        </w:rPr>
        <w:t>1）</w:t>
      </w:r>
      <w:r>
        <w:rPr>
          <w:rFonts w:hint="eastAsia"/>
          <w:sz w:val="24"/>
        </w:rPr>
        <w:t>大气沉降及地表漫流</w:t>
      </w:r>
    </w:p>
    <w:p>
      <w:pPr>
        <w:spacing w:beforeLines="50" w:line="360" w:lineRule="auto"/>
        <w:ind w:firstLine="480" w:firstLineChars="200"/>
        <w:rPr>
          <w:sz w:val="24"/>
        </w:rPr>
      </w:pPr>
      <w:r>
        <w:rPr>
          <w:rFonts w:hint="eastAsia"/>
          <w:sz w:val="24"/>
        </w:rPr>
        <w:t>根据运营期污染分析，大风天气洒水不及时会产生粉尘，雨可能产生地面漫流，精矿池较小，污染较小。</w:t>
      </w:r>
    </w:p>
    <w:p>
      <w:pPr>
        <w:spacing w:beforeLines="50" w:line="360" w:lineRule="auto"/>
        <w:ind w:firstLine="480" w:firstLineChars="200"/>
        <w:rPr>
          <w:sz w:val="24"/>
        </w:rPr>
      </w:pPr>
      <w:r>
        <w:rPr>
          <w:rFonts w:hint="eastAsia"/>
          <w:sz w:val="24"/>
          <w:lang w:eastAsia="zh-CN"/>
        </w:rPr>
        <w:t>（</w:t>
      </w:r>
      <w:r>
        <w:rPr>
          <w:rFonts w:hint="eastAsia"/>
          <w:sz w:val="24"/>
          <w:lang w:val="en-US" w:eastAsia="zh-CN"/>
        </w:rPr>
        <w:t>2）</w:t>
      </w:r>
      <w:r>
        <w:rPr>
          <w:rFonts w:hint="eastAsia"/>
          <w:sz w:val="24"/>
        </w:rPr>
        <w:t>垂直入渗</w:t>
      </w:r>
    </w:p>
    <w:p>
      <w:pPr>
        <w:spacing w:beforeLines="50" w:line="360" w:lineRule="auto"/>
        <w:ind w:firstLine="480" w:firstLineChars="200"/>
        <w:rPr>
          <w:sz w:val="24"/>
        </w:rPr>
      </w:pPr>
      <w:r>
        <w:rPr>
          <w:rFonts w:hint="eastAsia"/>
          <w:sz w:val="24"/>
        </w:rPr>
        <w:t>根据工程分析及污染分析，本项目可能出现土壤污染风险的位置是浓密池底部，渗漏会对土壤及地下水环境造成影响。根据原矿石成分可知，废水污染物中含有铁、锰等金属，其中可能造成污染程度最高的为铁，通过垂直入渗污染地表土壤。</w:t>
      </w:r>
    </w:p>
    <w:p>
      <w:pPr>
        <w:pStyle w:val="74"/>
        <w:spacing w:beforeLines="50" w:line="480" w:lineRule="exact"/>
        <w:ind w:firstLine="0" w:firstLineChars="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表</w:t>
      </w:r>
      <w:r>
        <w:rPr>
          <w:rFonts w:hint="eastAsia" w:ascii="Times New Roman" w:hAnsi="Times New Roman" w:cs="Times New Roman"/>
          <w:color w:val="auto"/>
          <w:lang w:val="en-US" w:eastAsia="zh-CN"/>
        </w:rPr>
        <w:t>5.2-19</w:t>
      </w:r>
      <w:r>
        <w:rPr>
          <w:rFonts w:hint="eastAsia" w:ascii="Times New Roman" w:hAnsi="Times New Roman" w:eastAsia="宋体" w:cs="Times New Roman"/>
          <w:color w:val="auto"/>
          <w:lang w:val="en-US" w:eastAsia="zh-CN"/>
        </w:rPr>
        <w:t xml:space="preserve">      </w:t>
      </w:r>
      <w:r>
        <w:rPr>
          <w:rFonts w:hint="eastAsia" w:ascii="Times New Roman" w:hAnsi="Times New Roman" w:cs="Times New Roman"/>
          <w:color w:val="auto"/>
          <w:lang w:val="en-US" w:eastAsia="zh-CN"/>
        </w:rPr>
        <w:t xml:space="preserve"> </w:t>
      </w:r>
      <w:r>
        <w:rPr>
          <w:rFonts w:hint="eastAsia" w:ascii="Times New Roman" w:hAnsi="Times New Roman" w:eastAsia="宋体" w:cs="Times New Roman"/>
          <w:color w:val="auto"/>
          <w:lang w:val="en-US" w:eastAsia="zh-CN"/>
        </w:rPr>
        <w:t xml:space="preserve">     建设项目土壤环境影响源及影响因子一览表</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4"/>
        <w:gridCol w:w="1720"/>
        <w:gridCol w:w="1500"/>
        <w:gridCol w:w="2963"/>
        <w:gridCol w:w="186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4" w:type="dxa"/>
            <w:tcBorders>
              <w:tl2br w:val="nil"/>
              <w:tr2bl w:val="nil"/>
            </w:tcBorders>
            <w:vAlign w:val="center"/>
          </w:tcPr>
          <w:p>
            <w:pPr>
              <w:adjustRightInd w:val="0"/>
              <w:snapToGrid w:val="0"/>
              <w:jc w:val="center"/>
              <w:rPr>
                <w:sz w:val="21"/>
                <w:szCs w:val="21"/>
              </w:rPr>
            </w:pPr>
            <w:r>
              <w:rPr>
                <w:rFonts w:hint="eastAsia"/>
                <w:sz w:val="21"/>
                <w:szCs w:val="21"/>
              </w:rPr>
              <w:t>污染源</w:t>
            </w:r>
          </w:p>
        </w:tc>
        <w:tc>
          <w:tcPr>
            <w:tcW w:w="1720" w:type="dxa"/>
            <w:tcBorders>
              <w:tl2br w:val="nil"/>
              <w:tr2bl w:val="nil"/>
            </w:tcBorders>
            <w:vAlign w:val="center"/>
          </w:tcPr>
          <w:p>
            <w:pPr>
              <w:adjustRightInd w:val="0"/>
              <w:snapToGrid w:val="0"/>
              <w:jc w:val="center"/>
              <w:rPr>
                <w:sz w:val="21"/>
                <w:szCs w:val="21"/>
              </w:rPr>
            </w:pPr>
            <w:r>
              <w:rPr>
                <w:rFonts w:hint="eastAsia"/>
                <w:sz w:val="21"/>
                <w:szCs w:val="21"/>
              </w:rPr>
              <w:t>工艺流程/节点</w:t>
            </w:r>
          </w:p>
        </w:tc>
        <w:tc>
          <w:tcPr>
            <w:tcW w:w="1500" w:type="dxa"/>
            <w:tcBorders>
              <w:tl2br w:val="nil"/>
              <w:tr2bl w:val="nil"/>
            </w:tcBorders>
            <w:vAlign w:val="center"/>
          </w:tcPr>
          <w:p>
            <w:pPr>
              <w:adjustRightInd w:val="0"/>
              <w:snapToGrid w:val="0"/>
              <w:jc w:val="center"/>
              <w:rPr>
                <w:sz w:val="21"/>
                <w:szCs w:val="21"/>
              </w:rPr>
            </w:pPr>
            <w:r>
              <w:rPr>
                <w:rFonts w:hint="eastAsia"/>
                <w:sz w:val="21"/>
                <w:szCs w:val="21"/>
              </w:rPr>
              <w:t>污染途径</w:t>
            </w:r>
          </w:p>
        </w:tc>
        <w:tc>
          <w:tcPr>
            <w:tcW w:w="2963" w:type="dxa"/>
            <w:tcBorders>
              <w:tl2br w:val="nil"/>
              <w:tr2bl w:val="nil"/>
            </w:tcBorders>
            <w:vAlign w:val="center"/>
          </w:tcPr>
          <w:p>
            <w:pPr>
              <w:adjustRightInd w:val="0"/>
              <w:snapToGrid w:val="0"/>
              <w:jc w:val="center"/>
              <w:rPr>
                <w:sz w:val="21"/>
                <w:szCs w:val="21"/>
              </w:rPr>
            </w:pPr>
            <w:r>
              <w:rPr>
                <w:rFonts w:hint="eastAsia"/>
                <w:sz w:val="21"/>
                <w:szCs w:val="21"/>
              </w:rPr>
              <w:t>全部污染物指标</w:t>
            </w:r>
          </w:p>
        </w:tc>
        <w:tc>
          <w:tcPr>
            <w:tcW w:w="1860" w:type="dxa"/>
            <w:tcBorders>
              <w:tl2br w:val="nil"/>
              <w:tr2bl w:val="nil"/>
            </w:tcBorders>
            <w:vAlign w:val="center"/>
          </w:tcPr>
          <w:p>
            <w:pPr>
              <w:adjustRightInd w:val="0"/>
              <w:snapToGrid w:val="0"/>
              <w:jc w:val="center"/>
              <w:rPr>
                <w:sz w:val="21"/>
                <w:szCs w:val="21"/>
              </w:rPr>
            </w:pPr>
            <w:r>
              <w:rPr>
                <w:rFonts w:hint="eastAsia"/>
                <w:sz w:val="21"/>
                <w:szCs w:val="21"/>
              </w:rPr>
              <w:t>特征因子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4" w:type="dxa"/>
            <w:tcBorders>
              <w:tl2br w:val="nil"/>
              <w:tr2bl w:val="nil"/>
            </w:tcBorders>
            <w:vAlign w:val="center"/>
          </w:tcPr>
          <w:p>
            <w:pPr>
              <w:adjustRightInd w:val="0"/>
              <w:snapToGrid w:val="0"/>
              <w:jc w:val="center"/>
              <w:rPr>
                <w:sz w:val="21"/>
                <w:szCs w:val="21"/>
              </w:rPr>
            </w:pPr>
            <w:r>
              <w:rPr>
                <w:rFonts w:hint="eastAsia"/>
                <w:sz w:val="21"/>
                <w:szCs w:val="21"/>
              </w:rPr>
              <w:t>浓密池</w:t>
            </w:r>
          </w:p>
        </w:tc>
        <w:tc>
          <w:tcPr>
            <w:tcW w:w="1720" w:type="dxa"/>
            <w:tcBorders>
              <w:tl2br w:val="nil"/>
              <w:tr2bl w:val="nil"/>
            </w:tcBorders>
            <w:vAlign w:val="center"/>
          </w:tcPr>
          <w:p>
            <w:pPr>
              <w:adjustRightInd w:val="0"/>
              <w:snapToGrid w:val="0"/>
              <w:jc w:val="center"/>
              <w:rPr>
                <w:sz w:val="21"/>
                <w:szCs w:val="21"/>
              </w:rPr>
            </w:pPr>
            <w:r>
              <w:rPr>
                <w:rFonts w:hint="eastAsia"/>
                <w:sz w:val="21"/>
                <w:szCs w:val="21"/>
              </w:rPr>
              <w:t>工艺循环水储存</w:t>
            </w:r>
          </w:p>
        </w:tc>
        <w:tc>
          <w:tcPr>
            <w:tcW w:w="1500" w:type="dxa"/>
            <w:tcBorders>
              <w:tl2br w:val="nil"/>
              <w:tr2bl w:val="nil"/>
            </w:tcBorders>
            <w:vAlign w:val="center"/>
          </w:tcPr>
          <w:p>
            <w:pPr>
              <w:adjustRightInd w:val="0"/>
              <w:snapToGrid w:val="0"/>
              <w:jc w:val="center"/>
              <w:rPr>
                <w:sz w:val="21"/>
                <w:szCs w:val="21"/>
              </w:rPr>
            </w:pPr>
            <w:r>
              <w:rPr>
                <w:rFonts w:hint="eastAsia"/>
                <w:sz w:val="21"/>
                <w:szCs w:val="21"/>
              </w:rPr>
              <w:t>垂直入渗</w:t>
            </w:r>
          </w:p>
        </w:tc>
        <w:tc>
          <w:tcPr>
            <w:tcW w:w="2963" w:type="dxa"/>
            <w:tcBorders>
              <w:tl2br w:val="nil"/>
              <w:tr2bl w:val="nil"/>
            </w:tcBorders>
            <w:vAlign w:val="center"/>
          </w:tcPr>
          <w:p>
            <w:pPr>
              <w:adjustRightInd w:val="0"/>
              <w:snapToGrid w:val="0"/>
              <w:jc w:val="center"/>
              <w:rPr>
                <w:sz w:val="21"/>
                <w:szCs w:val="21"/>
              </w:rPr>
            </w:pPr>
            <w:r>
              <w:rPr>
                <w:rFonts w:hint="eastAsia"/>
                <w:sz w:val="21"/>
                <w:szCs w:val="21"/>
              </w:rPr>
              <w:t>颗粒物、铁、锰、硫化物</w:t>
            </w:r>
          </w:p>
        </w:tc>
        <w:tc>
          <w:tcPr>
            <w:tcW w:w="1860" w:type="dxa"/>
            <w:tcBorders>
              <w:tl2br w:val="nil"/>
              <w:tr2bl w:val="nil"/>
            </w:tcBorders>
            <w:vAlign w:val="center"/>
          </w:tcPr>
          <w:p>
            <w:pPr>
              <w:adjustRightInd w:val="0"/>
              <w:snapToGrid w:val="0"/>
              <w:jc w:val="center"/>
              <w:rPr>
                <w:sz w:val="21"/>
                <w:szCs w:val="21"/>
              </w:rPr>
            </w:pPr>
            <w:r>
              <w:rPr>
                <w:rFonts w:hint="eastAsia"/>
                <w:sz w:val="21"/>
                <w:szCs w:val="21"/>
              </w:rPr>
              <w:t>铁</w:t>
            </w:r>
          </w:p>
        </w:tc>
      </w:tr>
    </w:tbl>
    <w:p>
      <w:pPr>
        <w:keepNext w:val="0"/>
        <w:keepLines w:val="0"/>
        <w:pageBreakBefore w:val="0"/>
        <w:widowControl w:val="0"/>
        <w:kinsoku/>
        <w:wordWrap/>
        <w:overflowPunct/>
        <w:topLinePunct w:val="0"/>
        <w:autoSpaceDE/>
        <w:autoSpaceDN/>
        <w:bidi w:val="0"/>
        <w:adjustRightInd/>
        <w:snapToGrid/>
        <w:spacing w:line="360" w:lineRule="auto"/>
        <w:ind w:right="105" w:rightChars="5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rPr>
        <w:t>对于大气沉积影响，在占地范围内应采取绿化措施，以种植具有较强吸附能力的植物为主；对于地面漫流影响及入渗途径影响的，应采取分区防渗措施，具体防渗方案见地下水部分</w:t>
      </w:r>
      <w:r>
        <w:rPr>
          <w:rFonts w:hint="eastAsia" w:ascii="Times New Roman" w:hAnsi="Times New Roman" w:eastAsia="宋体" w:cs="Times New Roman"/>
          <w:color w:val="auto"/>
          <w:sz w:val="24"/>
          <w:highlight w:val="none"/>
          <w:lang w:eastAsia="zh-CN"/>
        </w:rPr>
        <w:t>，在控制合理的情况下</w:t>
      </w:r>
      <w:r>
        <w:rPr>
          <w:rFonts w:hint="default" w:ascii="Times New Roman" w:hAnsi="Times New Roman" w:eastAsia="宋体" w:cs="Times New Roman"/>
          <w:color w:val="auto"/>
          <w:sz w:val="24"/>
          <w:highlight w:val="none"/>
        </w:rPr>
        <w:t>对区域土壤产生的不利影响较小</w:t>
      </w:r>
      <w:r>
        <w:rPr>
          <w:rFonts w:hint="default" w:ascii="Times New Roman" w:hAnsi="Times New Roman" w:eastAsia="宋体" w:cs="Times New Roman"/>
          <w:color w:val="auto"/>
          <w:sz w:val="24"/>
          <w:highlight w:val="none"/>
          <w:lang w:eastAsia="zh-CN"/>
        </w:rPr>
        <w:t>。</w:t>
      </w:r>
    </w:p>
    <w:p>
      <w:pPr>
        <w:spacing w:beforeLines="50" w:line="360" w:lineRule="auto"/>
        <w:rPr>
          <w:rFonts w:hint="default" w:ascii="Times New Roman" w:hAnsi="Times New Roman" w:eastAsia="宋体" w:cs="Times New Roman"/>
          <w:b/>
          <w:bCs/>
          <w:color w:val="auto"/>
          <w:sz w:val="28"/>
          <w:szCs w:val="28"/>
          <w:highlight w:val="none"/>
          <w:lang w:val="en-US" w:eastAsia="zh-CN"/>
        </w:rPr>
      </w:pPr>
      <w:r>
        <w:rPr>
          <w:rFonts w:hint="default" w:ascii="Times New Roman" w:hAnsi="Times New Roman" w:eastAsia="宋体" w:cs="Times New Roman"/>
          <w:b/>
          <w:bCs/>
          <w:color w:val="auto"/>
          <w:sz w:val="28"/>
          <w:szCs w:val="28"/>
          <w:highlight w:val="none"/>
          <w:lang w:val="en-US" w:eastAsia="zh-CN"/>
        </w:rPr>
        <w:t>5.2.6.3评价结论</w:t>
      </w:r>
    </w:p>
    <w:p>
      <w:pPr>
        <w:bidi w:val="0"/>
        <w:spacing w:line="360" w:lineRule="auto"/>
        <w:ind w:firstLine="480" w:firstLineChars="200"/>
        <w:rPr>
          <w:rFonts w:hint="default"/>
          <w:sz w:val="24"/>
          <w:szCs w:val="24"/>
          <w:lang w:eastAsia="zh-CN"/>
        </w:rPr>
      </w:pPr>
      <w:r>
        <w:rPr>
          <w:rFonts w:hint="default"/>
          <w:sz w:val="24"/>
          <w:szCs w:val="24"/>
        </w:rPr>
        <w:t>项目区土壤以褐土为主要土类，土层厚度</w:t>
      </w:r>
      <w:r>
        <w:rPr>
          <w:rFonts w:hint="default"/>
          <w:sz w:val="24"/>
          <w:szCs w:val="24"/>
          <w:lang w:val="en-US" w:eastAsia="zh-CN"/>
        </w:rPr>
        <w:t>2</w:t>
      </w:r>
      <w:r>
        <w:rPr>
          <w:rFonts w:hint="default"/>
          <w:sz w:val="24"/>
          <w:szCs w:val="24"/>
        </w:rPr>
        <w:t>0cm，成土母质为黄土或红土层及各类母岩的风化物，包括褐土、淋溶褐土、碳酸盐褐土和草甸土。本项目不会对区域土壤环境产生明显的污染影响。项目土壤环境</w:t>
      </w:r>
      <w:r>
        <w:rPr>
          <w:rFonts w:hint="default"/>
          <w:sz w:val="24"/>
          <w:szCs w:val="24"/>
          <w:lang w:val="en-US" w:eastAsia="zh-CN"/>
        </w:rPr>
        <w:t>影响</w:t>
      </w:r>
      <w:r>
        <w:rPr>
          <w:rFonts w:hint="default"/>
          <w:sz w:val="24"/>
          <w:szCs w:val="24"/>
        </w:rPr>
        <w:t>可以接受</w:t>
      </w:r>
      <w:r>
        <w:rPr>
          <w:rFonts w:hint="default"/>
          <w:sz w:val="24"/>
          <w:szCs w:val="24"/>
          <w:lang w:eastAsia="zh-CN"/>
        </w:rPr>
        <w:t>。</w:t>
      </w:r>
    </w:p>
    <w:p>
      <w:pPr>
        <w:bidi w:val="0"/>
        <w:spacing w:line="360" w:lineRule="auto"/>
        <w:rPr>
          <w:rFonts w:hint="default"/>
          <w:lang w:val="en-US" w:eastAsia="zh-CN"/>
        </w:rPr>
      </w:pPr>
    </w:p>
    <w:p>
      <w:pPr>
        <w:spacing w:beforeLines="50" w:line="360" w:lineRule="auto"/>
        <w:outlineLvl w:val="2"/>
        <w:rPr>
          <w:rFonts w:hint="default" w:ascii="Times New Roman" w:hAnsi="Times New Roman" w:eastAsia="宋体" w:cs="Times New Roman"/>
          <w:b/>
          <w:sz w:val="28"/>
          <w:szCs w:val="28"/>
          <w:highlight w:val="none"/>
        </w:rPr>
      </w:pPr>
      <w:r>
        <w:rPr>
          <w:rFonts w:hint="default" w:ascii="Times New Roman" w:hAnsi="Times New Roman" w:eastAsia="宋体" w:cs="Times New Roman"/>
          <w:b/>
          <w:sz w:val="28"/>
          <w:szCs w:val="28"/>
          <w:highlight w:val="none"/>
          <w:lang w:val="en-US" w:eastAsia="zh-CN"/>
        </w:rPr>
        <w:t>5.</w:t>
      </w:r>
      <w:r>
        <w:rPr>
          <w:rFonts w:hint="default" w:ascii="Times New Roman" w:hAnsi="Times New Roman" w:eastAsia="宋体" w:cs="Times New Roman"/>
          <w:b/>
          <w:sz w:val="28"/>
          <w:szCs w:val="28"/>
          <w:highlight w:val="none"/>
        </w:rPr>
        <w:t>2.7生态环境影响分析</w:t>
      </w:r>
    </w:p>
    <w:p>
      <w:pPr>
        <w:snapToGrid w:val="0"/>
        <w:spacing w:beforeLines="50"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项目所在地为建设用地，运行期工程对生态环境的影响主要是选矿机械运行及运输设备噪声对野生动物的影响。</w:t>
      </w:r>
    </w:p>
    <w:p>
      <w:pPr>
        <w:snapToGrid w:val="0"/>
        <w:spacing w:beforeLines="50"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（1）项目周围生态现状</w:t>
      </w:r>
    </w:p>
    <w:p>
      <w:pPr>
        <w:snapToGrid w:val="0"/>
        <w:spacing w:beforeLines="50"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项目所在地周边多为为荒地、林地，主要植被为白草、固沙草、松树、灌木和草本植物等，工程区域附近经常出没的动物以羊、马等家畜为主，另外还有常见的小型野生动物，如松鼠、山雀、蝙蝠、乌鸦、野兔等，未见珍稀濒危及国家重点保护的野生动植物分布。</w:t>
      </w:r>
    </w:p>
    <w:p>
      <w:pPr>
        <w:snapToGrid w:val="0"/>
        <w:spacing w:beforeLines="50"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（2）对区域土地利用的影响</w:t>
      </w:r>
    </w:p>
    <w:p>
      <w:pPr>
        <w:snapToGrid w:val="0"/>
        <w:spacing w:beforeLines="50"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本工程占用土地为工业用地，占地面积约</w:t>
      </w:r>
      <w:r>
        <w:rPr>
          <w:rFonts w:hint="default" w:ascii="Times New Roman" w:hAnsi="Times New Roman" w:eastAsia="宋体" w:cs="Times New Roman"/>
          <w:sz w:val="24"/>
          <w:highlight w:val="none"/>
          <w:lang w:val="en-US" w:eastAsia="zh-CN"/>
        </w:rPr>
        <w:t>66552</w:t>
      </w:r>
      <w:r>
        <w:rPr>
          <w:rFonts w:hint="default" w:ascii="Times New Roman" w:hAnsi="Times New Roman" w:eastAsia="宋体" w:cs="Times New Roman"/>
          <w:sz w:val="24"/>
          <w:highlight w:val="none"/>
        </w:rPr>
        <w:t>hm</w:t>
      </w:r>
      <w:r>
        <w:rPr>
          <w:rFonts w:hint="default" w:ascii="Times New Roman" w:hAnsi="Times New Roman" w:eastAsia="宋体" w:cs="Times New Roman"/>
          <w:sz w:val="24"/>
          <w:highlight w:val="none"/>
          <w:vertAlign w:val="superscript"/>
        </w:rPr>
        <w:t>2</w:t>
      </w:r>
      <w:r>
        <w:rPr>
          <w:rFonts w:hint="default" w:ascii="Times New Roman" w:hAnsi="Times New Roman" w:eastAsia="宋体" w:cs="Times New Roman"/>
          <w:sz w:val="24"/>
          <w:highlight w:val="none"/>
        </w:rPr>
        <w:t>，项目建成后在厂界及道路两侧进行绿化补偿，对区域土地功能的影响很小。</w:t>
      </w:r>
    </w:p>
    <w:p>
      <w:pPr>
        <w:pStyle w:val="33"/>
        <w:spacing w:after="0" w:line="360" w:lineRule="auto"/>
        <w:ind w:left="0" w:leftChars="0" w:firstLine="48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（3）对野生动物的影响分析</w:t>
      </w:r>
    </w:p>
    <w:p>
      <w:pPr>
        <w:snapToGrid w:val="0"/>
        <w:spacing w:beforeLines="50"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选厂机械设备运转、材料运输等人为干扰可能对工程区野生动物的取食、迁徙、繁衍有一定影响，主要表现为施工噪声及人为活动可能使野生动物远离项目所在地，改变其生境。但由于项目所在地生物多样性不丰富，野生动物种类较少，除偶见松鼠、山雀、蝙蝠、乌鸦、蛇及飞鸟等常见野生动物外，常见动物主要为人工养殖的牛、羊、马等，未见其它野生动物。</w:t>
      </w:r>
    </w:p>
    <w:p>
      <w:pPr>
        <w:snapToGrid w:val="0"/>
        <w:spacing w:beforeLines="50" w:line="360" w:lineRule="auto"/>
        <w:ind w:firstLine="480" w:firstLineChars="200"/>
        <w:rPr>
          <w:rFonts w:hint="default" w:ascii="Times New Roman" w:hAnsi="Times New Roman" w:eastAsia="宋体" w:cs="Times New Roman"/>
          <w:color w:val="auto"/>
          <w:highlight w:val="yellow"/>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sz w:val="24"/>
          <w:highlight w:val="none"/>
        </w:rPr>
        <w:t>因此，只要注意规范活动，本项目对野生动物的影响很小。</w:t>
      </w:r>
    </w:p>
    <w:p>
      <w:pPr>
        <w:pStyle w:val="346"/>
        <w:spacing w:beforeLines="50" w:line="360" w:lineRule="auto"/>
        <w:rPr>
          <w:rFonts w:hint="default" w:ascii="Times New Roman" w:hAnsi="Times New Roman" w:eastAsia="宋体" w:cs="Times New Roman"/>
          <w:color w:val="auto"/>
          <w:highlight w:val="none"/>
        </w:rPr>
      </w:pPr>
      <w:bookmarkStart w:id="302" w:name="_Toc24231"/>
      <w:r>
        <w:rPr>
          <w:rFonts w:hint="default" w:ascii="Times New Roman" w:hAnsi="Times New Roman" w:eastAsia="宋体" w:cs="Times New Roman"/>
          <w:color w:val="auto"/>
          <w:highlight w:val="none"/>
        </w:rPr>
        <w:t>6污染防治措施可行性分析</w:t>
      </w:r>
      <w:bookmarkEnd w:id="301"/>
      <w:bookmarkEnd w:id="302"/>
    </w:p>
    <w:p>
      <w:pPr>
        <w:pStyle w:val="4"/>
        <w:bidi w:val="0"/>
        <w:spacing w:line="360" w:lineRule="auto"/>
        <w:rPr>
          <w:rFonts w:hint="default" w:ascii="Times New Roman" w:hAnsi="Times New Roman" w:eastAsia="宋体" w:cs="Times New Roman"/>
          <w:color w:val="auto"/>
          <w:sz w:val="28"/>
          <w:szCs w:val="28"/>
          <w:highlight w:val="none"/>
        </w:rPr>
      </w:pPr>
      <w:bookmarkStart w:id="303" w:name="_Toc20877"/>
      <w:bookmarkStart w:id="304" w:name="_Toc476639471"/>
      <w:bookmarkStart w:id="305" w:name="_Toc478038861"/>
      <w:bookmarkStart w:id="306" w:name="_Toc476553986"/>
      <w:bookmarkStart w:id="307" w:name="_Toc478394818"/>
      <w:bookmarkStart w:id="308" w:name="_Toc476225056"/>
      <w:r>
        <w:rPr>
          <w:rFonts w:hint="default" w:ascii="Times New Roman" w:hAnsi="Times New Roman" w:eastAsia="宋体" w:cs="Times New Roman"/>
          <w:color w:val="auto"/>
          <w:sz w:val="28"/>
          <w:szCs w:val="28"/>
          <w:highlight w:val="none"/>
        </w:rPr>
        <w:t>6.1施工期环保措施可行性分析</w:t>
      </w:r>
      <w:bookmarkEnd w:id="303"/>
    </w:p>
    <w:bookmarkEnd w:id="304"/>
    <w:bookmarkEnd w:id="305"/>
    <w:bookmarkEnd w:id="306"/>
    <w:bookmarkEnd w:id="307"/>
    <w:bookmarkEnd w:id="308"/>
    <w:p>
      <w:pPr>
        <w:adjustRightInd w:val="0"/>
        <w:snapToGrid w:val="0"/>
        <w:spacing w:beforeLines="50" w:line="360" w:lineRule="auto"/>
        <w:rPr>
          <w:rFonts w:hint="default" w:ascii="Times New Roman" w:hAnsi="Times New Roman" w:eastAsia="宋体" w:cs="Times New Roman"/>
          <w:b/>
          <w:color w:val="auto"/>
          <w:kern w:val="0"/>
          <w:sz w:val="28"/>
          <w:szCs w:val="28"/>
          <w:highlight w:val="none"/>
        </w:rPr>
      </w:pPr>
      <w:r>
        <w:rPr>
          <w:rFonts w:hint="default" w:ascii="Times New Roman" w:hAnsi="Times New Roman" w:eastAsia="宋体" w:cs="Times New Roman"/>
          <w:b/>
          <w:color w:val="auto"/>
          <w:kern w:val="0"/>
          <w:sz w:val="28"/>
          <w:szCs w:val="28"/>
          <w:highlight w:val="none"/>
          <w:lang w:val="en-US" w:eastAsia="zh-CN"/>
        </w:rPr>
        <w:t>6.1.1</w:t>
      </w:r>
      <w:r>
        <w:rPr>
          <w:rFonts w:hint="default" w:ascii="Times New Roman" w:hAnsi="Times New Roman" w:eastAsia="宋体" w:cs="Times New Roman"/>
          <w:b/>
          <w:color w:val="auto"/>
          <w:kern w:val="0"/>
          <w:sz w:val="28"/>
          <w:szCs w:val="28"/>
          <w:highlight w:val="none"/>
        </w:rPr>
        <w:t>废气</w:t>
      </w:r>
    </w:p>
    <w:p>
      <w:pPr>
        <w:bidi w:val="0"/>
        <w:spacing w:line="360" w:lineRule="auto"/>
        <w:ind w:firstLine="480" w:firstLineChars="200"/>
        <w:rPr>
          <w:rFonts w:hint="default"/>
          <w:sz w:val="24"/>
          <w:szCs w:val="24"/>
          <w:lang w:eastAsia="zh-CN"/>
        </w:rPr>
      </w:pPr>
      <w:r>
        <w:rPr>
          <w:rFonts w:hint="default"/>
          <w:sz w:val="24"/>
          <w:szCs w:val="24"/>
        </w:rPr>
        <w:t>施工期扬尘和机械废气不采取一定措施可能会对周围环境产生一定影响，为此，环评要求采取以下经济、技术可行措施减少施工期废气对周围环境及施工人员影响。</w:t>
      </w:r>
    </w:p>
    <w:p>
      <w:pPr>
        <w:bidi w:val="0"/>
        <w:spacing w:line="360" w:lineRule="auto"/>
        <w:ind w:firstLine="480" w:firstLineChars="200"/>
        <w:rPr>
          <w:rFonts w:hint="default"/>
          <w:sz w:val="24"/>
          <w:szCs w:val="24"/>
          <w:lang w:eastAsia="zh-CN"/>
        </w:rPr>
      </w:pPr>
      <w:r>
        <w:rPr>
          <w:rFonts w:hint="default"/>
          <w:sz w:val="24"/>
          <w:szCs w:val="24"/>
        </w:rPr>
        <w:t>①优化施工工艺。工程中提倡湿法作业，减少大气污染物产生量。砂石骨料加工尽量采用湿法破碎工艺，最大程度地减少粉尘污染。</w:t>
      </w:r>
    </w:p>
    <w:p>
      <w:pPr>
        <w:bidi w:val="0"/>
        <w:spacing w:line="360" w:lineRule="auto"/>
        <w:ind w:firstLine="480" w:firstLineChars="200"/>
        <w:rPr>
          <w:rFonts w:hint="default"/>
          <w:sz w:val="24"/>
          <w:szCs w:val="24"/>
          <w:lang w:eastAsia="zh-CN"/>
        </w:rPr>
      </w:pPr>
      <w:r>
        <w:rPr>
          <w:rFonts w:hint="default"/>
          <w:sz w:val="24"/>
          <w:szCs w:val="24"/>
        </w:rPr>
        <w:t>②采取降尘措施。临时建筑垃圾及时清运，在易于产尘点清运之前用防尘帷幕遮盖；开挖裸露地面及废土石临时堆适时洒水降尘，大风情况下用防尘帷幕遮盖；混凝土拌和系统等工区应注意加强施工通风措施，也可在各工作面喷水或装捕尘器等，降低粉尘浓度。</w:t>
      </w:r>
    </w:p>
    <w:p>
      <w:pPr>
        <w:bidi w:val="0"/>
        <w:spacing w:line="360" w:lineRule="auto"/>
        <w:ind w:firstLine="480" w:firstLineChars="200"/>
        <w:rPr>
          <w:rFonts w:hint="default"/>
          <w:sz w:val="24"/>
          <w:szCs w:val="24"/>
        </w:rPr>
      </w:pPr>
      <w:r>
        <w:rPr>
          <w:rFonts w:hint="default"/>
          <w:sz w:val="24"/>
          <w:szCs w:val="24"/>
        </w:rPr>
        <w:t>③物料、废土石汽车运输过程中加篷布密闭，干燥气候条件下不定期对运输公路进行洒水降尘和清扫路面，进出场地车辆限速，密闭化运输，防止沿路抛洒。</w:t>
      </w:r>
    </w:p>
    <w:p>
      <w:pPr>
        <w:bidi w:val="0"/>
        <w:spacing w:line="360" w:lineRule="auto"/>
        <w:ind w:firstLine="480" w:firstLineChars="200"/>
        <w:rPr>
          <w:rFonts w:hint="default"/>
          <w:sz w:val="24"/>
          <w:szCs w:val="24"/>
        </w:rPr>
      </w:pPr>
      <w:r>
        <w:rPr>
          <w:rFonts w:hint="eastAsia"/>
          <w:sz w:val="24"/>
          <w:szCs w:val="24"/>
          <w:lang w:val="en-US" w:eastAsia="zh-CN"/>
        </w:rPr>
        <w:t xml:space="preserve"> </w:t>
      </w:r>
      <w:r>
        <w:rPr>
          <w:rFonts w:hint="default"/>
          <w:sz w:val="24"/>
          <w:szCs w:val="24"/>
        </w:rPr>
        <w:t>④加强劳动保护。受工程大气污染影响的施工人员，发放防尘口罩等。</w:t>
      </w:r>
    </w:p>
    <w:p>
      <w:pPr>
        <w:bidi w:val="0"/>
        <w:spacing w:line="360" w:lineRule="auto"/>
        <w:ind w:firstLine="480" w:firstLineChars="200"/>
        <w:rPr>
          <w:rFonts w:hint="default"/>
          <w:sz w:val="24"/>
          <w:szCs w:val="24"/>
        </w:rPr>
      </w:pPr>
      <w:r>
        <w:rPr>
          <w:rFonts w:hint="default"/>
          <w:sz w:val="24"/>
          <w:szCs w:val="24"/>
        </w:rPr>
        <w:t>根据《辽宁省扬尘污染防治管理办法》</w:t>
      </w:r>
      <w:r>
        <w:rPr>
          <w:rFonts w:hint="default"/>
          <w:sz w:val="24"/>
          <w:szCs w:val="24"/>
          <w:lang w:val="en-US" w:eastAsia="zh-CN"/>
        </w:rPr>
        <w:t>及</w:t>
      </w:r>
      <w:r>
        <w:rPr>
          <w:rFonts w:hint="default"/>
          <w:sz w:val="24"/>
          <w:szCs w:val="24"/>
        </w:rPr>
        <w:t>《辽宁省施工及堆料场地扬尘排放标准》（DB21/2642-2016）中第十一条和十二条，本项目施工应当遵守下列防尘规定：</w:t>
      </w:r>
    </w:p>
    <w:p>
      <w:pPr>
        <w:bidi w:val="0"/>
        <w:spacing w:line="360" w:lineRule="auto"/>
        <w:ind w:firstLine="480" w:firstLineChars="200"/>
        <w:rPr>
          <w:rFonts w:hint="default"/>
          <w:sz w:val="24"/>
          <w:szCs w:val="24"/>
        </w:rPr>
      </w:pPr>
      <w:r>
        <w:rPr>
          <w:rFonts w:hint="default"/>
          <w:sz w:val="24"/>
          <w:szCs w:val="24"/>
          <w:lang w:val="en-US" w:eastAsia="zh-CN"/>
        </w:rPr>
        <w:t>1）</w:t>
      </w:r>
      <w:r>
        <w:rPr>
          <w:rFonts w:hint="default"/>
          <w:sz w:val="24"/>
          <w:szCs w:val="24"/>
        </w:rPr>
        <w:t>施工工地周围应当设置连续、密闭的围挡。在乡（镇）内的施工现场，其高度不得低于1.8米；</w:t>
      </w:r>
    </w:p>
    <w:p>
      <w:pPr>
        <w:bidi w:val="0"/>
        <w:spacing w:line="360" w:lineRule="auto"/>
        <w:ind w:firstLine="480" w:firstLineChars="200"/>
        <w:rPr>
          <w:rFonts w:hint="default"/>
          <w:sz w:val="24"/>
          <w:szCs w:val="24"/>
        </w:rPr>
      </w:pPr>
      <w:r>
        <w:rPr>
          <w:rFonts w:hint="default"/>
          <w:sz w:val="24"/>
          <w:szCs w:val="24"/>
        </w:rPr>
        <w:t>2）施工工地地面、车行道路应当进行硬化等降尘处理；</w:t>
      </w:r>
    </w:p>
    <w:p>
      <w:pPr>
        <w:bidi w:val="0"/>
        <w:spacing w:line="360" w:lineRule="auto"/>
        <w:ind w:firstLine="480" w:firstLineChars="200"/>
        <w:rPr>
          <w:rFonts w:hint="default"/>
          <w:sz w:val="24"/>
          <w:szCs w:val="24"/>
        </w:rPr>
      </w:pPr>
      <w:r>
        <w:rPr>
          <w:rFonts w:hint="default"/>
          <w:sz w:val="24"/>
          <w:szCs w:val="24"/>
        </w:rPr>
        <w:t>3）易产生扬尘的土方工程等施工时，应当采取洒水等抑尘措施；</w:t>
      </w:r>
    </w:p>
    <w:p>
      <w:pPr>
        <w:bidi w:val="0"/>
        <w:spacing w:line="360" w:lineRule="auto"/>
        <w:ind w:firstLine="480" w:firstLineChars="200"/>
        <w:rPr>
          <w:rFonts w:hint="default"/>
          <w:sz w:val="24"/>
          <w:szCs w:val="24"/>
        </w:rPr>
      </w:pPr>
      <w:r>
        <w:rPr>
          <w:rFonts w:hint="default"/>
          <w:sz w:val="24"/>
          <w:szCs w:val="24"/>
        </w:rPr>
        <w:t>4）建筑垃圾、工程渣土等在48小时内未能清运的，应当在施工工地内设置临时堆放场并采取围挡、遮盖等防尘措施；</w:t>
      </w:r>
    </w:p>
    <w:p>
      <w:pPr>
        <w:bidi w:val="0"/>
        <w:spacing w:line="360" w:lineRule="auto"/>
        <w:ind w:firstLine="480" w:firstLineChars="200"/>
        <w:rPr>
          <w:rFonts w:hint="default"/>
          <w:sz w:val="24"/>
          <w:szCs w:val="24"/>
        </w:rPr>
      </w:pPr>
      <w:r>
        <w:rPr>
          <w:rFonts w:hint="default"/>
          <w:sz w:val="24"/>
          <w:szCs w:val="24"/>
        </w:rPr>
        <w:t>5）运输车辆在除泥、冲洗干净后方可驶出作业场所，不得使用空气压缩机等易产生扬尘的设备清理车辆、设备和物料的</w:t>
      </w:r>
      <w:r>
        <w:rPr>
          <w:rFonts w:hint="eastAsia"/>
          <w:sz w:val="24"/>
          <w:szCs w:val="24"/>
          <w:lang w:eastAsia="zh-CN"/>
        </w:rPr>
        <w:t>尘埃</w:t>
      </w:r>
      <w:r>
        <w:rPr>
          <w:rFonts w:hint="default"/>
          <w:sz w:val="24"/>
          <w:szCs w:val="24"/>
        </w:rPr>
        <w:t>；</w:t>
      </w:r>
    </w:p>
    <w:p>
      <w:pPr>
        <w:bidi w:val="0"/>
        <w:spacing w:line="360" w:lineRule="auto"/>
        <w:ind w:firstLine="480" w:firstLineChars="200"/>
        <w:rPr>
          <w:rFonts w:hint="default"/>
          <w:sz w:val="24"/>
          <w:szCs w:val="24"/>
        </w:rPr>
      </w:pPr>
      <w:r>
        <w:rPr>
          <w:rFonts w:hint="default"/>
          <w:sz w:val="24"/>
          <w:szCs w:val="24"/>
        </w:rPr>
        <w:t>6）对工程材料、砂石、土方等易产生扬尘的物料应当密闭处理。在工地内堆放，应当采取覆盖防尘网或者防尘布，定期采取喷洒粉尘抑制剂、洒水等措施；</w:t>
      </w:r>
    </w:p>
    <w:p>
      <w:pPr>
        <w:bidi w:val="0"/>
        <w:spacing w:line="360" w:lineRule="auto"/>
        <w:ind w:firstLine="480" w:firstLineChars="200"/>
        <w:rPr>
          <w:rFonts w:hint="default"/>
          <w:sz w:val="24"/>
          <w:szCs w:val="24"/>
        </w:rPr>
      </w:pPr>
      <w:r>
        <w:rPr>
          <w:rFonts w:hint="default"/>
          <w:sz w:val="24"/>
          <w:szCs w:val="24"/>
        </w:rPr>
        <w:t>7）在建筑物、构筑物上运送散装物料、建筑垃圾和渣土的，应当采用密闭方式清运，禁止高空抛掷、扬撒；</w:t>
      </w:r>
    </w:p>
    <w:p>
      <w:pPr>
        <w:spacing w:line="360" w:lineRule="auto"/>
        <w:ind w:firstLine="480" w:firstLineChars="200"/>
        <w:rPr>
          <w:rFonts w:hint="default" w:ascii="Times New Roman" w:hAnsi="Times New Roman" w:eastAsia="宋体" w:cs="Times New Roman"/>
          <w:color w:val="auto"/>
          <w:sz w:val="24"/>
          <w:szCs w:val="24"/>
          <w:highlight w:val="none"/>
          <w:shd w:val="clear" w:color="auto" w:fill="FFFFFF"/>
        </w:rPr>
      </w:pPr>
      <w:r>
        <w:rPr>
          <w:rFonts w:hint="default" w:ascii="Times New Roman" w:hAnsi="Times New Roman" w:eastAsia="宋体" w:cs="Times New Roman"/>
          <w:color w:val="auto"/>
          <w:sz w:val="24"/>
          <w:szCs w:val="24"/>
          <w:highlight w:val="none"/>
          <w:shd w:val="clear" w:color="auto" w:fill="FFFFFF"/>
        </w:rPr>
        <w:t>8）施工机械在挖土、装土、堆土、路面切割、破碎等作业时，应当采取洒水、喷雾等措施；</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施工期的扬尘污染是暂时的，待施工完成后污染随之消失，大气环境质量即可恢复到原来的水平。 本项目必须采取以上措施来降低扬尘影响，风速过大时，停止施工作业，并对堆存的材料采取遮盖措施等方式减少施工期对环境空气的影响。</w:t>
      </w:r>
      <w:r>
        <w:rPr>
          <w:rFonts w:hint="default" w:ascii="Times New Roman" w:hAnsi="Times New Roman" w:eastAsia="宋体" w:cs="Times New Roman"/>
          <w:color w:val="auto"/>
          <w:sz w:val="24"/>
          <w:szCs w:val="24"/>
          <w:highlight w:val="none"/>
          <w:lang w:val="en-US" w:eastAsia="zh-CN"/>
        </w:rPr>
        <w:t>通过采取以上措施，本项目施工期厂界扬尘能够达标。</w:t>
      </w:r>
    </w:p>
    <w:p>
      <w:pPr>
        <w:adjustRightInd w:val="0"/>
        <w:snapToGrid w:val="0"/>
        <w:spacing w:beforeLines="50" w:line="360" w:lineRule="auto"/>
        <w:rPr>
          <w:rFonts w:hint="default" w:ascii="Times New Roman" w:hAnsi="Times New Roman" w:eastAsia="宋体" w:cs="Times New Roman"/>
          <w:b/>
          <w:color w:val="auto"/>
          <w:kern w:val="0"/>
          <w:sz w:val="28"/>
          <w:szCs w:val="28"/>
          <w:highlight w:val="none"/>
          <w:lang w:val="en-US" w:eastAsia="zh-CN"/>
        </w:rPr>
      </w:pPr>
      <w:bookmarkStart w:id="309" w:name="_Toc7343"/>
      <w:r>
        <w:rPr>
          <w:rFonts w:hint="default" w:ascii="Times New Roman" w:hAnsi="Times New Roman" w:eastAsia="宋体" w:cs="Times New Roman"/>
          <w:b/>
          <w:color w:val="auto"/>
          <w:kern w:val="0"/>
          <w:sz w:val="28"/>
          <w:szCs w:val="28"/>
          <w:highlight w:val="none"/>
          <w:lang w:val="en-US" w:eastAsia="zh-CN"/>
        </w:rPr>
        <w:t>6.1.2废水</w:t>
      </w:r>
      <w:bookmarkEnd w:id="309"/>
    </w:p>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（1）施工废水</w:t>
      </w:r>
    </w:p>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本项目采用商品混凝土，施工用水量较少，废水产生量相对较少。对施工废水主要是含有沙粒的废水，要求施工现场建立临时施工废水沉淀池（有效容积10m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），沉淀后优先回用于场地施工工序中，剩余部分回用于场地</w:t>
      </w:r>
      <w:r>
        <w:rPr>
          <w:rFonts w:hint="default" w:ascii="Times New Roman" w:hAnsi="Times New Roman" w:eastAsia="宋体" w:cs="Times New Roman"/>
          <w:sz w:val="24"/>
          <w:lang w:eastAsia="zh-CN"/>
        </w:rPr>
        <w:t>降尘</w:t>
      </w:r>
      <w:r>
        <w:rPr>
          <w:rFonts w:hint="default" w:ascii="Times New Roman" w:hAnsi="Times New Roman" w:eastAsia="宋体" w:cs="Times New Roman"/>
          <w:sz w:val="24"/>
        </w:rPr>
        <w:t>，对地表水影响较小。</w:t>
      </w:r>
    </w:p>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施工中，施工机械要严格检查，防止油料泄露，同时严禁将残油污水、废油随意倾倒。做好建筑材料和建筑废料的管理，避免地面水体二次污染。在施工过程中应加强对机械设备的检修，以防止设备漏油现象发生。</w:t>
      </w:r>
    </w:p>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（2）生活污水</w:t>
      </w:r>
    </w:p>
    <w:p>
      <w:pPr>
        <w:pStyle w:val="33"/>
        <w:spacing w:beforeLines="50" w:after="0" w:line="360" w:lineRule="auto"/>
        <w:ind w:left="0" w:leftChars="0" w:firstLine="480" w:firstLineChars="200"/>
        <w:rPr>
          <w:rFonts w:hint="default" w:ascii="Times New Roman" w:hAnsi="Times New Roman" w:eastAsia="宋体" w:cs="Times New Roman"/>
          <w:color w:val="auto"/>
          <w:szCs w:val="24"/>
          <w:highlight w:val="none"/>
          <w:lang w:eastAsia="zh-CN"/>
        </w:rPr>
      </w:pPr>
      <w:r>
        <w:rPr>
          <w:rFonts w:hint="default" w:ascii="Times New Roman" w:hAnsi="Times New Roman" w:eastAsia="宋体" w:cs="Times New Roman"/>
          <w:sz w:val="24"/>
        </w:rPr>
        <w:t>产生的少量生活污水排入</w:t>
      </w:r>
      <w:r>
        <w:rPr>
          <w:rFonts w:hint="default" w:ascii="Times New Roman" w:hAnsi="Times New Roman" w:eastAsia="宋体" w:cs="Times New Roman"/>
          <w:sz w:val="24"/>
          <w:lang w:eastAsia="zh-CN"/>
        </w:rPr>
        <w:t>现有</w:t>
      </w:r>
      <w:r>
        <w:rPr>
          <w:rFonts w:hint="default" w:ascii="Times New Roman" w:hAnsi="Times New Roman" w:eastAsia="宋体" w:cs="Times New Roman"/>
          <w:sz w:val="24"/>
        </w:rPr>
        <w:t>旱厕，清掏后作为农家肥进入农田，对环境的影响很小。本项目施工期废水合理处置后，对周围水环境造成影响较小。</w:t>
      </w:r>
    </w:p>
    <w:p>
      <w:pPr>
        <w:pStyle w:val="61"/>
        <w:spacing w:line="360" w:lineRule="auto"/>
        <w:ind w:firstLine="480" w:firstLineChars="20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综合上述分析施工废水处理措施具有技术经济可行性。</w:t>
      </w:r>
    </w:p>
    <w:p>
      <w:pPr>
        <w:adjustRightInd w:val="0"/>
        <w:snapToGrid w:val="0"/>
        <w:spacing w:beforeLines="50" w:line="360" w:lineRule="auto"/>
        <w:rPr>
          <w:rFonts w:hint="default" w:ascii="Times New Roman" w:hAnsi="Times New Roman" w:eastAsia="宋体" w:cs="Times New Roman"/>
          <w:b/>
          <w:color w:val="auto"/>
          <w:kern w:val="0"/>
          <w:sz w:val="28"/>
          <w:szCs w:val="28"/>
          <w:highlight w:val="none"/>
          <w:lang w:val="en-US" w:eastAsia="zh-CN"/>
        </w:rPr>
      </w:pPr>
      <w:bookmarkStart w:id="310" w:name="_Toc18441"/>
      <w:r>
        <w:rPr>
          <w:rFonts w:hint="default" w:ascii="Times New Roman" w:hAnsi="Times New Roman" w:eastAsia="宋体" w:cs="Times New Roman"/>
          <w:b/>
          <w:color w:val="auto"/>
          <w:kern w:val="0"/>
          <w:sz w:val="28"/>
          <w:szCs w:val="28"/>
          <w:highlight w:val="none"/>
          <w:lang w:val="en-US" w:eastAsia="zh-CN"/>
        </w:rPr>
        <w:t>6.1.3 噪声</w:t>
      </w:r>
      <w:bookmarkEnd w:id="310"/>
    </w:p>
    <w:p>
      <w:pPr>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施工区噪声污染源主要有施工机械设备运行的噪声及主要施工道路两侧车辆运输产生的交通噪声。为防止施工噪声对周围敏感目标影响，环评建议施工单位应选用符合国家有关标准的施工机器，尽量选用低噪声的施工机械或工艺，从根本上减少声源和降低噪声源强度。施工现场的噪声污染防治措施是改进施工工艺，并加强对机械设备的维修和保养，减振降噪。劳动保护主要措施是通过加强工人劳动保护，对混凝土拌和机、钻机等强噪声源处工作的施工人员进行个人防护，发放防噪声耳塞、耳罩等防噪用具，并适当缩短劳动时间，禁止夜间施工；加强运输车辆的管理，运输途经居民区时应减速、禁止鸣笛。</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拟建项目位于朝阳市北票市东官营乡小巴沟村，</w:t>
      </w:r>
      <w:r>
        <w:rPr>
          <w:rFonts w:hint="default" w:ascii="Times New Roman" w:hAnsi="Times New Roman" w:eastAsia="宋体" w:cs="Times New Roman"/>
          <w:sz w:val="24"/>
          <w:szCs w:val="24"/>
          <w:lang w:eastAsia="zh-CN"/>
        </w:rPr>
        <w:t>最近的居民区距离本项目超过</w:t>
      </w:r>
      <w:r>
        <w:rPr>
          <w:rFonts w:hint="default" w:ascii="Times New Roman" w:hAnsi="Times New Roman" w:eastAsia="宋体" w:cs="Times New Roman"/>
          <w:sz w:val="24"/>
          <w:szCs w:val="24"/>
          <w:lang w:val="en-US" w:eastAsia="zh-CN"/>
        </w:rPr>
        <w:t>300m，</w:t>
      </w:r>
      <w:r>
        <w:rPr>
          <w:rFonts w:hint="default" w:ascii="Times New Roman" w:hAnsi="Times New Roman" w:eastAsia="宋体" w:cs="Times New Roman"/>
          <w:sz w:val="24"/>
          <w:szCs w:val="24"/>
        </w:rPr>
        <w:t>施工噪声</w:t>
      </w:r>
      <w:r>
        <w:rPr>
          <w:rFonts w:hint="default" w:ascii="Times New Roman" w:hAnsi="Times New Roman" w:eastAsia="宋体" w:cs="Times New Roman"/>
          <w:sz w:val="24"/>
          <w:szCs w:val="24"/>
          <w:lang w:eastAsia="zh-CN"/>
        </w:rPr>
        <w:t>影响较小</w:t>
      </w:r>
      <w:r>
        <w:rPr>
          <w:rFonts w:hint="default" w:ascii="Times New Roman" w:hAnsi="Times New Roman" w:eastAsia="宋体" w:cs="Times New Roman"/>
          <w:sz w:val="24"/>
          <w:szCs w:val="24"/>
        </w:rPr>
        <w:t>。</w:t>
      </w:r>
    </w:p>
    <w:p>
      <w:pPr>
        <w:adjustRightInd w:val="0"/>
        <w:snapToGrid w:val="0"/>
        <w:spacing w:beforeLines="50" w:line="360" w:lineRule="auto"/>
        <w:rPr>
          <w:rFonts w:hint="default" w:ascii="Times New Roman" w:hAnsi="Times New Roman" w:eastAsia="宋体" w:cs="Times New Roman"/>
          <w:b/>
          <w:color w:val="auto"/>
          <w:kern w:val="0"/>
          <w:sz w:val="28"/>
          <w:szCs w:val="28"/>
          <w:highlight w:val="none"/>
          <w:lang w:val="en-US" w:eastAsia="zh-CN"/>
        </w:rPr>
      </w:pPr>
      <w:bookmarkStart w:id="311" w:name="_Toc27780"/>
      <w:r>
        <w:rPr>
          <w:rFonts w:hint="default" w:ascii="Times New Roman" w:hAnsi="Times New Roman" w:eastAsia="宋体" w:cs="Times New Roman"/>
          <w:b/>
          <w:color w:val="auto"/>
          <w:kern w:val="0"/>
          <w:sz w:val="28"/>
          <w:szCs w:val="28"/>
          <w:highlight w:val="none"/>
          <w:lang w:val="en-US" w:eastAsia="zh-CN"/>
        </w:rPr>
        <w:t>6.1.4 固体废物</w:t>
      </w:r>
      <w:bookmarkEnd w:id="311"/>
    </w:p>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（1）基建期产生施工渣土建议均加以利用，可用于铺路等；</w:t>
      </w:r>
    </w:p>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2）施工现场废弃的建筑垃圾宜分类回收，施工中产生的碎砖、石、砼块、黄沙等建筑垃圾，应及时收集作为地基的填筑料。各类建材的包装箱袋应派专人负责收集分类存放，统一运往废品站回收利用。力求做到工程施工安全文明，整洁卫生，创造一个良好的施工环境；</w:t>
      </w:r>
    </w:p>
    <w:p>
      <w:pPr>
        <w:spacing w:beforeLines="50"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rPr>
        <w:t>（3）</w:t>
      </w:r>
      <w:r>
        <w:rPr>
          <w:rFonts w:hint="default" w:ascii="Times New Roman" w:hAnsi="Times New Roman" w:eastAsia="宋体" w:cs="Times New Roman"/>
          <w:sz w:val="24"/>
          <w:lang w:eastAsia="zh-CN"/>
        </w:rPr>
        <w:t>施工期</w:t>
      </w:r>
      <w:r>
        <w:rPr>
          <w:rFonts w:hint="default" w:ascii="Times New Roman" w:hAnsi="Times New Roman" w:eastAsia="宋体" w:cs="Times New Roman"/>
          <w:sz w:val="24"/>
        </w:rPr>
        <w:t>生活垃圾</w:t>
      </w:r>
      <w:r>
        <w:rPr>
          <w:rFonts w:hint="default" w:ascii="Times New Roman" w:hAnsi="Times New Roman" w:eastAsia="宋体" w:cs="Times New Roman"/>
          <w:sz w:val="24"/>
          <w:lang w:eastAsia="zh-CN"/>
        </w:rPr>
        <w:t>暂存于现有垃圾桶内，定期清运</w:t>
      </w:r>
      <w:r>
        <w:rPr>
          <w:rFonts w:hint="default" w:ascii="Times New Roman" w:hAnsi="Times New Roman" w:eastAsia="宋体" w:cs="Times New Roman"/>
          <w:sz w:val="24"/>
        </w:rPr>
        <w:t>。</w:t>
      </w:r>
    </w:p>
    <w:p>
      <w:pPr>
        <w:pStyle w:val="4"/>
        <w:bidi w:val="0"/>
        <w:spacing w:line="360" w:lineRule="auto"/>
        <w:rPr>
          <w:rFonts w:hint="default" w:ascii="Times New Roman" w:hAnsi="Times New Roman" w:eastAsia="宋体" w:cs="Times New Roman"/>
          <w:color w:val="auto"/>
          <w:sz w:val="28"/>
          <w:szCs w:val="28"/>
          <w:highlight w:val="none"/>
        </w:rPr>
      </w:pPr>
      <w:bookmarkStart w:id="312" w:name="_Toc16326"/>
      <w:r>
        <w:rPr>
          <w:rFonts w:hint="default" w:ascii="Times New Roman" w:hAnsi="Times New Roman" w:eastAsia="宋体" w:cs="Times New Roman"/>
          <w:color w:val="auto"/>
          <w:sz w:val="28"/>
          <w:szCs w:val="28"/>
          <w:highlight w:val="none"/>
        </w:rPr>
        <w:t>6.2运营期环保措施可行性分析</w:t>
      </w:r>
      <w:bookmarkEnd w:id="312"/>
    </w:p>
    <w:p>
      <w:pPr>
        <w:spacing w:beforeLines="50" w:line="360" w:lineRule="auto"/>
        <w:outlineLvl w:val="1"/>
        <w:rPr>
          <w:rFonts w:hint="default" w:ascii="Times New Roman" w:hAnsi="Times New Roman" w:eastAsia="宋体" w:cs="Times New Roman"/>
          <w:b/>
          <w:color w:val="auto"/>
          <w:sz w:val="28"/>
          <w:szCs w:val="28"/>
          <w:highlight w:val="none"/>
        </w:rPr>
      </w:pPr>
      <w:bookmarkStart w:id="313" w:name="_Toc1248"/>
      <w:bookmarkStart w:id="314" w:name="_Toc10112"/>
      <w:bookmarkStart w:id="315" w:name="_Toc3724"/>
      <w:bookmarkStart w:id="316" w:name="_Toc31705"/>
      <w:bookmarkStart w:id="317" w:name="_Toc21197"/>
      <w:r>
        <w:rPr>
          <w:rFonts w:hint="default" w:ascii="Times New Roman" w:hAnsi="Times New Roman" w:eastAsia="宋体" w:cs="Times New Roman"/>
          <w:b/>
          <w:color w:val="auto"/>
          <w:sz w:val="28"/>
          <w:szCs w:val="28"/>
          <w:highlight w:val="none"/>
          <w:lang w:val="en-US" w:eastAsia="zh-CN"/>
        </w:rPr>
        <w:t>6.2.1</w:t>
      </w:r>
      <w:r>
        <w:rPr>
          <w:rFonts w:hint="default" w:ascii="Times New Roman" w:hAnsi="Times New Roman" w:eastAsia="宋体" w:cs="Times New Roman"/>
          <w:b/>
          <w:color w:val="auto"/>
          <w:sz w:val="28"/>
          <w:szCs w:val="28"/>
          <w:highlight w:val="none"/>
        </w:rPr>
        <w:t>废气</w:t>
      </w:r>
      <w:bookmarkEnd w:id="313"/>
      <w:bookmarkEnd w:id="314"/>
      <w:bookmarkEnd w:id="315"/>
      <w:bookmarkEnd w:id="316"/>
      <w:bookmarkEnd w:id="317"/>
    </w:p>
    <w:p>
      <w:pPr>
        <w:bidi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本项目产生的废气主要是破碎筛分、</w:t>
      </w:r>
      <w:r>
        <w:rPr>
          <w:rFonts w:hint="eastAsia" w:ascii="Times New Roman" w:hAnsi="Times New Roman" w:eastAsia="宋体" w:cs="Times New Roman"/>
          <w:color w:val="auto"/>
          <w:sz w:val="24"/>
          <w:szCs w:val="24"/>
          <w:highlight w:val="none"/>
          <w:lang w:eastAsia="zh-CN"/>
        </w:rPr>
        <w:t>堆存</w:t>
      </w:r>
      <w:r>
        <w:rPr>
          <w:rFonts w:hint="default" w:ascii="Times New Roman" w:hAnsi="Times New Roman" w:eastAsia="宋体" w:cs="Times New Roman"/>
          <w:color w:val="auto"/>
          <w:sz w:val="24"/>
          <w:szCs w:val="24"/>
          <w:highlight w:val="none"/>
          <w:lang w:eastAsia="zh-CN"/>
        </w:rPr>
        <w:t>及运输过程产生的粉尘。</w:t>
      </w:r>
    </w:p>
    <w:p>
      <w:pPr>
        <w:adjustRightInd w:val="0"/>
        <w:snapToGrid w:val="0"/>
        <w:spacing w:beforeLines="50" w:line="360" w:lineRule="auto"/>
        <w:ind w:firstLine="480" w:firstLineChars="200"/>
        <w:rPr>
          <w:rFonts w:hint="default" w:ascii="Times New Roman" w:hAnsi="Times New Roman" w:eastAsia="宋体" w:cs="Times New Roman"/>
          <w:bCs/>
          <w:kern w:val="0"/>
          <w:sz w:val="24"/>
          <w:highlight w:val="none"/>
        </w:rPr>
      </w:pPr>
      <w:r>
        <w:rPr>
          <w:rFonts w:hint="default" w:ascii="Times New Roman" w:hAnsi="Times New Roman" w:eastAsia="宋体" w:cs="Times New Roman"/>
          <w:bCs/>
          <w:kern w:val="0"/>
          <w:sz w:val="24"/>
          <w:highlight w:val="none"/>
        </w:rPr>
        <w:t>（1）破碎、筛分工序粉尘治理措施</w:t>
      </w:r>
    </w:p>
    <w:p>
      <w:pPr>
        <w:adjustRightInd w:val="0"/>
        <w:snapToGrid w:val="0"/>
        <w:spacing w:beforeLines="50" w:line="360" w:lineRule="auto"/>
        <w:ind w:firstLine="480" w:firstLineChars="200"/>
        <w:rPr>
          <w:rFonts w:hint="default" w:ascii="Times New Roman" w:hAnsi="Times New Roman" w:eastAsia="宋体" w:cs="Times New Roman"/>
          <w:bCs/>
          <w:kern w:val="0"/>
          <w:sz w:val="24"/>
        </w:rPr>
      </w:pPr>
      <w:r>
        <w:rPr>
          <w:rFonts w:hint="default" w:ascii="Times New Roman" w:hAnsi="Times New Roman" w:eastAsia="宋体" w:cs="Times New Roman"/>
          <w:bCs/>
          <w:kern w:val="0"/>
          <w:sz w:val="24"/>
          <w:highlight w:val="none"/>
        </w:rPr>
        <w:t>选矿生产过程</w:t>
      </w:r>
      <w:r>
        <w:rPr>
          <w:rFonts w:hint="default" w:ascii="Times New Roman" w:hAnsi="Times New Roman" w:eastAsia="宋体" w:cs="Times New Roman"/>
          <w:bCs/>
          <w:kern w:val="0"/>
          <w:sz w:val="24"/>
        </w:rPr>
        <w:t>中矿石在破碎、筛分、皮带输送时会产生粉尘，采取以下措施：</w:t>
      </w:r>
    </w:p>
    <w:p>
      <w:pPr>
        <w:adjustRightInd w:val="0"/>
        <w:snapToGrid w:val="0"/>
        <w:spacing w:beforeLines="50" w:line="360" w:lineRule="auto"/>
        <w:ind w:firstLine="480" w:firstLineChars="200"/>
        <w:rPr>
          <w:rFonts w:hint="default" w:ascii="Times New Roman" w:hAnsi="Times New Roman" w:eastAsia="宋体" w:cs="Times New Roman"/>
          <w:bCs/>
          <w:kern w:val="0"/>
          <w:sz w:val="24"/>
        </w:rPr>
      </w:pPr>
      <w:r>
        <w:rPr>
          <w:rFonts w:hint="default" w:ascii="Times New Roman" w:hAnsi="Times New Roman" w:eastAsia="宋体" w:cs="Times New Roman"/>
          <w:bCs/>
          <w:kern w:val="0"/>
          <w:sz w:val="24"/>
        </w:rPr>
        <w:t>破碎及筛分设备均设置于封闭车间内，在主要排尘点破碎机、筛分机卸料口、进料口及输送带均采用密闭式集尘罩，确保粉尘不外逸，厂房内在破碎、筛分过程中同时进行洒水抑尘；设</w:t>
      </w:r>
      <w:r>
        <w:rPr>
          <w:rFonts w:hint="default" w:ascii="Times New Roman" w:hAnsi="Times New Roman" w:eastAsia="宋体" w:cs="Times New Roman"/>
          <w:bCs/>
          <w:kern w:val="0"/>
          <w:sz w:val="24"/>
          <w:lang w:val="en-US" w:eastAsia="zh-CN"/>
        </w:rPr>
        <w:t>1</w:t>
      </w:r>
      <w:r>
        <w:rPr>
          <w:rFonts w:hint="default" w:ascii="Times New Roman" w:hAnsi="Times New Roman" w:eastAsia="宋体" w:cs="Times New Roman"/>
          <w:bCs/>
          <w:kern w:val="0"/>
          <w:sz w:val="24"/>
        </w:rPr>
        <w:t>套布袋除尘器，除尘效率可以达到99%，除尘后经风机由15m高排气筒排放。排气筒有组织粉尘排放浓度均小于10mg/m</w:t>
      </w:r>
      <w:r>
        <w:rPr>
          <w:rFonts w:hint="default" w:ascii="Times New Roman" w:hAnsi="Times New Roman" w:eastAsia="宋体" w:cs="Times New Roman"/>
          <w:bCs/>
          <w:kern w:val="0"/>
          <w:sz w:val="24"/>
          <w:vertAlign w:val="superscript"/>
        </w:rPr>
        <w:t>3</w:t>
      </w:r>
      <w:r>
        <w:rPr>
          <w:rFonts w:hint="default" w:ascii="Times New Roman" w:hAnsi="Times New Roman" w:eastAsia="宋体" w:cs="Times New Roman"/>
          <w:bCs/>
          <w:kern w:val="0"/>
          <w:sz w:val="24"/>
        </w:rPr>
        <w:t>，满足《铁矿采选工业污染物排放标准》（GB28661-2012）中表6特别排放限值的要求。</w:t>
      </w:r>
    </w:p>
    <w:p>
      <w:pPr>
        <w:widowControl/>
        <w:spacing w:beforeLines="50" w:line="360" w:lineRule="auto"/>
        <w:ind w:firstLine="480" w:firstLineChars="200"/>
        <w:jc w:val="left"/>
        <w:rPr>
          <w:rFonts w:hint="default" w:ascii="Times New Roman" w:hAnsi="Times New Roman" w:eastAsia="宋体" w:cs="Times New Roman"/>
          <w:sz w:val="24"/>
        </w:rPr>
      </w:pPr>
      <w:r>
        <w:rPr>
          <w:rFonts w:hint="default" w:ascii="Times New Roman" w:hAnsi="Times New Roman" w:eastAsia="宋体" w:cs="Times New Roman"/>
          <w:color w:val="000000"/>
          <w:kern w:val="0"/>
          <w:sz w:val="24"/>
        </w:rPr>
        <w:t>布袋除尘器工作原理如下：</w:t>
      </w:r>
    </w:p>
    <w:p>
      <w:pPr>
        <w:widowControl/>
        <w:spacing w:beforeLines="50" w:line="360" w:lineRule="auto"/>
        <w:ind w:firstLine="480" w:firstLineChars="200"/>
        <w:jc w:val="left"/>
        <w:rPr>
          <w:rFonts w:hint="default" w:ascii="Times New Roman" w:hAnsi="Times New Roman" w:eastAsia="宋体" w:cs="Times New Roman"/>
          <w:sz w:val="24"/>
        </w:rPr>
      </w:pPr>
      <w:r>
        <w:rPr>
          <w:rFonts w:hint="default" w:ascii="Times New Roman" w:hAnsi="Times New Roman" w:eastAsia="宋体" w:cs="Times New Roman"/>
          <w:color w:val="000000"/>
          <w:kern w:val="0"/>
          <w:sz w:val="24"/>
        </w:rPr>
        <w:t>LSDM型低压脉冲布袋除尘器采用灰斗进风方式，含尘气体由灰斗进入除尘器。设置在进风口部位的气流分配系统兼有分离含尘气体中的大颗粒粉尘下降和对含尘气体进行导流、匀流的作用。含尘气体在通过导流系统时，由于风速的突然下降，含尘气体中的大颗粒粉尘发生自然沉降并经导流系统分离后直接落入灰斗、其余粉尘在导流系统的引导下，随气流进入箱体过滤区。除尘器箱体过滤区内设置有花板，除尘器的滤袋组件利用弹簧涨圈与花板密封联接，形成洁净气体区域（上箱体）与含尘气体区域（中箱体）的分隔。花板也是除尘器滤袋检修、更换的工作平台。除尘器滤袋采用圆形结构，在除尘器箱体中呈矩阵布置。中箱体内的含尘气体在负压作用下穿透滤袋，粉尘被滤袋阻挡，吸附在滤袋的外表面，过滤后的洁净气体穿透滤袋进入上箱体并通过排风总管排放。</w:t>
      </w:r>
    </w:p>
    <w:p>
      <w:pPr>
        <w:adjustRightInd w:val="0"/>
        <w:snapToGrid w:val="0"/>
        <w:spacing w:beforeLines="50" w:line="360" w:lineRule="auto"/>
        <w:ind w:firstLine="480" w:firstLineChars="200"/>
        <w:rPr>
          <w:rFonts w:hint="default" w:ascii="Times New Roman" w:hAnsi="Times New Roman" w:eastAsia="宋体" w:cs="Times New Roman"/>
          <w:bCs/>
          <w:kern w:val="0"/>
          <w:sz w:val="24"/>
        </w:rPr>
      </w:pPr>
      <w:r>
        <w:rPr>
          <w:rFonts w:hint="default" w:ascii="Times New Roman" w:hAnsi="Times New Roman" w:eastAsia="宋体" w:cs="Times New Roman"/>
          <w:bCs/>
          <w:kern w:val="0"/>
          <w:sz w:val="24"/>
        </w:rPr>
        <w:t>（</w:t>
      </w:r>
      <w:r>
        <w:rPr>
          <w:rFonts w:hint="default" w:ascii="Times New Roman" w:hAnsi="Times New Roman" w:eastAsia="宋体" w:cs="Times New Roman"/>
          <w:bCs/>
          <w:kern w:val="0"/>
          <w:sz w:val="24"/>
          <w:lang w:val="en-US" w:eastAsia="zh-CN"/>
        </w:rPr>
        <w:t>2</w:t>
      </w:r>
      <w:r>
        <w:rPr>
          <w:rFonts w:hint="default" w:ascii="Times New Roman" w:hAnsi="Times New Roman" w:eastAsia="宋体" w:cs="Times New Roman"/>
          <w:bCs/>
          <w:kern w:val="0"/>
          <w:sz w:val="24"/>
        </w:rPr>
        <w:t>）矿石卸车粉尘、产品装车粉尘污染防治措施</w:t>
      </w:r>
    </w:p>
    <w:p>
      <w:pPr>
        <w:adjustRightInd w:val="0"/>
        <w:snapToGrid w:val="0"/>
        <w:spacing w:beforeLines="50" w:line="360" w:lineRule="auto"/>
        <w:ind w:firstLine="480" w:firstLineChars="200"/>
        <w:rPr>
          <w:rFonts w:hint="default" w:ascii="Times New Roman" w:hAnsi="Times New Roman" w:eastAsia="宋体" w:cs="Times New Roman"/>
          <w:bCs/>
          <w:kern w:val="0"/>
          <w:sz w:val="24"/>
        </w:rPr>
      </w:pPr>
      <w:r>
        <w:rPr>
          <w:rFonts w:hint="default" w:ascii="Times New Roman" w:hAnsi="Times New Roman" w:eastAsia="宋体" w:cs="Times New Roman"/>
          <w:bCs/>
          <w:kern w:val="0"/>
          <w:sz w:val="24"/>
        </w:rPr>
        <w:t>①矿石卸车时尽量降低装卸高度，并向矿石喷水，增加矿石含水率；</w:t>
      </w:r>
    </w:p>
    <w:p>
      <w:pPr>
        <w:adjustRightInd w:val="0"/>
        <w:snapToGrid w:val="0"/>
        <w:spacing w:beforeLines="50" w:line="360" w:lineRule="auto"/>
        <w:ind w:firstLine="480" w:firstLineChars="200"/>
        <w:rPr>
          <w:rFonts w:hint="default" w:ascii="Times New Roman" w:hAnsi="Times New Roman" w:eastAsia="宋体" w:cs="Times New Roman"/>
          <w:bCs/>
          <w:kern w:val="0"/>
          <w:sz w:val="24"/>
        </w:rPr>
      </w:pPr>
      <w:r>
        <w:rPr>
          <w:rFonts w:hint="default" w:ascii="Times New Roman" w:hAnsi="Times New Roman" w:eastAsia="宋体" w:cs="Times New Roman"/>
          <w:bCs/>
          <w:kern w:val="0"/>
          <w:sz w:val="24"/>
        </w:rPr>
        <w:t>②铁精粉仓半封闭处理，装车时采取适当的洒水抑尘；</w:t>
      </w:r>
    </w:p>
    <w:p>
      <w:pPr>
        <w:adjustRightInd w:val="0"/>
        <w:snapToGrid w:val="0"/>
        <w:spacing w:beforeLines="50" w:line="360" w:lineRule="auto"/>
        <w:ind w:firstLine="480" w:firstLineChars="200"/>
        <w:rPr>
          <w:rFonts w:hint="default" w:ascii="Times New Roman" w:hAnsi="Times New Roman" w:eastAsia="宋体" w:cs="Times New Roman"/>
          <w:bCs/>
          <w:kern w:val="0"/>
          <w:sz w:val="24"/>
        </w:rPr>
      </w:pPr>
      <w:r>
        <w:rPr>
          <w:rFonts w:hint="default" w:ascii="Times New Roman" w:hAnsi="Times New Roman" w:eastAsia="宋体" w:cs="Times New Roman"/>
          <w:bCs/>
          <w:kern w:val="0"/>
          <w:sz w:val="24"/>
        </w:rPr>
        <w:t>③厂区定时洒水抑尘。</w:t>
      </w:r>
    </w:p>
    <w:p>
      <w:pPr>
        <w:adjustRightInd w:val="0"/>
        <w:snapToGrid w:val="0"/>
        <w:spacing w:beforeLines="50" w:line="360" w:lineRule="auto"/>
        <w:ind w:firstLine="480" w:firstLineChars="200"/>
        <w:rPr>
          <w:rFonts w:hint="default" w:ascii="Times New Roman" w:hAnsi="Times New Roman" w:eastAsia="宋体" w:cs="Times New Roman"/>
          <w:bCs/>
          <w:kern w:val="0"/>
          <w:sz w:val="24"/>
        </w:rPr>
      </w:pPr>
      <w:r>
        <w:rPr>
          <w:rFonts w:hint="default" w:ascii="Times New Roman" w:hAnsi="Times New Roman" w:eastAsia="宋体" w:cs="Times New Roman"/>
          <w:bCs/>
          <w:kern w:val="0"/>
          <w:sz w:val="24"/>
        </w:rPr>
        <w:t>（</w:t>
      </w:r>
      <w:r>
        <w:rPr>
          <w:rFonts w:hint="default" w:ascii="Times New Roman" w:hAnsi="Times New Roman" w:eastAsia="宋体" w:cs="Times New Roman"/>
          <w:bCs/>
          <w:kern w:val="0"/>
          <w:sz w:val="24"/>
          <w:lang w:val="en-US" w:eastAsia="zh-CN"/>
        </w:rPr>
        <w:t>3</w:t>
      </w:r>
      <w:r>
        <w:rPr>
          <w:rFonts w:hint="default" w:ascii="Times New Roman" w:hAnsi="Times New Roman" w:eastAsia="宋体" w:cs="Times New Roman"/>
          <w:bCs/>
          <w:kern w:val="0"/>
          <w:sz w:val="24"/>
        </w:rPr>
        <w:t>）尾矿仓污染防治措施</w:t>
      </w:r>
    </w:p>
    <w:p>
      <w:pPr>
        <w:adjustRightInd w:val="0"/>
        <w:snapToGrid w:val="0"/>
        <w:spacing w:beforeLines="50" w:line="360" w:lineRule="auto"/>
        <w:ind w:firstLine="480" w:firstLineChars="200"/>
        <w:rPr>
          <w:rFonts w:hint="default" w:ascii="Times New Roman" w:hAnsi="Times New Roman" w:eastAsia="宋体" w:cs="Times New Roman"/>
        </w:rPr>
      </w:pPr>
      <w:r>
        <w:rPr>
          <w:rFonts w:hint="default" w:ascii="Times New Roman" w:hAnsi="Times New Roman" w:eastAsia="宋体" w:cs="Times New Roman"/>
          <w:color w:val="000000"/>
          <w:kern w:val="0"/>
          <w:sz w:val="24"/>
        </w:rPr>
        <w:t>尾矿仓设防雨棚，四周设施围挡，定期洒水抑尘。</w:t>
      </w:r>
    </w:p>
    <w:p>
      <w:pPr>
        <w:adjustRightInd w:val="0"/>
        <w:snapToGrid w:val="0"/>
        <w:spacing w:beforeLines="50" w:line="360" w:lineRule="auto"/>
        <w:ind w:firstLine="480" w:firstLineChars="200"/>
        <w:rPr>
          <w:rFonts w:hint="default" w:ascii="Times New Roman" w:hAnsi="Times New Roman" w:eastAsia="宋体" w:cs="Times New Roman"/>
          <w:bCs/>
          <w:kern w:val="0"/>
          <w:sz w:val="24"/>
        </w:rPr>
      </w:pPr>
      <w:r>
        <w:rPr>
          <w:rFonts w:hint="default" w:ascii="Times New Roman" w:hAnsi="Times New Roman" w:eastAsia="宋体" w:cs="Times New Roman"/>
          <w:bCs/>
          <w:kern w:val="0"/>
          <w:sz w:val="24"/>
        </w:rPr>
        <w:t>（</w:t>
      </w:r>
      <w:r>
        <w:rPr>
          <w:rFonts w:hint="default" w:ascii="Times New Roman" w:hAnsi="Times New Roman" w:eastAsia="宋体" w:cs="Times New Roman"/>
          <w:bCs/>
          <w:kern w:val="0"/>
          <w:sz w:val="24"/>
          <w:lang w:val="en-US" w:eastAsia="zh-CN"/>
        </w:rPr>
        <w:t>4</w:t>
      </w:r>
      <w:r>
        <w:rPr>
          <w:rFonts w:hint="default" w:ascii="Times New Roman" w:hAnsi="Times New Roman" w:eastAsia="宋体" w:cs="Times New Roman"/>
          <w:bCs/>
          <w:kern w:val="0"/>
          <w:sz w:val="24"/>
        </w:rPr>
        <w:t>）运输道路扬尘污染防治措施</w:t>
      </w:r>
    </w:p>
    <w:p>
      <w:pPr>
        <w:adjustRightInd w:val="0"/>
        <w:snapToGrid w:val="0"/>
        <w:spacing w:beforeLines="50" w:line="360" w:lineRule="auto"/>
        <w:ind w:firstLine="480" w:firstLineChars="200"/>
        <w:rPr>
          <w:rFonts w:hint="default" w:ascii="Times New Roman" w:hAnsi="Times New Roman" w:eastAsia="宋体" w:cs="Times New Roman"/>
          <w:bCs/>
          <w:kern w:val="0"/>
          <w:sz w:val="24"/>
        </w:rPr>
      </w:pPr>
      <w:r>
        <w:rPr>
          <w:rFonts w:hint="default" w:ascii="Times New Roman" w:hAnsi="Times New Roman" w:eastAsia="宋体" w:cs="Times New Roman"/>
          <w:bCs/>
          <w:kern w:val="0"/>
          <w:sz w:val="24"/>
        </w:rPr>
        <w:t>①对厂区运输道路采取洒水车洒水增湿降尘，可有效控制道路扬尘影响。该措施简单、效果好；可视天气状况适当调整洒水频率和洒水量，在炎热、干燥季节，每30min洒水一次，使路面保持湿润；其他时间段保持2h洒水一次，企业需制定切实可行的洒水工作制度及人员配置。</w:t>
      </w:r>
    </w:p>
    <w:p>
      <w:pPr>
        <w:adjustRightInd w:val="0"/>
        <w:snapToGrid w:val="0"/>
        <w:spacing w:beforeLines="50" w:line="360" w:lineRule="auto"/>
        <w:ind w:firstLine="480" w:firstLineChars="200"/>
        <w:rPr>
          <w:rFonts w:hint="default" w:ascii="Times New Roman" w:hAnsi="Times New Roman" w:eastAsia="宋体" w:cs="Times New Roman"/>
          <w:bCs/>
          <w:kern w:val="0"/>
          <w:sz w:val="24"/>
        </w:rPr>
      </w:pPr>
      <w:r>
        <w:rPr>
          <w:rFonts w:hint="default" w:ascii="Times New Roman" w:hAnsi="Times New Roman" w:eastAsia="宋体" w:cs="Times New Roman"/>
          <w:bCs/>
          <w:kern w:val="0"/>
          <w:sz w:val="24"/>
        </w:rPr>
        <w:t>②运输道路定期维护，保证路面处于完好状态；</w:t>
      </w:r>
    </w:p>
    <w:p>
      <w:pPr>
        <w:adjustRightInd w:val="0"/>
        <w:snapToGrid w:val="0"/>
        <w:spacing w:beforeLines="50" w:line="360" w:lineRule="auto"/>
        <w:ind w:firstLine="480" w:firstLineChars="200"/>
        <w:rPr>
          <w:rFonts w:hint="default" w:ascii="Times New Roman" w:hAnsi="Times New Roman" w:eastAsia="宋体" w:cs="Times New Roman"/>
          <w:bCs/>
          <w:kern w:val="0"/>
          <w:sz w:val="24"/>
        </w:rPr>
      </w:pPr>
      <w:r>
        <w:rPr>
          <w:rFonts w:hint="default" w:ascii="Times New Roman" w:hAnsi="Times New Roman" w:eastAsia="宋体" w:cs="Times New Roman"/>
          <w:bCs/>
          <w:kern w:val="0"/>
          <w:sz w:val="24"/>
        </w:rPr>
        <w:t>③限制车速，车速在20km/h以下，可有效抑制扬尘的产生；</w:t>
      </w:r>
    </w:p>
    <w:p>
      <w:pPr>
        <w:adjustRightInd w:val="0"/>
        <w:snapToGrid w:val="0"/>
        <w:spacing w:beforeLines="50" w:line="360" w:lineRule="auto"/>
        <w:ind w:firstLine="480" w:firstLineChars="200"/>
        <w:rPr>
          <w:rFonts w:hint="default" w:ascii="Times New Roman" w:hAnsi="Times New Roman" w:eastAsia="宋体" w:cs="Times New Roman"/>
          <w:bCs/>
          <w:kern w:val="0"/>
          <w:sz w:val="24"/>
        </w:rPr>
      </w:pPr>
      <w:r>
        <w:rPr>
          <w:rFonts w:hint="default" w:ascii="Times New Roman" w:hAnsi="Times New Roman" w:eastAsia="宋体" w:cs="Times New Roman"/>
          <w:bCs/>
          <w:kern w:val="0"/>
          <w:sz w:val="24"/>
        </w:rPr>
        <w:t>④加强对运输车辆装载量的管理，严禁超载，并对物料进行遮盖，减少其散落量。</w:t>
      </w:r>
    </w:p>
    <w:p>
      <w:pPr>
        <w:widowControl/>
        <w:spacing w:beforeLines="50" w:line="360" w:lineRule="auto"/>
        <w:ind w:firstLine="480" w:firstLineChars="200"/>
        <w:jc w:val="left"/>
        <w:rPr>
          <w:rFonts w:hint="default" w:ascii="Times New Roman" w:hAnsi="Times New Roman" w:eastAsia="宋体" w:cs="Times New Roman"/>
        </w:rPr>
      </w:pPr>
      <w:r>
        <w:rPr>
          <w:rFonts w:hint="default" w:ascii="Times New Roman" w:hAnsi="Times New Roman" w:eastAsia="宋体" w:cs="Times New Roman"/>
          <w:bCs/>
          <w:kern w:val="0"/>
          <w:sz w:val="24"/>
        </w:rPr>
        <w:t>（</w:t>
      </w:r>
      <w:r>
        <w:rPr>
          <w:rFonts w:hint="default" w:ascii="Times New Roman" w:hAnsi="Times New Roman" w:eastAsia="宋体" w:cs="Times New Roman"/>
          <w:bCs/>
          <w:kern w:val="0"/>
          <w:sz w:val="24"/>
          <w:lang w:val="en-US" w:eastAsia="zh-CN"/>
        </w:rPr>
        <w:t>5</w:t>
      </w:r>
      <w:r>
        <w:rPr>
          <w:rFonts w:hint="default" w:ascii="Times New Roman" w:hAnsi="Times New Roman" w:eastAsia="宋体" w:cs="Times New Roman"/>
          <w:bCs/>
          <w:kern w:val="0"/>
          <w:sz w:val="24"/>
        </w:rPr>
        <w:t>）环境空气污染防治措施可行性分析</w:t>
      </w:r>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通过类比同行业可知，LSDM系列低压脉冲袋式除尘器属于同行业成熟稳定废气处置措施，其处理风量大，除尘效果理想，清灰气压低，采用了离线清灰，清灰时不影响除尘器工作，可确保长时间运行。</w:t>
      </w:r>
    </w:p>
    <w:p>
      <w:pPr>
        <w:adjustRightInd w:val="0"/>
        <w:snapToGrid w:val="0"/>
        <w:spacing w:beforeLines="50" w:line="360" w:lineRule="auto"/>
        <w:ind w:firstLine="480" w:firstLineChars="200"/>
        <w:rPr>
          <w:rFonts w:hint="default" w:ascii="Times New Roman" w:hAnsi="Times New Roman" w:eastAsia="宋体" w:cs="Times New Roman"/>
        </w:rPr>
      </w:pPr>
      <w:r>
        <w:rPr>
          <w:rFonts w:hint="default" w:ascii="Times New Roman" w:hAnsi="Times New Roman" w:eastAsia="宋体" w:cs="Times New Roman"/>
          <w:color w:val="000000"/>
          <w:kern w:val="0"/>
          <w:sz w:val="24"/>
        </w:rPr>
        <w:t>根据核算，</w:t>
      </w:r>
      <w:r>
        <w:rPr>
          <w:rFonts w:hint="default" w:ascii="Times New Roman" w:hAnsi="Times New Roman" w:eastAsia="宋体" w:cs="Times New Roman"/>
          <w:bCs/>
          <w:kern w:val="0"/>
          <w:sz w:val="24"/>
        </w:rPr>
        <w:t>破碎、筛分工序粉尘排气筒有组织粉尘排放浓度小于10mg/m</w:t>
      </w:r>
      <w:r>
        <w:rPr>
          <w:rFonts w:hint="default" w:ascii="Times New Roman" w:hAnsi="Times New Roman" w:eastAsia="宋体" w:cs="Times New Roman"/>
          <w:bCs/>
          <w:kern w:val="0"/>
          <w:sz w:val="24"/>
          <w:vertAlign w:val="superscript"/>
        </w:rPr>
        <w:t>3</w:t>
      </w:r>
      <w:r>
        <w:rPr>
          <w:rFonts w:hint="default" w:ascii="Times New Roman" w:hAnsi="Times New Roman" w:eastAsia="宋体" w:cs="Times New Roman"/>
          <w:bCs/>
          <w:kern w:val="0"/>
          <w:sz w:val="24"/>
        </w:rPr>
        <w:t>，满足《铁矿采选工业污染物排放标准》（GB28661-2012）中表6特别排放限值的要求；</w:t>
      </w:r>
      <w:r>
        <w:rPr>
          <w:rFonts w:hint="default" w:ascii="Times New Roman" w:hAnsi="Times New Roman" w:eastAsia="宋体" w:cs="Times New Roman"/>
          <w:color w:val="000000"/>
          <w:kern w:val="0"/>
          <w:sz w:val="24"/>
        </w:rPr>
        <w:t>LSDM系列低压脉冲袋式除尘器技术上可行，净化效果可靠，环评认为本项目采取的大气污染防治措施合理可行。通过对物料装卸起尘规律的研究，降低装卸高度可以有效地减少起尘，装卸高度减少一半，起尘量减少52%；增加矿石含水量也能有效抑制起尘，增加含水量2.5%，起尘量可以减少90%，因本项目采取降低装卸高度、洒水等措施，可有效抑制矿石卸车粉尘的飞溅扩散。</w:t>
      </w:r>
    </w:p>
    <w:p>
      <w:pPr>
        <w:widowControl/>
        <w:spacing w:beforeLines="50" w:line="360" w:lineRule="auto"/>
        <w:ind w:firstLine="480" w:firstLineChars="200"/>
        <w:jc w:val="left"/>
        <w:rPr>
          <w:rFonts w:hint="default" w:ascii="Times New Roman" w:hAnsi="Times New Roman" w:eastAsia="宋体" w:cs="Times New Roman"/>
          <w:color w:val="auto"/>
          <w:highlight w:val="yellow"/>
          <w:lang w:val="en-US" w:eastAsia="zh-CN"/>
        </w:rPr>
      </w:pPr>
      <w:r>
        <w:rPr>
          <w:rFonts w:hint="default" w:ascii="Times New Roman" w:hAnsi="Times New Roman" w:eastAsia="宋体" w:cs="Times New Roman"/>
          <w:color w:val="000000"/>
          <w:kern w:val="0"/>
          <w:sz w:val="24"/>
        </w:rPr>
        <w:t>另外，环评要求企业需做好厂区洒水抑尘措施，认真落实厂区绿化工作，确保厂界无组织排放浓度符合</w:t>
      </w:r>
      <w:r>
        <w:rPr>
          <w:rFonts w:hint="default" w:ascii="Times New Roman" w:hAnsi="Times New Roman" w:eastAsia="宋体" w:cs="Times New Roman"/>
          <w:bCs/>
          <w:kern w:val="0"/>
          <w:sz w:val="24"/>
        </w:rPr>
        <w:t>《铁矿采选工业污染物排放标准》（GB28661-2012）</w:t>
      </w:r>
      <w:r>
        <w:rPr>
          <w:rFonts w:hint="default" w:ascii="Times New Roman" w:hAnsi="Times New Roman" w:eastAsia="宋体" w:cs="Times New Roman"/>
          <w:color w:val="000000"/>
          <w:kern w:val="0"/>
          <w:sz w:val="24"/>
        </w:rPr>
        <w:t>中新建企业无组织排放浓度限值（颗粒物：1.0mg/m</w:t>
      </w:r>
      <w:r>
        <w:rPr>
          <w:rFonts w:hint="default" w:ascii="Times New Roman" w:hAnsi="Times New Roman" w:eastAsia="宋体" w:cs="Times New Roman"/>
          <w:color w:val="000000"/>
          <w:kern w:val="0"/>
          <w:sz w:val="24"/>
          <w:vertAlign w:val="superscript"/>
        </w:rPr>
        <w:t>3</w:t>
      </w:r>
      <w:r>
        <w:rPr>
          <w:rFonts w:hint="default" w:ascii="Times New Roman" w:hAnsi="Times New Roman" w:eastAsia="宋体" w:cs="Times New Roman"/>
          <w:color w:val="000000"/>
          <w:kern w:val="0"/>
          <w:sz w:val="24"/>
        </w:rPr>
        <w:t>）。</w:t>
      </w:r>
    </w:p>
    <w:p>
      <w:pPr>
        <w:spacing w:beforeLines="50" w:line="360" w:lineRule="auto"/>
        <w:outlineLvl w:val="1"/>
        <w:rPr>
          <w:rFonts w:hint="default" w:ascii="Times New Roman" w:hAnsi="Times New Roman" w:eastAsia="宋体" w:cs="Times New Roman"/>
          <w:b/>
          <w:color w:val="auto"/>
          <w:sz w:val="24"/>
          <w:szCs w:val="24"/>
          <w:highlight w:val="none"/>
          <w:lang w:eastAsia="zh-CN"/>
        </w:rPr>
      </w:pPr>
      <w:bookmarkStart w:id="318" w:name="_Toc8921"/>
      <w:bookmarkStart w:id="319" w:name="_Toc23857"/>
      <w:bookmarkStart w:id="320" w:name="_Toc23584"/>
      <w:bookmarkStart w:id="321" w:name="_Toc2586"/>
      <w:bookmarkStart w:id="322" w:name="_Toc22198"/>
      <w:r>
        <w:rPr>
          <w:rFonts w:hint="default" w:ascii="Times New Roman" w:hAnsi="Times New Roman" w:eastAsia="宋体" w:cs="Times New Roman"/>
          <w:b/>
          <w:color w:val="auto"/>
          <w:sz w:val="28"/>
          <w:szCs w:val="28"/>
          <w:highlight w:val="none"/>
        </w:rPr>
        <w:t>6.</w:t>
      </w:r>
      <w:r>
        <w:rPr>
          <w:rFonts w:hint="default" w:ascii="Times New Roman" w:hAnsi="Times New Roman" w:eastAsia="宋体" w:cs="Times New Roman"/>
          <w:b/>
          <w:color w:val="auto"/>
          <w:sz w:val="28"/>
          <w:szCs w:val="28"/>
          <w:highlight w:val="none"/>
          <w:lang w:val="en-US" w:eastAsia="zh-CN"/>
        </w:rPr>
        <w:t>2.2地表水</w:t>
      </w:r>
      <w:bookmarkEnd w:id="318"/>
      <w:bookmarkEnd w:id="319"/>
      <w:bookmarkEnd w:id="320"/>
      <w:bookmarkEnd w:id="321"/>
      <w:bookmarkEnd w:id="322"/>
    </w:p>
    <w:p>
      <w:pPr>
        <w:adjustRightInd w:val="0"/>
        <w:snapToGrid w:val="0"/>
        <w:spacing w:beforeLines="50"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 xml:space="preserve">（1）生活污水 </w:t>
      </w:r>
    </w:p>
    <w:p>
      <w:pPr>
        <w:spacing w:beforeLines="50"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sz w:val="24"/>
        </w:rPr>
        <w:t>生活污水</w:t>
      </w:r>
      <w:r>
        <w:rPr>
          <w:rFonts w:hint="default" w:ascii="Times New Roman" w:hAnsi="Times New Roman" w:eastAsia="宋体" w:cs="Times New Roman"/>
          <w:sz w:val="24"/>
          <w:szCs w:val="20"/>
        </w:rPr>
        <w:t>主要污染物为SS、COD、NH</w:t>
      </w:r>
      <w:r>
        <w:rPr>
          <w:rFonts w:hint="default" w:ascii="Times New Roman" w:hAnsi="Times New Roman" w:eastAsia="宋体" w:cs="Times New Roman"/>
          <w:sz w:val="24"/>
          <w:szCs w:val="20"/>
          <w:vertAlign w:val="subscript"/>
        </w:rPr>
        <w:t>3</w:t>
      </w:r>
      <w:r>
        <w:rPr>
          <w:rFonts w:hint="default" w:ascii="Times New Roman" w:hAnsi="Times New Roman" w:eastAsia="宋体" w:cs="Times New Roman"/>
          <w:sz w:val="24"/>
          <w:szCs w:val="20"/>
        </w:rPr>
        <w:t>-H等，</w:t>
      </w:r>
      <w:r>
        <w:rPr>
          <w:rFonts w:hint="default" w:ascii="Times New Roman" w:hAnsi="Times New Roman" w:eastAsia="宋体" w:cs="Times New Roman"/>
          <w:sz w:val="24"/>
        </w:rPr>
        <w:t>排入1座有效容积约15m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的防渗旱厕（防渗系数≤1.0×10</w:t>
      </w:r>
      <w:r>
        <w:rPr>
          <w:rFonts w:hint="default" w:ascii="Times New Roman" w:hAnsi="Times New Roman" w:eastAsia="宋体" w:cs="Times New Roman"/>
          <w:sz w:val="24"/>
          <w:vertAlign w:val="superscript"/>
        </w:rPr>
        <w:t>-7</w:t>
      </w:r>
      <w:r>
        <w:rPr>
          <w:rFonts w:hint="default" w:ascii="Times New Roman" w:hAnsi="Times New Roman" w:eastAsia="宋体" w:cs="Times New Roman"/>
          <w:sz w:val="24"/>
        </w:rPr>
        <w:t>cm/s），旱厕定期清掏、用作农肥。</w:t>
      </w:r>
    </w:p>
    <w:p>
      <w:pPr>
        <w:adjustRightInd w:val="0"/>
        <w:snapToGrid w:val="0"/>
        <w:spacing w:beforeLines="50"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（2）工业废水</w:t>
      </w:r>
    </w:p>
    <w:p>
      <w:pPr>
        <w:adjustRightInd w:val="0"/>
        <w:snapToGrid w:val="0"/>
        <w:spacing w:beforeLines="50"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①正常工况下</w:t>
      </w:r>
    </w:p>
    <w:p>
      <w:pPr>
        <w:adjustRightInd w:val="0"/>
        <w:snapToGrid w:val="0"/>
        <w:spacing w:beforeLines="50"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本工程生产废水主要为磁选生产工艺废水，尾矿全部排入尾矿干排系统，经</w:t>
      </w:r>
      <w:r>
        <w:rPr>
          <w:rFonts w:hint="default" w:ascii="Times New Roman" w:hAnsi="Times New Roman" w:eastAsia="宋体" w:cs="Times New Roman"/>
          <w:color w:val="000000"/>
          <w:kern w:val="0"/>
          <w:sz w:val="24"/>
          <w:lang w:eastAsia="zh-CN"/>
        </w:rPr>
        <w:t>浓密罐</w:t>
      </w:r>
      <w:r>
        <w:rPr>
          <w:rFonts w:hint="default" w:ascii="Times New Roman" w:hAnsi="Times New Roman" w:eastAsia="宋体" w:cs="Times New Roman"/>
          <w:color w:val="000000"/>
          <w:kern w:val="0"/>
          <w:sz w:val="24"/>
        </w:rPr>
        <w:t>（容积1800m</w:t>
      </w:r>
      <w:r>
        <w:rPr>
          <w:rFonts w:hint="default" w:ascii="Times New Roman" w:hAnsi="Times New Roman" w:eastAsia="宋体" w:cs="Times New Roman"/>
          <w:color w:val="000000"/>
          <w:kern w:val="0"/>
          <w:sz w:val="24"/>
          <w:vertAlign w:val="superscript"/>
        </w:rPr>
        <w:t>3</w:t>
      </w:r>
      <w:r>
        <w:rPr>
          <w:rFonts w:hint="default" w:ascii="Times New Roman" w:hAnsi="Times New Roman" w:eastAsia="宋体" w:cs="Times New Roman"/>
          <w:color w:val="000000"/>
          <w:kern w:val="0"/>
          <w:sz w:val="24"/>
        </w:rPr>
        <w:t>）通过回水管路返回选矿循环利用，不外排。本项目废水中主要污染物为SS，在</w:t>
      </w:r>
      <w:r>
        <w:rPr>
          <w:rFonts w:hint="default" w:ascii="Times New Roman" w:hAnsi="Times New Roman" w:eastAsia="宋体" w:cs="Times New Roman"/>
          <w:color w:val="000000"/>
          <w:kern w:val="0"/>
          <w:sz w:val="24"/>
          <w:lang w:eastAsia="zh-CN"/>
        </w:rPr>
        <w:t>浓密罐</w:t>
      </w:r>
      <w:r>
        <w:rPr>
          <w:rFonts w:hint="default" w:ascii="Times New Roman" w:hAnsi="Times New Roman" w:eastAsia="宋体" w:cs="Times New Roman"/>
          <w:color w:val="000000"/>
          <w:kern w:val="0"/>
          <w:sz w:val="24"/>
        </w:rPr>
        <w:t>中</w:t>
      </w:r>
      <w:r>
        <w:rPr>
          <w:rFonts w:hint="default" w:ascii="Times New Roman" w:hAnsi="Times New Roman" w:eastAsia="宋体" w:cs="Times New Roman"/>
          <w:color w:val="000000"/>
          <w:kern w:val="0"/>
          <w:sz w:val="24"/>
          <w:lang w:eastAsia="zh-CN"/>
        </w:rPr>
        <w:t>沉淀</w:t>
      </w:r>
      <w:r>
        <w:rPr>
          <w:rFonts w:hint="default" w:ascii="Times New Roman" w:hAnsi="Times New Roman" w:eastAsia="宋体" w:cs="Times New Roman"/>
          <w:color w:val="000000"/>
          <w:kern w:val="0"/>
          <w:sz w:val="24"/>
        </w:rPr>
        <w:t>，沉降效率大于95%，絮凝沉淀后上清液悬浮物的含量控制在50mg/L以下，根据原工程生产经验，可满足回用要求，废水处理及回用方案可行。</w:t>
      </w:r>
    </w:p>
    <w:p>
      <w:pPr>
        <w:adjustRightInd w:val="0"/>
        <w:snapToGrid w:val="0"/>
        <w:spacing w:beforeLines="50"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②非正常工况下</w:t>
      </w:r>
    </w:p>
    <w:p>
      <w:pPr>
        <w:adjustRightInd w:val="0"/>
        <w:snapToGrid w:val="0"/>
        <w:spacing w:beforeLines="50"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 xml:space="preserve">为控制尾矿矿浆跑冒造成地表水污染，设计主要采取以下措施： </w:t>
      </w:r>
    </w:p>
    <w:p>
      <w:pPr>
        <w:adjustRightInd w:val="0"/>
        <w:snapToGrid w:val="0"/>
        <w:spacing w:beforeLines="50"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a.选择质量良好的耐磨、耐腐蚀、防冻管道输送矿浆，并设置备用管道。管理上应安排专人定期沿线巡逻，发现问题及时尽早解决。</w:t>
      </w:r>
    </w:p>
    <w:p>
      <w:pPr>
        <w:adjustRightInd w:val="0"/>
        <w:snapToGrid w:val="0"/>
        <w:spacing w:beforeLines="50"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b.设计利用容积3</w:t>
      </w:r>
      <w:r>
        <w:rPr>
          <w:rFonts w:hint="default" w:ascii="Times New Roman" w:hAnsi="Times New Roman" w:eastAsia="宋体" w:cs="Times New Roman"/>
          <w:color w:val="000000"/>
          <w:kern w:val="0"/>
          <w:sz w:val="24"/>
          <w:lang w:val="en-US" w:eastAsia="zh-CN"/>
        </w:rPr>
        <w:t>0</w:t>
      </w:r>
      <w:r>
        <w:rPr>
          <w:rFonts w:hint="default" w:ascii="Times New Roman" w:hAnsi="Times New Roman" w:eastAsia="宋体" w:cs="Times New Roman"/>
          <w:color w:val="000000"/>
          <w:kern w:val="0"/>
          <w:sz w:val="24"/>
        </w:rPr>
        <w:t>00m</w:t>
      </w:r>
      <w:r>
        <w:rPr>
          <w:rFonts w:hint="default" w:ascii="Times New Roman" w:hAnsi="Times New Roman" w:eastAsia="宋体" w:cs="Times New Roman"/>
          <w:color w:val="000000"/>
          <w:kern w:val="0"/>
          <w:sz w:val="24"/>
          <w:vertAlign w:val="superscript"/>
        </w:rPr>
        <w:t>3</w:t>
      </w:r>
      <w:r>
        <w:rPr>
          <w:rFonts w:hint="default" w:ascii="Times New Roman" w:hAnsi="Times New Roman" w:eastAsia="宋体" w:cs="Times New Roman"/>
          <w:color w:val="000000"/>
          <w:kern w:val="0"/>
          <w:sz w:val="24"/>
        </w:rPr>
        <w:t>事故贮水池，非正常工况下，作为事故应急池收集尾矿渣及废水。废水量约</w:t>
      </w:r>
      <w:r>
        <w:rPr>
          <w:rFonts w:hint="default" w:ascii="Times New Roman" w:hAnsi="Times New Roman" w:eastAsia="宋体" w:cs="Times New Roman"/>
          <w:kern w:val="0"/>
          <w:sz w:val="24"/>
          <w:lang w:val="en-US" w:eastAsia="zh-CN"/>
        </w:rPr>
        <w:t>484.95</w:t>
      </w:r>
      <w:r>
        <w:rPr>
          <w:rFonts w:hint="default" w:ascii="Times New Roman" w:hAnsi="Times New Roman" w:eastAsia="宋体" w:cs="Times New Roman"/>
          <w:color w:val="000000"/>
          <w:kern w:val="0"/>
          <w:sz w:val="24"/>
        </w:rPr>
        <w:t>m</w:t>
      </w:r>
      <w:r>
        <w:rPr>
          <w:rFonts w:hint="default" w:ascii="Times New Roman" w:hAnsi="Times New Roman" w:eastAsia="宋体" w:cs="Times New Roman"/>
          <w:color w:val="000000"/>
          <w:kern w:val="0"/>
          <w:sz w:val="24"/>
          <w:vertAlign w:val="superscript"/>
        </w:rPr>
        <w:t>3</w:t>
      </w:r>
      <w:r>
        <w:rPr>
          <w:rFonts w:hint="default" w:ascii="Times New Roman" w:hAnsi="Times New Roman" w:eastAsia="宋体" w:cs="Times New Roman"/>
          <w:color w:val="000000"/>
          <w:kern w:val="0"/>
          <w:sz w:val="24"/>
        </w:rPr>
        <w:t>，若生产线运行异常，可收集7h内矿浆。企业应加强管理，事故时立即停止生产，保证在1h以内停止排放废水及尾矿，能满足非正常工况废水不外排。</w:t>
      </w:r>
    </w:p>
    <w:p>
      <w:pPr>
        <w:adjustRightInd w:val="0"/>
        <w:snapToGrid w:val="0"/>
        <w:spacing w:beforeLines="50"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c.设计采取自控系统，对出浆管浓度、流量、压力进行检测控制，发现运行异常，及时检修。</w:t>
      </w:r>
    </w:p>
    <w:p>
      <w:pPr>
        <w:adjustRightInd w:val="0"/>
        <w:snapToGrid w:val="0"/>
        <w:spacing w:beforeLines="50" w:line="360" w:lineRule="auto"/>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000000"/>
          <w:kern w:val="0"/>
          <w:sz w:val="24"/>
        </w:rPr>
        <w:t>本项目生产废水循环利用是完全可行的，又可为企业节省新鲜水用量，带来一定的</w:t>
      </w:r>
      <w:r>
        <w:rPr>
          <w:rFonts w:hint="default" w:ascii="Times New Roman" w:hAnsi="Times New Roman" w:eastAsia="宋体" w:cs="Times New Roman"/>
          <w:color w:val="000000"/>
          <w:kern w:val="0"/>
          <w:sz w:val="24"/>
          <w:highlight w:val="none"/>
        </w:rPr>
        <w:t>经济效益，环保措施可行。</w:t>
      </w:r>
    </w:p>
    <w:p>
      <w:pPr>
        <w:spacing w:beforeLines="50" w:line="360" w:lineRule="auto"/>
        <w:outlineLvl w:val="1"/>
        <w:rPr>
          <w:rFonts w:hint="default" w:ascii="Times New Roman" w:hAnsi="Times New Roman" w:eastAsia="宋体" w:cs="Times New Roman"/>
          <w:b/>
          <w:color w:val="auto"/>
          <w:sz w:val="28"/>
          <w:szCs w:val="28"/>
          <w:highlight w:val="none"/>
        </w:rPr>
      </w:pPr>
      <w:bookmarkStart w:id="323" w:name="_Toc12315"/>
      <w:bookmarkStart w:id="324" w:name="_Toc6965"/>
      <w:bookmarkStart w:id="325" w:name="_Toc624"/>
      <w:bookmarkStart w:id="326" w:name="_Toc14594"/>
      <w:bookmarkStart w:id="327" w:name="_Toc28068"/>
      <w:r>
        <w:rPr>
          <w:rFonts w:hint="default" w:ascii="Times New Roman" w:hAnsi="Times New Roman" w:eastAsia="宋体" w:cs="Times New Roman"/>
          <w:b/>
          <w:color w:val="auto"/>
          <w:sz w:val="28"/>
          <w:szCs w:val="28"/>
          <w:highlight w:val="none"/>
        </w:rPr>
        <w:t>6.</w:t>
      </w:r>
      <w:r>
        <w:rPr>
          <w:rFonts w:hint="default" w:ascii="Times New Roman" w:hAnsi="Times New Roman" w:eastAsia="宋体" w:cs="Times New Roman"/>
          <w:b/>
          <w:color w:val="auto"/>
          <w:sz w:val="28"/>
          <w:szCs w:val="28"/>
          <w:highlight w:val="none"/>
          <w:lang w:val="en-US" w:eastAsia="zh-CN"/>
        </w:rPr>
        <w:t>2.</w:t>
      </w:r>
      <w:r>
        <w:rPr>
          <w:rFonts w:hint="default" w:ascii="Times New Roman" w:hAnsi="Times New Roman" w:eastAsia="宋体" w:cs="Times New Roman"/>
          <w:b/>
          <w:color w:val="auto"/>
          <w:sz w:val="28"/>
          <w:szCs w:val="28"/>
          <w:highlight w:val="none"/>
        </w:rPr>
        <w:t>3地下水</w:t>
      </w:r>
      <w:bookmarkEnd w:id="323"/>
      <w:bookmarkEnd w:id="324"/>
      <w:bookmarkEnd w:id="325"/>
      <w:bookmarkEnd w:id="326"/>
      <w:bookmarkEnd w:id="327"/>
    </w:p>
    <w:p>
      <w:pPr>
        <w:pStyle w:val="107"/>
        <w:adjustRightInd/>
        <w:snapToGrid/>
        <w:spacing w:line="360" w:lineRule="auto"/>
        <w:ind w:firstLine="480"/>
        <w:rPr>
          <w:rFonts w:hint="default" w:ascii="Times New Roman" w:hAnsi="Times New Roman" w:eastAsia="宋体" w:cs="Times New Roman"/>
          <w:color w:val="auto"/>
          <w:sz w:val="24"/>
          <w:szCs w:val="24"/>
          <w:highlight w:val="none"/>
        </w:rPr>
      </w:pPr>
      <w:bookmarkStart w:id="328" w:name="_Toc478394820"/>
      <w:bookmarkStart w:id="329" w:name="_Toc476553988"/>
      <w:bookmarkStart w:id="330" w:name="_Toc476639473"/>
      <w:bookmarkStart w:id="331" w:name="_Toc476225058"/>
      <w:bookmarkStart w:id="332" w:name="_Toc478038863"/>
      <w:r>
        <w:rPr>
          <w:rFonts w:hint="default" w:ascii="Times New Roman" w:hAnsi="Times New Roman" w:eastAsia="宋体" w:cs="Times New Roman"/>
          <w:color w:val="auto"/>
          <w:sz w:val="24"/>
          <w:szCs w:val="24"/>
          <w:highlight w:val="none"/>
        </w:rPr>
        <w:t>根据《环境影响评价技术导则-地下水环境》（HJ610-2016）的要求，地下水环境保护措施与对策应符合《中华人民共和国水污染防治法》和《中华人民共和国环境影响评价法》的相关规定，按照“源头控制、分区防控、污染监控、应急响应”，重点突出饮用水水质安全的原则确定。</w:t>
      </w:r>
    </w:p>
    <w:p>
      <w:pPr>
        <w:pStyle w:val="107"/>
        <w:adjustRightInd/>
        <w:snapToGrid/>
        <w:ind w:firstLine="480"/>
        <w:rPr>
          <w:rFonts w:hint="default" w:ascii="Times New Roman" w:hAnsi="Times New Roman" w:eastAsia="宋体" w:cs="Times New Roman"/>
          <w:color w:val="auto"/>
          <w:sz w:val="24"/>
          <w:szCs w:val="24"/>
          <w:highlight w:val="none"/>
        </w:rPr>
      </w:pPr>
      <w:bookmarkStart w:id="333" w:name="_Toc460309957"/>
      <w:bookmarkStart w:id="334" w:name="_Toc481168511"/>
      <w:bookmarkStart w:id="335" w:name="_Toc24879987"/>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源头控制措施</w:t>
      </w:r>
      <w:bookmarkEnd w:id="333"/>
      <w:bookmarkEnd w:id="334"/>
      <w:bookmarkEnd w:id="335"/>
    </w:p>
    <w:p>
      <w:pPr>
        <w:pStyle w:val="107"/>
        <w:adjustRightInd/>
        <w:snapToGrid/>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源头控制措施主要指建设项目污废水的输送管道、污废水储存设备及处理构筑物应采取相应措施，防止和降低污染物跑、冒、滴、漏，将污染物泄漏的环境风险事故降到最低程度。因此要求建设项目对产生的废水进行合理的治理和综合利用，以先进工艺、管道、设备、污水储存，尽可能从源头上减少可能污染物产生；严格按照国家相关规范要求，对工艺、管道、设备、污水储存及处理构筑物采取相应的措施，以防止和降低可能污染物的跑、冒、滴、漏，将废水泄漏的环境风险事故降低到最低程度；优化排水系统设计，工艺废水、地面冲洗废水、初期污染雨水等在厂区内收集及预处理后通过管线园区污水处理厂处理；管线铺设尽量采用“可视化”原则，即管道尽可能地上铺设，做到污染物“早发现、早处理”，以减少由于埋地管道泄漏而可能造成的地下水污染。进行质量体系认证，实现“质量、安全、环境”三位一体的全面质量管理目标。设立地下水跟踪监测小组，负责对地下水环境的跟踪监测和管理，或者委托专业的机构完成。建立有关规章制度和岗位责任制。制定地下水风险预警方案，设立应急设施减少环境污染影响。</w:t>
      </w:r>
    </w:p>
    <w:p>
      <w:pPr>
        <w:pStyle w:val="107"/>
        <w:adjustRightInd/>
        <w:snapToGrid/>
        <w:ind w:firstLine="480"/>
        <w:rPr>
          <w:rFonts w:hint="default" w:ascii="Times New Roman" w:hAnsi="Times New Roman" w:eastAsia="宋体" w:cs="Times New Roman"/>
          <w:color w:val="auto"/>
          <w:sz w:val="24"/>
          <w:szCs w:val="24"/>
          <w:highlight w:val="none"/>
          <w:lang w:val="en-US" w:eastAsia="zh-CN"/>
        </w:rPr>
      </w:pPr>
      <w:bookmarkStart w:id="336" w:name="_Toc24879988"/>
      <w:bookmarkStart w:id="337" w:name="_Toc481168512"/>
      <w:bookmarkStart w:id="338" w:name="_Toc460309958"/>
      <w:r>
        <w:rPr>
          <w:rFonts w:hint="default" w:ascii="Times New Roman" w:hAnsi="Times New Roman" w:eastAsia="宋体" w:cs="Times New Roman"/>
          <w:color w:val="auto"/>
          <w:sz w:val="24"/>
          <w:szCs w:val="24"/>
          <w:highlight w:val="none"/>
          <w:lang w:val="en-US" w:eastAsia="zh-CN"/>
        </w:rPr>
        <w:t>2、分区防控措施</w:t>
      </w:r>
      <w:bookmarkEnd w:id="336"/>
      <w:bookmarkEnd w:id="337"/>
      <w:bookmarkEnd w:id="338"/>
    </w:p>
    <w:p>
      <w:pPr>
        <w:pStyle w:val="107"/>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分区防控措施是指结合地下水环境影响评价结果，对工程设计或可行性研究报告提出的地下水污染防控方案提出优化调整的建议，给出不同分区的具体防渗技术要求。一般情况下，防控措施应以水平防渗为主，已颁布污染控制国家标准或防渗技术规范的行业，水平防渗技术要求按照相应标准或规范执行。</w:t>
      </w:r>
    </w:p>
    <w:p>
      <w:pPr>
        <w:pStyle w:val="107"/>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根据各生产装置、辅助设施及公用工程设施的布置，按照</w:t>
      </w:r>
      <w:r>
        <w:rPr>
          <w:rFonts w:hint="default" w:ascii="Times New Roman" w:hAnsi="Times New Roman" w:eastAsia="宋体" w:cs="Times New Roman"/>
          <w:color w:val="auto"/>
          <w:kern w:val="2"/>
          <w:sz w:val="24"/>
          <w:szCs w:val="24"/>
          <w:highlight w:val="none"/>
        </w:rPr>
        <w:t>《环境影响评价技术导则 地下水环境》（HJ610-2016）</w:t>
      </w:r>
      <w:r>
        <w:rPr>
          <w:rFonts w:hint="default" w:ascii="Times New Roman" w:hAnsi="Times New Roman" w:eastAsia="宋体" w:cs="Times New Roman"/>
          <w:color w:val="auto"/>
          <w:sz w:val="24"/>
          <w:szCs w:val="24"/>
          <w:highlight w:val="none"/>
        </w:rPr>
        <w:t>和</w:t>
      </w:r>
      <w:r>
        <w:rPr>
          <w:rFonts w:hint="default" w:ascii="Times New Roman" w:hAnsi="Times New Roman" w:eastAsia="宋体" w:cs="Times New Roman"/>
          <w:color w:val="auto"/>
          <w:kern w:val="2"/>
          <w:sz w:val="24"/>
          <w:szCs w:val="24"/>
          <w:highlight w:val="none"/>
        </w:rPr>
        <w:t>《给水排水构筑物工程施工及验收规范》（GB50141-2008）</w:t>
      </w:r>
      <w:r>
        <w:rPr>
          <w:rFonts w:hint="default" w:ascii="Times New Roman" w:hAnsi="Times New Roman" w:eastAsia="宋体" w:cs="Times New Roman"/>
          <w:color w:val="auto"/>
          <w:sz w:val="24"/>
          <w:szCs w:val="24"/>
          <w:highlight w:val="none"/>
        </w:rPr>
        <w:t>的要求，将厂区划分为简单防渗区、一般防渗区和重点防渗区，分别采取不同等级的防渗方案。污染分区划分详见表</w:t>
      </w:r>
      <w:r>
        <w:rPr>
          <w:rFonts w:hint="default" w:ascii="Times New Roman" w:hAnsi="Times New Roman" w:eastAsia="宋体" w:cs="Times New Roman"/>
          <w:color w:val="auto"/>
          <w:sz w:val="24"/>
          <w:szCs w:val="24"/>
          <w:highlight w:val="none"/>
          <w:lang w:val="en-US" w:eastAsia="zh-CN"/>
        </w:rPr>
        <w:t>6.2-1</w:t>
      </w:r>
      <w:r>
        <w:rPr>
          <w:rFonts w:hint="default" w:ascii="Times New Roman" w:hAnsi="Times New Roman" w:eastAsia="宋体" w:cs="Times New Roman"/>
          <w:color w:val="auto"/>
          <w:sz w:val="24"/>
          <w:szCs w:val="24"/>
          <w:highlight w:val="none"/>
        </w:rPr>
        <w:t>。</w:t>
      </w:r>
    </w:p>
    <w:p>
      <w:pPr>
        <w:pStyle w:val="74"/>
        <w:spacing w:beforeLines="50" w:line="480" w:lineRule="exact"/>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表6.2-1                  地下水污染防控分区一览表</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4"/>
        <w:gridCol w:w="880"/>
        <w:gridCol w:w="2327"/>
        <w:gridCol w:w="1093"/>
        <w:gridCol w:w="1439"/>
        <w:gridCol w:w="308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tcBorders>
              <w:tl2br w:val="nil"/>
              <w:tr2bl w:val="nil"/>
            </w:tcBorders>
            <w:shd w:val="clear" w:color="auto" w:fill="auto"/>
            <w:vAlign w:val="center"/>
          </w:tcPr>
          <w:p>
            <w:pPr>
              <w:jc w:val="center"/>
              <w:rPr>
                <w:rFonts w:hint="default" w:ascii="Times New Roman" w:hAnsi="Times New Roman" w:eastAsia="宋体" w:cs="Times New Roman"/>
                <w:caps/>
                <w:sz w:val="21"/>
                <w:szCs w:val="21"/>
              </w:rPr>
            </w:pPr>
            <w:r>
              <w:rPr>
                <w:rFonts w:hint="default" w:ascii="Times New Roman" w:hAnsi="Times New Roman" w:eastAsia="宋体" w:cs="Times New Roman"/>
                <w:caps/>
                <w:sz w:val="21"/>
                <w:szCs w:val="21"/>
              </w:rPr>
              <w:t>序号</w:t>
            </w:r>
          </w:p>
        </w:tc>
        <w:tc>
          <w:tcPr>
            <w:tcW w:w="808" w:type="dxa"/>
            <w:tcBorders>
              <w:tl2br w:val="nil"/>
              <w:tr2bl w:val="nil"/>
            </w:tcBorders>
            <w:shd w:val="clear" w:color="auto" w:fill="auto"/>
            <w:vAlign w:val="center"/>
          </w:tcPr>
          <w:p>
            <w:pPr>
              <w:jc w:val="center"/>
              <w:rPr>
                <w:rFonts w:hint="default" w:ascii="Times New Roman" w:hAnsi="Times New Roman" w:eastAsia="宋体" w:cs="Times New Roman"/>
                <w:caps/>
                <w:sz w:val="21"/>
                <w:szCs w:val="21"/>
              </w:rPr>
            </w:pPr>
            <w:r>
              <w:rPr>
                <w:rFonts w:hint="default" w:ascii="Times New Roman" w:hAnsi="Times New Roman" w:eastAsia="宋体" w:cs="Times New Roman"/>
                <w:caps/>
                <w:sz w:val="21"/>
                <w:szCs w:val="21"/>
              </w:rPr>
              <w:t>污染防控分区</w:t>
            </w:r>
          </w:p>
        </w:tc>
        <w:tc>
          <w:tcPr>
            <w:tcW w:w="2136" w:type="dxa"/>
            <w:tcBorders>
              <w:tl2br w:val="nil"/>
              <w:tr2bl w:val="nil"/>
            </w:tcBorders>
            <w:shd w:val="clear" w:color="auto" w:fill="auto"/>
            <w:vAlign w:val="center"/>
          </w:tcPr>
          <w:p>
            <w:pPr>
              <w:jc w:val="center"/>
              <w:rPr>
                <w:rFonts w:hint="default" w:ascii="Times New Roman" w:hAnsi="Times New Roman" w:eastAsia="宋体" w:cs="Times New Roman"/>
                <w:caps/>
                <w:sz w:val="21"/>
                <w:szCs w:val="21"/>
              </w:rPr>
            </w:pPr>
            <w:r>
              <w:rPr>
                <w:rFonts w:hint="default" w:ascii="Times New Roman" w:hAnsi="Times New Roman" w:eastAsia="宋体" w:cs="Times New Roman"/>
                <w:caps/>
                <w:sz w:val="21"/>
                <w:szCs w:val="21"/>
              </w:rPr>
              <w:t>生产装置、单元名称</w:t>
            </w:r>
          </w:p>
        </w:tc>
        <w:tc>
          <w:tcPr>
            <w:tcW w:w="1003" w:type="dxa"/>
            <w:tcBorders>
              <w:tl2br w:val="nil"/>
              <w:tr2bl w:val="nil"/>
            </w:tcBorders>
            <w:shd w:val="clear" w:color="auto" w:fill="auto"/>
            <w:vAlign w:val="center"/>
          </w:tcPr>
          <w:p>
            <w:pPr>
              <w:jc w:val="center"/>
              <w:rPr>
                <w:rFonts w:hint="default" w:ascii="Times New Roman" w:hAnsi="Times New Roman" w:eastAsia="宋体" w:cs="Times New Roman"/>
                <w:caps/>
                <w:sz w:val="21"/>
                <w:szCs w:val="21"/>
              </w:rPr>
            </w:pPr>
            <w:r>
              <w:rPr>
                <w:rFonts w:hint="default" w:ascii="Times New Roman" w:hAnsi="Times New Roman" w:eastAsia="宋体" w:cs="Times New Roman"/>
                <w:caps/>
                <w:sz w:val="21"/>
                <w:szCs w:val="21"/>
              </w:rPr>
              <w:t>污染防控区域及部位</w:t>
            </w:r>
          </w:p>
        </w:tc>
        <w:tc>
          <w:tcPr>
            <w:tcW w:w="4150" w:type="dxa"/>
            <w:gridSpan w:val="2"/>
            <w:tcBorders>
              <w:tl2br w:val="nil"/>
              <w:tr2bl w:val="nil"/>
            </w:tcBorders>
            <w:shd w:val="clear" w:color="auto" w:fill="auto"/>
            <w:vAlign w:val="center"/>
          </w:tcPr>
          <w:p>
            <w:pPr>
              <w:jc w:val="center"/>
              <w:rPr>
                <w:rFonts w:hint="default" w:ascii="Times New Roman" w:hAnsi="Times New Roman" w:eastAsia="宋体" w:cs="Times New Roman"/>
                <w:caps/>
                <w:sz w:val="21"/>
                <w:szCs w:val="21"/>
              </w:rPr>
            </w:pPr>
            <w:r>
              <w:rPr>
                <w:rFonts w:hint="default" w:ascii="Times New Roman" w:hAnsi="Times New Roman" w:eastAsia="宋体" w:cs="Times New Roman"/>
                <w:caps/>
                <w:sz w:val="21"/>
                <w:szCs w:val="21"/>
              </w:rPr>
              <w:t>防渗要求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808"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一般防渗区</w:t>
            </w:r>
          </w:p>
        </w:tc>
        <w:tc>
          <w:tcPr>
            <w:tcW w:w="2136"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车间等</w:t>
            </w:r>
          </w:p>
        </w:tc>
        <w:tc>
          <w:tcPr>
            <w:tcW w:w="1003"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地面及防火堤</w:t>
            </w:r>
          </w:p>
        </w:tc>
        <w:tc>
          <w:tcPr>
            <w:tcW w:w="1321"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防渗性能不应低于1.5m厚渗透系数为1.0×10</w:t>
            </w:r>
            <w:r>
              <w:rPr>
                <w:rFonts w:hint="default" w:ascii="Times New Roman" w:hAnsi="Times New Roman" w:eastAsia="宋体" w:cs="Times New Roman"/>
                <w:sz w:val="21"/>
                <w:szCs w:val="21"/>
                <w:vertAlign w:val="superscript"/>
              </w:rPr>
              <w:t>-7</w:t>
            </w:r>
            <w:r>
              <w:rPr>
                <w:rFonts w:hint="default" w:ascii="Times New Roman" w:hAnsi="Times New Roman" w:eastAsia="宋体" w:cs="Times New Roman"/>
                <w:sz w:val="21"/>
                <w:szCs w:val="21"/>
              </w:rPr>
              <w:t>cm/s的粘土层的防渗性能。</w:t>
            </w:r>
          </w:p>
        </w:tc>
        <w:tc>
          <w:tcPr>
            <w:tcW w:w="2829"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宜采用抗渗钢筋混凝土，抗渗等级不宜低于P6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808" w:type="dxa"/>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重点防渗区</w:t>
            </w:r>
          </w:p>
        </w:tc>
        <w:tc>
          <w:tcPr>
            <w:tcW w:w="2136"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精矿仓、尾矿仓、危废暂存间等</w:t>
            </w:r>
          </w:p>
        </w:tc>
        <w:tc>
          <w:tcPr>
            <w:tcW w:w="1003"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地面及防火堤</w:t>
            </w:r>
          </w:p>
        </w:tc>
        <w:tc>
          <w:tcPr>
            <w:tcW w:w="1321" w:type="dxa"/>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防渗性能不应低于6.0m厚渗透系数为1.0×10</w:t>
            </w:r>
            <w:r>
              <w:rPr>
                <w:rFonts w:hint="default" w:ascii="Times New Roman" w:hAnsi="Times New Roman" w:eastAsia="宋体" w:cs="Times New Roman"/>
                <w:sz w:val="21"/>
                <w:szCs w:val="21"/>
                <w:vertAlign w:val="superscript"/>
              </w:rPr>
              <w:t>-7</w:t>
            </w:r>
            <w:r>
              <w:rPr>
                <w:rFonts w:hint="default" w:ascii="Times New Roman" w:hAnsi="Times New Roman" w:eastAsia="宋体" w:cs="Times New Roman"/>
                <w:sz w:val="21"/>
                <w:szCs w:val="21"/>
              </w:rPr>
              <w:t>cm/s的粘土层的防渗性能。</w:t>
            </w:r>
          </w:p>
        </w:tc>
        <w:tc>
          <w:tcPr>
            <w:tcW w:w="2829" w:type="dxa"/>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内表面应涂刷水泥基渗透结晶型防水涂料，或在混凝土内掺加水泥基渗透结晶型防水剂。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808" w:type="dxa"/>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2136"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埋地池体（</w:t>
            </w:r>
            <w:r>
              <w:rPr>
                <w:rFonts w:hint="default" w:ascii="Times New Roman" w:hAnsi="Times New Roman" w:eastAsia="宋体" w:cs="Times New Roman"/>
                <w:sz w:val="21"/>
                <w:szCs w:val="21"/>
                <w:lang w:eastAsia="zh-CN"/>
              </w:rPr>
              <w:t>浓密罐</w:t>
            </w:r>
            <w:r>
              <w:rPr>
                <w:rFonts w:hint="default" w:ascii="Times New Roman" w:hAnsi="Times New Roman" w:eastAsia="宋体" w:cs="Times New Roman"/>
                <w:sz w:val="21"/>
                <w:szCs w:val="21"/>
              </w:rPr>
              <w:t>、事故池）</w:t>
            </w:r>
          </w:p>
        </w:tc>
        <w:tc>
          <w:tcPr>
            <w:tcW w:w="1003"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底板及壁板</w:t>
            </w:r>
          </w:p>
        </w:tc>
        <w:tc>
          <w:tcPr>
            <w:tcW w:w="1321" w:type="dxa"/>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2829" w:type="dxa"/>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808" w:type="dxa"/>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2136"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污水（初期雨水）等的地下管道</w:t>
            </w:r>
          </w:p>
        </w:tc>
        <w:tc>
          <w:tcPr>
            <w:tcW w:w="1003"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地下管道</w:t>
            </w:r>
          </w:p>
        </w:tc>
        <w:tc>
          <w:tcPr>
            <w:tcW w:w="1321" w:type="dxa"/>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2829"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三级地管应采用钢制管道；一级、二级地管宜采用钢制管道。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808"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简单防渗区</w:t>
            </w:r>
          </w:p>
        </w:tc>
        <w:tc>
          <w:tcPr>
            <w:tcW w:w="2136"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厂区道路、办公区、绿化带、变配电站等</w:t>
            </w:r>
          </w:p>
        </w:tc>
        <w:tc>
          <w:tcPr>
            <w:tcW w:w="1003" w:type="dxa"/>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4150" w:type="dxa"/>
            <w:gridSpan w:val="2"/>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为防止污染区的污染物漫流到简单防渗区，需要采取有效的措施，如设置在地势较高处，或设置一定高度的围堰、边沟等</w:t>
            </w:r>
          </w:p>
        </w:tc>
      </w:tr>
    </w:tbl>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一</w:t>
      </w:r>
      <w:r>
        <w:rPr>
          <w:rFonts w:hint="default" w:ascii="Times New Roman" w:hAnsi="Times New Roman" w:eastAsia="宋体" w:cs="Times New Roman"/>
          <w:color w:val="auto"/>
          <w:sz w:val="24"/>
          <w:szCs w:val="24"/>
          <w:highlight w:val="none"/>
        </w:rPr>
        <w:t>、一般防渗区</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一般防渗区是对地下水环境有污染的物料或污染物泄漏后，可及时发现和处理的区域。一般防渗区包括</w:t>
      </w:r>
      <w:r>
        <w:rPr>
          <w:rFonts w:hint="default" w:ascii="Times New Roman" w:hAnsi="Times New Roman" w:eastAsia="宋体" w:cs="Times New Roman"/>
          <w:color w:val="auto"/>
          <w:sz w:val="24"/>
          <w:szCs w:val="24"/>
          <w:highlight w:val="none"/>
          <w:lang w:eastAsia="zh-CN"/>
        </w:rPr>
        <w:t>生产</w:t>
      </w:r>
      <w:r>
        <w:rPr>
          <w:rFonts w:hint="default" w:ascii="Times New Roman" w:hAnsi="Times New Roman" w:eastAsia="宋体" w:cs="Times New Roman"/>
          <w:color w:val="auto"/>
          <w:sz w:val="24"/>
          <w:szCs w:val="24"/>
          <w:highlight w:val="none"/>
        </w:rPr>
        <w:t>车间的地面等。</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一般防渗区的防渗要求：</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参照《环境影响评价技术导则 地下水环境》（HJ610-2016），防渗性能不应低于1.5m厚渗透系数为1.0×10-7cm/s的粘土层的防渗性能。</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地面防渗层可采用粘土、抗渗混凝土、高密度聚乙烯(HDPE) 膜、钠基膨润土防水毯或其他防渗性能等效的材料：</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（1）采用粘土防渗层时防渗层顶面宜采用混凝土地面或设置厚度不小于200mm的砂石层；</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（2）采用混凝土防渗层时混凝土的强度等级不应低于C25，抗渗等级不应低于P6，厚度不应小于100mm；</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采用高密度聚乙烯(HDPE)膜防渗层，厚度不宜小于1.50mm，埋深不宜小于300mm。膜上、膜下应设置保护层，保护层可采用长丝无纺土工布，膜下保护层也可采用不含尖锐颗粒的砂层，厚度不宜小于l00mm。膜上保护层以上应设置砂石层，厚度不宜小于200mm。</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一般污染防治区的典型防渗结构见图</w:t>
      </w:r>
      <w:r>
        <w:rPr>
          <w:rFonts w:hint="default" w:ascii="Times New Roman" w:hAnsi="Times New Roman" w:eastAsia="宋体" w:cs="Times New Roman"/>
          <w:color w:val="auto"/>
          <w:sz w:val="24"/>
          <w:szCs w:val="24"/>
          <w:highlight w:val="none"/>
          <w:lang w:val="en-US" w:eastAsia="zh-CN"/>
        </w:rPr>
        <w:t>6.2-2</w:t>
      </w:r>
      <w:r>
        <w:rPr>
          <w:rFonts w:hint="default" w:ascii="Times New Roman" w:hAnsi="Times New Roman" w:eastAsia="宋体" w:cs="Times New Roman"/>
          <w:color w:val="auto"/>
          <w:sz w:val="24"/>
          <w:szCs w:val="24"/>
          <w:highlight w:val="none"/>
        </w:rPr>
        <w:t>。</w:t>
      </w:r>
    </w:p>
    <w:p>
      <w:pPr>
        <w:bidi w:val="0"/>
        <w:spacing w:line="36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2629535" cy="1983740"/>
            <wp:effectExtent l="0" t="0" r="0" b="12700"/>
            <wp:docPr id="11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4"/>
                    <pic:cNvPicPr>
                      <a:picLocks noChangeAspect="1"/>
                    </pic:cNvPicPr>
                  </pic:nvPicPr>
                  <pic:blipFill>
                    <a:blip r:embed="rId105"/>
                    <a:srcRect l="38393" t="36133" r="37646" b="34518"/>
                    <a:stretch>
                      <a:fillRect/>
                    </a:stretch>
                  </pic:blipFill>
                  <pic:spPr>
                    <a:xfrm>
                      <a:off x="0" y="0"/>
                      <a:ext cx="2629535" cy="1983740"/>
                    </a:xfrm>
                    <a:prstGeom prst="rect">
                      <a:avLst/>
                    </a:prstGeom>
                    <a:noFill/>
                    <a:ln>
                      <a:noFill/>
                    </a:ln>
                  </pic:spPr>
                </pic:pic>
              </a:graphicData>
            </a:graphic>
          </wp:inline>
        </w:drawing>
      </w:r>
    </w:p>
    <w:p>
      <w:pPr>
        <w:bidi w:val="0"/>
        <w:spacing w:line="360" w:lineRule="auto"/>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6.2-2</w:t>
      </w:r>
      <w:r>
        <w:rPr>
          <w:rFonts w:hint="default" w:ascii="Times New Roman" w:hAnsi="Times New Roman" w:eastAsia="宋体" w:cs="Times New Roman"/>
          <w:b/>
          <w:bCs/>
          <w:color w:val="auto"/>
          <w:sz w:val="24"/>
          <w:szCs w:val="24"/>
          <w:highlight w:val="none"/>
        </w:rPr>
        <w:t xml:space="preserve">  一般污染防治区典型防渗结构示意图</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二</w:t>
      </w:r>
      <w:r>
        <w:rPr>
          <w:rFonts w:hint="default" w:ascii="Times New Roman" w:hAnsi="Times New Roman" w:eastAsia="宋体" w:cs="Times New Roman"/>
          <w:color w:val="auto"/>
          <w:sz w:val="24"/>
          <w:szCs w:val="24"/>
          <w:highlight w:val="none"/>
        </w:rPr>
        <w:t>、重点防渗区</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重点污染防治区指位于地下或半地下的生产功能单元，污染地下水环境的物料泄漏不容易及时发现和处理的区域，主要为精矿仓、尾矿仓、危废暂存间</w:t>
      </w:r>
      <w:r>
        <w:rPr>
          <w:rFonts w:hint="default" w:ascii="Times New Roman" w:hAnsi="Times New Roman" w:eastAsia="宋体" w:cs="Times New Roman"/>
          <w:color w:val="auto"/>
          <w:sz w:val="24"/>
          <w:szCs w:val="24"/>
          <w:highlight w:val="none"/>
          <w:lang w:eastAsia="zh-CN"/>
        </w:rPr>
        <w:t>、浓密罐、事故池、地下管道</w:t>
      </w:r>
      <w:r>
        <w:rPr>
          <w:rFonts w:hint="default" w:ascii="Times New Roman" w:hAnsi="Times New Roman" w:eastAsia="宋体" w:cs="Times New Roman"/>
          <w:color w:val="auto"/>
          <w:sz w:val="24"/>
          <w:szCs w:val="24"/>
          <w:highlight w:val="none"/>
        </w:rPr>
        <w:t>。</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重点防渗区防渗层的防渗参照《环境影响评价技术导则 地下水环境》（HJ610-2016），防渗性能不应低于6.0m厚渗透系数为1.0×10-7cm/s的粘土层的防渗性能。</w:t>
      </w:r>
    </w:p>
    <w:p>
      <w:pPr>
        <w:bidi w:val="0"/>
        <w:spacing w:line="36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2867660" cy="2066925"/>
            <wp:effectExtent l="0" t="0" r="0" b="5715"/>
            <wp:docPr id="8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5"/>
                    <pic:cNvPicPr>
                      <a:picLocks noChangeAspect="1"/>
                    </pic:cNvPicPr>
                  </pic:nvPicPr>
                  <pic:blipFill>
                    <a:blip r:embed="rId106"/>
                    <a:srcRect l="36386" t="37796" r="40779" b="30855"/>
                    <a:stretch>
                      <a:fillRect/>
                    </a:stretch>
                  </pic:blipFill>
                  <pic:spPr>
                    <a:xfrm>
                      <a:off x="0" y="0"/>
                      <a:ext cx="2867660" cy="2066925"/>
                    </a:xfrm>
                    <a:prstGeom prst="rect">
                      <a:avLst/>
                    </a:prstGeom>
                    <a:noFill/>
                    <a:ln>
                      <a:noFill/>
                    </a:ln>
                  </pic:spPr>
                </pic:pic>
              </a:graphicData>
            </a:graphic>
          </wp:inline>
        </w:drawing>
      </w:r>
    </w:p>
    <w:p>
      <w:pPr>
        <w:bidi w:val="0"/>
        <w:spacing w:line="360" w:lineRule="auto"/>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6.2-3</w:t>
      </w:r>
      <w:r>
        <w:rPr>
          <w:rFonts w:hint="default" w:ascii="Times New Roman" w:hAnsi="Times New Roman" w:eastAsia="宋体" w:cs="Times New Roman"/>
          <w:b/>
          <w:bCs/>
          <w:color w:val="auto"/>
          <w:sz w:val="24"/>
          <w:szCs w:val="24"/>
          <w:highlight w:val="none"/>
        </w:rPr>
        <w:t xml:space="preserve">  重点污染防治区典型防渗结构示意图</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罐基础的防渗应符合下述要求：</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（1）高密度聚乙烯(HDPE)膜的厚度不宜小于1.50mm；</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（2）膜上、膜下应设置保护层，保护层可采用长丝无纺土工布，膜下保护层也可采用不含尖锐颗粒的砂层，砂层厚度不应小于l00mm；</w:t>
      </w:r>
    </w:p>
    <w:p>
      <w:pPr>
        <w:bidi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（3）高密度聚乙烯(HDPE) 膜铺设应由中心坡向四周，坡度不宜小于1.5%</w:t>
      </w:r>
      <w:r>
        <w:rPr>
          <w:rFonts w:hint="default" w:ascii="Times New Roman" w:hAnsi="Times New Roman" w:eastAsia="宋体" w:cs="Times New Roman"/>
          <w:color w:val="auto"/>
          <w:sz w:val="24"/>
          <w:szCs w:val="24"/>
          <w:highlight w:val="none"/>
          <w:lang w:eastAsia="zh-CN"/>
        </w:rPr>
        <w:t>；</w:t>
      </w:r>
    </w:p>
    <w:p>
      <w:pPr>
        <w:bidi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（4）罐基础环墙周边泄漏管宜采用高密度聚乙烯（HDPE) 管</w:t>
      </w:r>
      <w:r>
        <w:rPr>
          <w:rFonts w:hint="default" w:ascii="Times New Roman" w:hAnsi="Times New Roman" w:eastAsia="宋体" w:cs="Times New Roman"/>
          <w:color w:val="auto"/>
          <w:sz w:val="24"/>
          <w:szCs w:val="24"/>
          <w:highlight w:val="none"/>
          <w:lang w:eastAsia="zh-CN"/>
        </w:rPr>
        <w:t>；</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当泄漏管低于地面标高时，泄漏管对应位置处应设置检漏井，检漏井顶部应设置活动防雨钢盖板。检漏井应采用抗渗钢筋混凝土，强度等级不宜低于C30，抗渗等级不宜低于P8。检漏井壁和夜工板厚度不宜小于100mm。</w:t>
      </w:r>
    </w:p>
    <w:p>
      <w:pPr>
        <w:bidi w:val="0"/>
        <w:spacing w:line="36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3686175" cy="2200275"/>
            <wp:effectExtent l="0" t="0" r="1905" b="9525"/>
            <wp:docPr id="16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6"/>
                    <pic:cNvPicPr>
                      <a:picLocks noChangeAspect="1"/>
                    </pic:cNvPicPr>
                  </pic:nvPicPr>
                  <pic:blipFill>
                    <a:blip r:embed="rId107"/>
                    <a:srcRect t="6097"/>
                    <a:stretch>
                      <a:fillRect/>
                    </a:stretch>
                  </pic:blipFill>
                  <pic:spPr>
                    <a:xfrm>
                      <a:off x="0" y="0"/>
                      <a:ext cx="3686175" cy="2200275"/>
                    </a:xfrm>
                    <a:prstGeom prst="rect">
                      <a:avLst/>
                    </a:prstGeom>
                    <a:noFill/>
                    <a:ln>
                      <a:noFill/>
                    </a:ln>
                  </pic:spPr>
                </pic:pic>
              </a:graphicData>
            </a:graphic>
          </wp:inline>
        </w:drawing>
      </w:r>
    </w:p>
    <w:p>
      <w:pPr>
        <w:bidi w:val="0"/>
        <w:spacing w:line="360" w:lineRule="auto"/>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6.2-4</w:t>
      </w:r>
      <w:r>
        <w:rPr>
          <w:rFonts w:hint="default" w:ascii="Times New Roman" w:hAnsi="Times New Roman" w:eastAsia="宋体" w:cs="Times New Roman"/>
          <w:b/>
          <w:bCs/>
          <w:color w:val="auto"/>
          <w:sz w:val="24"/>
          <w:szCs w:val="24"/>
          <w:highlight w:val="none"/>
        </w:rPr>
        <w:t xml:space="preserve">  罐基础高密度聚乙烯(HDPE)膜防渗层示意图</w:t>
      </w:r>
    </w:p>
    <w:p>
      <w:pPr>
        <w:bidi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1-罐基础填料层或原土夯实；2-膜下保护层；3-高密度聚乙烯（HDPE）膜；4-膜上保护层；5-砂垫层；6-沥青砂绝缘层；7-环墙基础</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地下管道</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各装置单元内部的地下污水或污染物料管道（三级地管）应采用钢制管道；各装置单元与单元污水池、地下溶剂罐等相边的地下管道（二级地管）以及收集各装置单元污水并送往污水处理场所的地下管道（一级地管）宜采用钢制管道。</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（2）当管道公称直径不大于500 mm时，应采用无缝钢管；当管道公称直径大于500mm时，宜采用直缝埋弧焊焊接钢管，焊缝应进行100% 射线探伤。管道设计壁厚的腐蚀余量不应小于2mm或采用管道内防腐。管道的外防腐等级应采用特加强级。管道的连接方式应采用焊接。</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（3）当一级地管、二级地管采用非钢制金属管道时， 宜采用高密度聚乙烯(HDPE) 膜防渗层，也可采用抗渗钢筋混凝土管沟或套管。</w:t>
      </w:r>
    </w:p>
    <w:p>
      <w:pPr>
        <w:bidi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（4）地下管道的高密度聚乙烯(HDPE)膜防渗层（图5-6）应符合下列规定：</w:t>
      </w:r>
    </w:p>
    <w:p>
      <w:pPr>
        <w:bidi w:val="0"/>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高密度聚乙烯（HDPE)膜厚度不宜小于1.50 mm，膜两侧应设置保护层，保护层宜采用长丝无纺土工布。</w:t>
      </w:r>
    </w:p>
    <w:p>
      <w:pPr>
        <w:bidi w:val="0"/>
        <w:spacing w:line="36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3438525" cy="2447925"/>
            <wp:effectExtent l="0" t="0" r="5715" b="5715"/>
            <wp:docPr id="16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8"/>
                    <pic:cNvPicPr>
                      <a:picLocks noChangeAspect="1"/>
                    </pic:cNvPicPr>
                  </pic:nvPicPr>
                  <pic:blipFill>
                    <a:blip r:embed="rId108"/>
                    <a:stretch>
                      <a:fillRect/>
                    </a:stretch>
                  </pic:blipFill>
                  <pic:spPr>
                    <a:xfrm>
                      <a:off x="0" y="0"/>
                      <a:ext cx="3438525" cy="2447925"/>
                    </a:xfrm>
                    <a:prstGeom prst="rect">
                      <a:avLst/>
                    </a:prstGeom>
                    <a:noFill/>
                    <a:ln>
                      <a:noFill/>
                    </a:ln>
                  </pic:spPr>
                </pic:pic>
              </a:graphicData>
            </a:graphic>
          </wp:inline>
        </w:drawing>
      </w:r>
    </w:p>
    <w:p>
      <w:pPr>
        <w:bidi w:val="0"/>
        <w:spacing w:line="360" w:lineRule="auto"/>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6.2-5</w:t>
      </w:r>
      <w:r>
        <w:rPr>
          <w:rFonts w:hint="default" w:ascii="Times New Roman" w:hAnsi="Times New Roman" w:eastAsia="宋体" w:cs="Times New Roman"/>
          <w:b/>
          <w:bCs/>
          <w:color w:val="auto"/>
          <w:sz w:val="24"/>
          <w:szCs w:val="24"/>
          <w:highlight w:val="none"/>
        </w:rPr>
        <w:t xml:space="preserve">  地下污水管道管沟防渗层示意图</w:t>
      </w:r>
    </w:p>
    <w:p>
      <w:pPr>
        <w:bidi w:val="0"/>
        <w:spacing w:line="360" w:lineRule="auto"/>
        <w:jc w:val="center"/>
        <w:rPr>
          <w:rFonts w:hint="default" w:ascii="Times New Roman" w:hAnsi="Times New Roman" w:eastAsia="宋体" w:cs="Times New Roman"/>
          <w:color w:val="auto"/>
          <w:sz w:val="21"/>
          <w:szCs w:val="21"/>
          <w:highlight w:val="none"/>
          <w:lang w:val="sq-AL"/>
        </w:rPr>
      </w:pPr>
      <w:r>
        <w:rPr>
          <w:rFonts w:hint="default" w:ascii="Times New Roman" w:hAnsi="Times New Roman" w:eastAsia="宋体" w:cs="Times New Roman"/>
          <w:color w:val="auto"/>
          <w:sz w:val="21"/>
          <w:szCs w:val="21"/>
          <w:highlight w:val="none"/>
          <w:lang w:val="sq-AL"/>
        </w:rPr>
        <w:t>1-地基土；2-混凝土垫层；3-钢筋混凝土底板；4-砂石垫层；</w:t>
      </w:r>
    </w:p>
    <w:p>
      <w:pPr>
        <w:bidi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sq-AL"/>
        </w:rPr>
        <w:t>5-中粗砂层；6-中粗砂回填层；7-管沟顶板</w:t>
      </w:r>
    </w:p>
    <w:p>
      <w:pPr>
        <w:pStyle w:val="107"/>
        <w:spacing w:beforeLines="50" w:line="360" w:lineRule="auto"/>
        <w:ind w:left="0" w:leftChars="0" w:firstLine="480" w:firstLineChars="200"/>
        <w:rPr>
          <w:rFonts w:hint="default" w:ascii="Times New Roman" w:hAnsi="Times New Roman" w:eastAsia="宋体" w:cs="Times New Roman"/>
          <w:b w:val="0"/>
          <w:bCs/>
          <w:sz w:val="24"/>
        </w:rPr>
      </w:pPr>
      <w:r>
        <w:rPr>
          <w:rFonts w:hint="default" w:ascii="Times New Roman" w:hAnsi="Times New Roman" w:eastAsia="宋体" w:cs="Times New Roman"/>
          <w:b w:val="0"/>
          <w:bCs/>
          <w:sz w:val="24"/>
        </w:rPr>
        <w:t>危废贮存设施管理要求</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①</w:t>
      </w:r>
      <w:r>
        <w:rPr>
          <w:rFonts w:hint="default" w:ascii="Times New Roman" w:hAnsi="Times New Roman" w:eastAsia="宋体" w:cs="Times New Roman"/>
          <w:sz w:val="24"/>
        </w:rPr>
        <w:t>危险废物贮存设施的设计原则</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1）</w:t>
      </w:r>
      <w:r>
        <w:rPr>
          <w:rFonts w:hint="default" w:ascii="Times New Roman" w:hAnsi="Times New Roman" w:eastAsia="宋体" w:cs="Times New Roman"/>
          <w:sz w:val="24"/>
        </w:rPr>
        <w:t>地面与裙脚要用坚固、防渗的材料建造，建材必须与危险废物相容。</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2）</w:t>
      </w:r>
      <w:r>
        <w:rPr>
          <w:rFonts w:hint="default" w:ascii="Times New Roman" w:hAnsi="Times New Roman" w:eastAsia="宋体" w:cs="Times New Roman"/>
          <w:sz w:val="24"/>
        </w:rPr>
        <w:t>设施内要有安全照明设施和观察窗口。</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3）</w:t>
      </w:r>
      <w:r>
        <w:rPr>
          <w:rFonts w:hint="default" w:ascii="Times New Roman" w:hAnsi="Times New Roman" w:eastAsia="宋体" w:cs="Times New Roman"/>
          <w:sz w:val="24"/>
        </w:rPr>
        <w:t>用以存放装载液体、半固体危险废物容器的地方，必须有耐腐蚀的硬化地面，且表面无裂隙。</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4）</w:t>
      </w:r>
      <w:r>
        <w:rPr>
          <w:rFonts w:hint="default" w:ascii="Times New Roman" w:hAnsi="Times New Roman" w:eastAsia="宋体" w:cs="Times New Roman"/>
          <w:sz w:val="24"/>
        </w:rPr>
        <w:t>应设计堵截泄漏的裙脚，地面与裙脚所围建的容积不低于堵截最大容器的最大储量或总储量的1/5。</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5）</w:t>
      </w:r>
      <w:r>
        <w:rPr>
          <w:rFonts w:hint="default" w:ascii="Times New Roman" w:hAnsi="Times New Roman" w:eastAsia="宋体" w:cs="Times New Roman"/>
          <w:sz w:val="24"/>
        </w:rPr>
        <w:t>不相容的危险废物必须分开存放，并设有隔离间隔断。</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②</w:t>
      </w:r>
      <w:r>
        <w:rPr>
          <w:rFonts w:hint="default" w:ascii="Times New Roman" w:hAnsi="Times New Roman" w:eastAsia="宋体" w:cs="Times New Roman"/>
          <w:sz w:val="24"/>
        </w:rPr>
        <w:t>危险废物贮存设施的运行与管理</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1）</w:t>
      </w:r>
      <w:r>
        <w:rPr>
          <w:rFonts w:hint="default" w:ascii="Times New Roman" w:hAnsi="Times New Roman" w:eastAsia="宋体" w:cs="Times New Roman"/>
          <w:sz w:val="24"/>
        </w:rPr>
        <w:t>危险废物贮存前应进行检验，确保同预定接收的危险废物一致，并登记注册。</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2）</w:t>
      </w:r>
      <w:r>
        <w:rPr>
          <w:rFonts w:hint="default" w:ascii="Times New Roman" w:hAnsi="Times New Roman" w:eastAsia="宋体" w:cs="Times New Roman"/>
          <w:sz w:val="24"/>
        </w:rPr>
        <w:t>按规定的标签填写的危险废物。</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3）</w:t>
      </w:r>
      <w:r>
        <w:rPr>
          <w:rFonts w:hint="default" w:ascii="Times New Roman" w:hAnsi="Times New Roman" w:eastAsia="宋体" w:cs="Times New Roman"/>
          <w:sz w:val="24"/>
        </w:rPr>
        <w:t>盛装在容器内的同类危险废物可以堆叠存放。</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4）</w:t>
      </w:r>
      <w:r>
        <w:rPr>
          <w:rFonts w:hint="default" w:ascii="Times New Roman" w:hAnsi="Times New Roman" w:eastAsia="宋体" w:cs="Times New Roman"/>
          <w:sz w:val="24"/>
        </w:rPr>
        <w:t>每个堆间应留有搬运通道。</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5）</w:t>
      </w:r>
      <w:r>
        <w:rPr>
          <w:rFonts w:hint="default" w:ascii="Times New Roman" w:hAnsi="Times New Roman" w:eastAsia="宋体" w:cs="Times New Roman"/>
          <w:sz w:val="24"/>
        </w:rPr>
        <w:t>不得将不相容的废物混合或合并存放。</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6）</w:t>
      </w:r>
      <w:r>
        <w:rPr>
          <w:rFonts w:hint="default" w:ascii="Times New Roman" w:hAnsi="Times New Roman" w:eastAsia="宋体" w:cs="Times New Roman"/>
          <w:sz w:val="24"/>
        </w:rPr>
        <w:t>作好危险废物情况的记录，记录上须注明危险废物的名称、来源、数量、特性和包装容器的类别、入库日期、存放库位、废物出库日期及接收单位名称。</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7）</w:t>
      </w:r>
      <w:r>
        <w:rPr>
          <w:rFonts w:hint="default" w:ascii="Times New Roman" w:hAnsi="Times New Roman" w:eastAsia="宋体" w:cs="Times New Roman"/>
          <w:sz w:val="24"/>
        </w:rPr>
        <w:t>危险废物的记录和货单在危险废物回取后应继续保留3a。</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8）</w:t>
      </w:r>
      <w:r>
        <w:rPr>
          <w:rFonts w:hint="default" w:ascii="Times New Roman" w:hAnsi="Times New Roman" w:eastAsia="宋体" w:cs="Times New Roman"/>
          <w:sz w:val="24"/>
        </w:rPr>
        <w:t>必须定期对所贮存的危险废物包装容器及贮存设施进行检查，发现破损，应及时采取措施清理更换。</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③</w:t>
      </w:r>
      <w:r>
        <w:rPr>
          <w:rFonts w:hint="default" w:ascii="Times New Roman" w:hAnsi="Times New Roman" w:eastAsia="宋体" w:cs="Times New Roman"/>
          <w:sz w:val="24"/>
        </w:rPr>
        <w:t>危险废物贮存设施的安全防护</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1）</w:t>
      </w:r>
      <w:r>
        <w:rPr>
          <w:rFonts w:hint="default" w:ascii="Times New Roman" w:hAnsi="Times New Roman" w:eastAsia="宋体" w:cs="Times New Roman"/>
          <w:sz w:val="24"/>
        </w:rPr>
        <w:t>危险废物贮存设施都必须按GB15562.2的规定设置警示标志。</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2）</w:t>
      </w:r>
      <w:r>
        <w:rPr>
          <w:rFonts w:hint="default" w:ascii="Times New Roman" w:hAnsi="Times New Roman" w:eastAsia="宋体" w:cs="Times New Roman"/>
          <w:sz w:val="24"/>
        </w:rPr>
        <w:t>危险废物贮存设施周围应设置围墙或其他防护栅栏。</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3）</w:t>
      </w:r>
      <w:r>
        <w:rPr>
          <w:rFonts w:hint="default" w:ascii="Times New Roman" w:hAnsi="Times New Roman" w:eastAsia="宋体" w:cs="Times New Roman"/>
          <w:sz w:val="24"/>
        </w:rPr>
        <w:t>危险废物贮存设施应配备通讯设备、照明设施、安全防护服装及工具，并设有应急防护设施。</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4）</w:t>
      </w:r>
      <w:r>
        <w:rPr>
          <w:rFonts w:hint="default" w:ascii="Times New Roman" w:hAnsi="Times New Roman" w:eastAsia="宋体" w:cs="Times New Roman"/>
          <w:sz w:val="24"/>
        </w:rPr>
        <w:t>危险废物贮存设施内清理出来的泄漏物，一律按危险废物处理。</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5）</w:t>
      </w:r>
      <w:r>
        <w:rPr>
          <w:rFonts w:hint="default" w:ascii="Times New Roman" w:hAnsi="Times New Roman" w:eastAsia="宋体" w:cs="Times New Roman"/>
          <w:sz w:val="24"/>
        </w:rPr>
        <w:t>按国家污染源管理要求对危险废物贮存设施进行监测。</w:t>
      </w:r>
    </w:p>
    <w:p>
      <w:pPr>
        <w:pStyle w:val="107"/>
        <w:spacing w:beforeLines="50" w:line="360" w:lineRule="auto"/>
        <w:ind w:firstLine="480"/>
        <w:rPr>
          <w:rFonts w:hint="default" w:ascii="Times New Roman" w:hAnsi="Times New Roman" w:eastAsia="宋体" w:cs="Times New Roman"/>
          <w:sz w:val="24"/>
        </w:rPr>
      </w:pPr>
      <w:r>
        <w:rPr>
          <w:rFonts w:hint="default" w:ascii="Times New Roman" w:hAnsi="Times New Roman" w:eastAsia="宋体" w:cs="Times New Roman"/>
          <w:sz w:val="24"/>
          <w:lang w:val="en-US"/>
        </w:rPr>
        <w:t>④</w:t>
      </w:r>
      <w:r>
        <w:rPr>
          <w:rFonts w:hint="default" w:ascii="Times New Roman" w:hAnsi="Times New Roman" w:eastAsia="宋体" w:cs="Times New Roman"/>
          <w:sz w:val="24"/>
        </w:rPr>
        <w:t>危险废物临时贮存设施防渗漏措施</w:t>
      </w:r>
    </w:p>
    <w:p>
      <w:pPr>
        <w:spacing w:beforeLines="50" w:line="360" w:lineRule="auto"/>
        <w:ind w:firstLine="480" w:firstLineChars="200"/>
        <w:rPr>
          <w:rFonts w:hint="default" w:ascii="Times New Roman" w:hAnsi="Times New Roman" w:eastAsia="宋体" w:cs="Times New Roman"/>
          <w:b w:val="0"/>
          <w:bCs/>
          <w:color w:val="auto"/>
          <w:sz w:val="24"/>
          <w:szCs w:val="24"/>
          <w:highlight w:val="yellow"/>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sz w:val="24"/>
        </w:rPr>
        <w:t>危险废物临时贮存设施/场所属于重点防治污染区。参照《危险废物贮存污染控制标准》（GB 18597-2001）执行地面防渗设计；要求防渗等级不大于1.0×10</w:t>
      </w:r>
      <w:r>
        <w:rPr>
          <w:rFonts w:hint="default" w:ascii="Times New Roman" w:hAnsi="Times New Roman" w:eastAsia="宋体" w:cs="Times New Roman"/>
          <w:sz w:val="24"/>
          <w:vertAlign w:val="superscript"/>
        </w:rPr>
        <w:t>-12</w:t>
      </w:r>
      <w:r>
        <w:rPr>
          <w:rFonts w:hint="default" w:ascii="Times New Roman" w:hAnsi="Times New Roman" w:eastAsia="宋体" w:cs="Times New Roman"/>
          <w:sz w:val="24"/>
        </w:rPr>
        <w:t>cm/s，可采用现浇防渗钢筋钢纤维混凝土层（渗透系数不大于1.0×10</w:t>
      </w:r>
      <w:r>
        <w:rPr>
          <w:rFonts w:hint="default" w:ascii="Times New Roman" w:hAnsi="Times New Roman" w:eastAsia="宋体" w:cs="Times New Roman"/>
          <w:sz w:val="24"/>
          <w:vertAlign w:val="superscript"/>
        </w:rPr>
        <w:t>-12</w:t>
      </w:r>
      <w:r>
        <w:rPr>
          <w:rFonts w:hint="default" w:ascii="Times New Roman" w:hAnsi="Times New Roman" w:eastAsia="宋体" w:cs="Times New Roman"/>
          <w:sz w:val="24"/>
        </w:rPr>
        <w:t>cm/s）、防渗涂料面层（渗透系数不大于1.0×10</w:t>
      </w:r>
      <w:r>
        <w:rPr>
          <w:rFonts w:hint="default" w:ascii="Times New Roman" w:hAnsi="Times New Roman" w:eastAsia="宋体" w:cs="Times New Roman"/>
          <w:sz w:val="24"/>
          <w:vertAlign w:val="superscript"/>
        </w:rPr>
        <w:t>-12</w:t>
      </w:r>
      <w:r>
        <w:rPr>
          <w:rFonts w:hint="default" w:ascii="Times New Roman" w:hAnsi="Times New Roman" w:eastAsia="宋体" w:cs="Times New Roman"/>
          <w:sz w:val="24"/>
        </w:rPr>
        <w:t>cm/s）。</w:t>
      </w:r>
    </w:p>
    <w:p>
      <w:pPr>
        <w:spacing w:beforeLines="50" w:line="480" w:lineRule="exact"/>
        <w:jc w:val="both"/>
        <w:outlineLvl w:val="1"/>
        <w:rPr>
          <w:rFonts w:hint="default" w:ascii="Times New Roman" w:hAnsi="Times New Roman" w:eastAsia="宋体" w:cs="Times New Roman"/>
          <w:b/>
          <w:color w:val="auto"/>
          <w:sz w:val="24"/>
          <w:szCs w:val="24"/>
          <w:highlight w:val="yellow"/>
          <w:lang w:eastAsia="zh-CN"/>
        </w:rPr>
      </w:pPr>
      <w:bookmarkStart w:id="339" w:name="_Toc26788"/>
      <w:bookmarkStart w:id="340" w:name="_Toc8258"/>
      <w:r>
        <w:rPr>
          <w:rFonts w:hint="default" w:ascii="Times New Roman" w:hAnsi="Times New Roman" w:eastAsia="宋体" w:cs="Times New Roman"/>
          <w:b/>
          <w:color w:val="auto"/>
          <w:sz w:val="24"/>
          <w:szCs w:val="24"/>
          <w:highlight w:val="yellow"/>
          <w:lang w:eastAsia="zh-CN"/>
        </w:rPr>
        <w:drawing>
          <wp:anchor distT="0" distB="0" distL="114300" distR="114300" simplePos="0" relativeHeight="251886592" behindDoc="0" locked="0" layoutInCell="1" allowOverlap="1">
            <wp:simplePos x="0" y="0"/>
            <wp:positionH relativeFrom="column">
              <wp:posOffset>349885</wp:posOffset>
            </wp:positionH>
            <wp:positionV relativeFrom="paragraph">
              <wp:posOffset>152400</wp:posOffset>
            </wp:positionV>
            <wp:extent cx="5272405" cy="7025005"/>
            <wp:effectExtent l="0" t="0" r="635" b="635"/>
            <wp:wrapNone/>
            <wp:docPr id="93" name="图片 93" descr="1638851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1638851458(1)"/>
                    <pic:cNvPicPr>
                      <a:picLocks noChangeAspect="1"/>
                    </pic:cNvPicPr>
                  </pic:nvPicPr>
                  <pic:blipFill>
                    <a:blip r:embed="rId109"/>
                    <a:stretch>
                      <a:fillRect/>
                    </a:stretch>
                  </pic:blipFill>
                  <pic:spPr>
                    <a:xfrm>
                      <a:off x="0" y="0"/>
                      <a:ext cx="5272405" cy="7025005"/>
                    </a:xfrm>
                    <a:prstGeom prst="rect">
                      <a:avLst/>
                    </a:prstGeom>
                  </pic:spPr>
                </pic:pic>
              </a:graphicData>
            </a:graphic>
          </wp:anchor>
        </w:drawing>
      </w:r>
    </w:p>
    <w:p>
      <w:pPr>
        <w:spacing w:beforeLines="50" w:line="480" w:lineRule="exact"/>
        <w:jc w:val="center"/>
        <w:outlineLvl w:val="1"/>
        <w:rPr>
          <w:rFonts w:hint="default" w:ascii="Times New Roman" w:hAnsi="Times New Roman" w:eastAsia="宋体" w:cs="Times New Roman"/>
          <w:b/>
          <w:color w:val="auto"/>
          <w:sz w:val="24"/>
          <w:szCs w:val="24"/>
          <w:highlight w:val="yellow"/>
          <w:lang w:eastAsia="zh-CN"/>
        </w:rPr>
      </w:pPr>
    </w:p>
    <w:p>
      <w:pPr>
        <w:spacing w:beforeLines="50" w:line="480" w:lineRule="exact"/>
        <w:jc w:val="center"/>
        <w:outlineLvl w:val="1"/>
        <w:rPr>
          <w:rFonts w:hint="default" w:ascii="Times New Roman" w:hAnsi="Times New Roman" w:eastAsia="宋体" w:cs="Times New Roman"/>
          <w:b/>
          <w:color w:val="auto"/>
          <w:sz w:val="24"/>
          <w:szCs w:val="24"/>
          <w:highlight w:val="yellow"/>
          <w:lang w:eastAsia="zh-CN"/>
        </w:rPr>
      </w:pPr>
    </w:p>
    <w:p>
      <w:pPr>
        <w:spacing w:beforeLines="50" w:line="480" w:lineRule="exact"/>
        <w:jc w:val="center"/>
        <w:outlineLvl w:val="1"/>
        <w:rPr>
          <w:rFonts w:hint="default" w:ascii="Times New Roman" w:hAnsi="Times New Roman" w:eastAsia="宋体" w:cs="Times New Roman"/>
          <w:b/>
          <w:color w:val="auto"/>
          <w:sz w:val="24"/>
          <w:szCs w:val="24"/>
          <w:highlight w:val="yellow"/>
          <w:lang w:eastAsia="zh-CN"/>
        </w:rPr>
      </w:pPr>
    </w:p>
    <w:p>
      <w:pPr>
        <w:spacing w:beforeLines="50" w:line="480" w:lineRule="exact"/>
        <w:jc w:val="center"/>
        <w:outlineLvl w:val="1"/>
        <w:rPr>
          <w:rFonts w:hint="default" w:ascii="Times New Roman" w:hAnsi="Times New Roman" w:eastAsia="宋体" w:cs="Times New Roman"/>
          <w:b/>
          <w:color w:val="auto"/>
          <w:sz w:val="24"/>
          <w:szCs w:val="24"/>
          <w:highlight w:val="yellow"/>
          <w:lang w:eastAsia="zh-CN"/>
        </w:rPr>
      </w:pPr>
    </w:p>
    <w:p>
      <w:pPr>
        <w:spacing w:beforeLines="50" w:line="480" w:lineRule="exact"/>
        <w:jc w:val="center"/>
        <w:outlineLvl w:val="1"/>
        <w:rPr>
          <w:rFonts w:hint="default" w:ascii="Times New Roman" w:hAnsi="Times New Roman" w:eastAsia="宋体" w:cs="Times New Roman"/>
          <w:b/>
          <w:color w:val="auto"/>
          <w:sz w:val="24"/>
          <w:szCs w:val="24"/>
          <w:highlight w:val="yellow"/>
          <w:lang w:eastAsia="zh-CN"/>
        </w:rPr>
      </w:pPr>
    </w:p>
    <w:p>
      <w:pPr>
        <w:spacing w:beforeLines="50" w:line="480" w:lineRule="exact"/>
        <w:jc w:val="center"/>
        <w:outlineLvl w:val="1"/>
        <w:rPr>
          <w:rFonts w:hint="default" w:ascii="Times New Roman" w:hAnsi="Times New Roman" w:eastAsia="宋体" w:cs="Times New Roman"/>
          <w:b/>
          <w:color w:val="auto"/>
          <w:sz w:val="24"/>
          <w:szCs w:val="24"/>
          <w:highlight w:val="yellow"/>
          <w:lang w:eastAsia="zh-CN"/>
        </w:rPr>
      </w:pPr>
    </w:p>
    <w:p>
      <w:pPr>
        <w:spacing w:beforeLines="50" w:line="480" w:lineRule="exact"/>
        <w:jc w:val="center"/>
        <w:outlineLvl w:val="1"/>
        <w:rPr>
          <w:rFonts w:hint="default" w:ascii="Times New Roman" w:hAnsi="Times New Roman" w:eastAsia="宋体" w:cs="Times New Roman"/>
          <w:b/>
          <w:color w:val="auto"/>
          <w:sz w:val="24"/>
          <w:szCs w:val="24"/>
          <w:highlight w:val="yellow"/>
          <w:lang w:eastAsia="zh-CN"/>
        </w:rPr>
      </w:pPr>
    </w:p>
    <w:p>
      <w:pPr>
        <w:spacing w:beforeLines="50" w:line="480" w:lineRule="exact"/>
        <w:jc w:val="center"/>
        <w:outlineLvl w:val="1"/>
        <w:rPr>
          <w:rFonts w:hint="default" w:ascii="Times New Roman" w:hAnsi="Times New Roman" w:eastAsia="宋体" w:cs="Times New Roman"/>
          <w:b/>
          <w:color w:val="auto"/>
          <w:sz w:val="24"/>
          <w:szCs w:val="24"/>
          <w:highlight w:val="yellow"/>
          <w:lang w:eastAsia="zh-CN"/>
        </w:rPr>
      </w:pPr>
    </w:p>
    <w:p>
      <w:pPr>
        <w:spacing w:beforeLines="50" w:line="480" w:lineRule="exact"/>
        <w:jc w:val="center"/>
        <w:outlineLvl w:val="1"/>
        <w:rPr>
          <w:rFonts w:hint="default" w:ascii="Times New Roman" w:hAnsi="Times New Roman" w:eastAsia="宋体" w:cs="Times New Roman"/>
          <w:b/>
          <w:color w:val="auto"/>
          <w:sz w:val="24"/>
          <w:szCs w:val="24"/>
          <w:highlight w:val="yellow"/>
          <w:lang w:eastAsia="zh-CN"/>
        </w:rPr>
      </w:pPr>
    </w:p>
    <w:p>
      <w:pPr>
        <w:spacing w:beforeLines="50" w:line="480" w:lineRule="exact"/>
        <w:jc w:val="center"/>
        <w:outlineLvl w:val="1"/>
        <w:rPr>
          <w:rFonts w:hint="default" w:ascii="Times New Roman" w:hAnsi="Times New Roman" w:eastAsia="宋体" w:cs="Times New Roman"/>
          <w:b/>
          <w:color w:val="auto"/>
          <w:sz w:val="24"/>
          <w:szCs w:val="24"/>
          <w:highlight w:val="yellow"/>
          <w:lang w:eastAsia="zh-CN"/>
        </w:rPr>
      </w:pPr>
    </w:p>
    <w:p>
      <w:pPr>
        <w:spacing w:beforeLines="50" w:line="480" w:lineRule="exact"/>
        <w:jc w:val="center"/>
        <w:outlineLvl w:val="1"/>
        <w:rPr>
          <w:rFonts w:hint="default" w:ascii="Times New Roman" w:hAnsi="Times New Roman" w:eastAsia="宋体" w:cs="Times New Roman"/>
          <w:b/>
          <w:color w:val="auto"/>
          <w:sz w:val="24"/>
          <w:szCs w:val="24"/>
          <w:highlight w:val="yellow"/>
          <w:lang w:eastAsia="zh-CN"/>
        </w:rPr>
      </w:pPr>
    </w:p>
    <w:p>
      <w:pPr>
        <w:spacing w:beforeLines="50" w:line="480" w:lineRule="exact"/>
        <w:jc w:val="center"/>
        <w:outlineLvl w:val="1"/>
        <w:rPr>
          <w:rFonts w:hint="default" w:ascii="Times New Roman" w:hAnsi="Times New Roman" w:eastAsia="宋体" w:cs="Times New Roman"/>
          <w:b/>
          <w:color w:val="auto"/>
          <w:sz w:val="24"/>
          <w:szCs w:val="24"/>
          <w:highlight w:val="yellow"/>
          <w:lang w:eastAsia="zh-CN"/>
        </w:rPr>
      </w:pPr>
    </w:p>
    <w:p>
      <w:pPr>
        <w:spacing w:beforeLines="50" w:line="480" w:lineRule="exact"/>
        <w:jc w:val="center"/>
        <w:outlineLvl w:val="1"/>
        <w:rPr>
          <w:rFonts w:hint="default" w:ascii="Times New Roman" w:hAnsi="Times New Roman" w:eastAsia="宋体" w:cs="Times New Roman"/>
          <w:b/>
          <w:color w:val="auto"/>
          <w:sz w:val="24"/>
          <w:szCs w:val="24"/>
          <w:highlight w:val="none"/>
          <w:lang w:eastAsia="zh-CN"/>
        </w:rPr>
      </w:pPr>
      <w:bookmarkStart w:id="341" w:name="_Toc2303"/>
      <w:bookmarkStart w:id="342" w:name="_Toc29564"/>
      <w:bookmarkStart w:id="343" w:name="_Toc23096"/>
    </w:p>
    <w:p>
      <w:pPr>
        <w:spacing w:beforeLines="50" w:line="480" w:lineRule="exact"/>
        <w:jc w:val="center"/>
        <w:outlineLvl w:val="1"/>
        <w:rPr>
          <w:rFonts w:hint="default" w:ascii="Times New Roman" w:hAnsi="Times New Roman" w:eastAsia="宋体" w:cs="Times New Roman"/>
          <w:b/>
          <w:color w:val="auto"/>
          <w:sz w:val="24"/>
          <w:szCs w:val="24"/>
          <w:highlight w:val="none"/>
          <w:lang w:eastAsia="zh-CN"/>
        </w:rPr>
      </w:pPr>
    </w:p>
    <w:p>
      <w:pPr>
        <w:spacing w:beforeLines="50" w:line="480" w:lineRule="exact"/>
        <w:jc w:val="center"/>
        <w:outlineLvl w:val="1"/>
        <w:rPr>
          <w:rFonts w:hint="default" w:ascii="Times New Roman" w:hAnsi="Times New Roman" w:eastAsia="宋体" w:cs="Times New Roman"/>
          <w:b/>
          <w:color w:val="auto"/>
          <w:sz w:val="24"/>
          <w:szCs w:val="24"/>
          <w:highlight w:val="none"/>
          <w:lang w:eastAsia="zh-CN"/>
        </w:rPr>
      </w:pPr>
    </w:p>
    <w:p>
      <w:pPr>
        <w:spacing w:beforeLines="50" w:line="480" w:lineRule="exact"/>
        <w:jc w:val="center"/>
        <w:outlineLvl w:val="1"/>
        <w:rPr>
          <w:rFonts w:hint="default" w:ascii="Times New Roman" w:hAnsi="Times New Roman" w:eastAsia="宋体" w:cs="Times New Roman"/>
          <w:b/>
          <w:color w:val="auto"/>
          <w:sz w:val="24"/>
          <w:szCs w:val="24"/>
          <w:highlight w:val="none"/>
          <w:lang w:eastAsia="zh-CN"/>
        </w:rPr>
      </w:pPr>
    </w:p>
    <w:p>
      <w:pPr>
        <w:spacing w:beforeLines="50" w:line="480" w:lineRule="exact"/>
        <w:jc w:val="center"/>
        <w:outlineLvl w:val="1"/>
        <w:rPr>
          <w:rFonts w:hint="default" w:ascii="Times New Roman" w:hAnsi="Times New Roman" w:eastAsia="宋体" w:cs="Times New Roman"/>
          <w:b/>
          <w:color w:val="auto"/>
          <w:sz w:val="24"/>
          <w:szCs w:val="24"/>
          <w:highlight w:val="none"/>
          <w:lang w:eastAsia="zh-CN"/>
        </w:rPr>
      </w:pPr>
    </w:p>
    <w:p>
      <w:pPr>
        <w:spacing w:beforeLines="50" w:line="480" w:lineRule="exact"/>
        <w:jc w:val="both"/>
        <w:outlineLvl w:val="1"/>
        <w:rPr>
          <w:rFonts w:hint="default" w:ascii="Times New Roman" w:hAnsi="Times New Roman" w:eastAsia="宋体" w:cs="Times New Roman"/>
          <w:b/>
          <w:color w:val="auto"/>
          <w:sz w:val="24"/>
          <w:szCs w:val="24"/>
          <w:highlight w:val="none"/>
          <w:lang w:eastAsia="zh-CN"/>
        </w:rPr>
      </w:pPr>
    </w:p>
    <w:p>
      <w:pPr>
        <w:spacing w:beforeLines="50" w:line="480" w:lineRule="exact"/>
        <w:jc w:val="both"/>
        <w:outlineLvl w:val="1"/>
        <w:rPr>
          <w:rFonts w:hint="default" w:ascii="Times New Roman" w:hAnsi="Times New Roman" w:eastAsia="宋体" w:cs="Times New Roman"/>
          <w:b/>
          <w:color w:val="auto"/>
          <w:sz w:val="24"/>
          <w:szCs w:val="24"/>
          <w:highlight w:val="none"/>
          <w:lang w:eastAsia="zh-CN"/>
        </w:rPr>
      </w:pPr>
    </w:p>
    <w:p>
      <w:pPr>
        <w:spacing w:beforeLines="50" w:line="480" w:lineRule="exact"/>
        <w:jc w:val="center"/>
        <w:outlineLvl w:val="1"/>
        <w:rPr>
          <w:rFonts w:hint="default" w:ascii="Times New Roman" w:hAnsi="Times New Roman" w:eastAsia="宋体" w:cs="Times New Roman"/>
          <w:b/>
          <w:color w:val="auto"/>
          <w:sz w:val="24"/>
          <w:szCs w:val="24"/>
          <w:highlight w:val="none"/>
          <w:lang w:val="en-US" w:eastAsia="zh-CN"/>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color w:val="auto"/>
          <w:sz w:val="24"/>
          <w:szCs w:val="24"/>
          <w:highlight w:val="none"/>
          <w:lang w:eastAsia="zh-CN"/>
        </w:rPr>
        <w:t>图</w:t>
      </w:r>
      <w:r>
        <w:rPr>
          <w:rFonts w:hint="default" w:ascii="Times New Roman" w:hAnsi="Times New Roman" w:eastAsia="宋体" w:cs="Times New Roman"/>
          <w:b/>
          <w:color w:val="auto"/>
          <w:sz w:val="24"/>
          <w:szCs w:val="24"/>
          <w:highlight w:val="none"/>
          <w:lang w:val="en-US" w:eastAsia="zh-CN"/>
        </w:rPr>
        <w:t>6.2-6分区防渗图</w:t>
      </w:r>
      <w:bookmarkEnd w:id="339"/>
      <w:bookmarkEnd w:id="340"/>
      <w:bookmarkEnd w:id="341"/>
      <w:bookmarkEnd w:id="342"/>
      <w:bookmarkEnd w:id="343"/>
    </w:p>
    <w:p>
      <w:pPr>
        <w:spacing w:beforeLines="50" w:line="360" w:lineRule="auto"/>
        <w:outlineLvl w:val="1"/>
        <w:rPr>
          <w:rFonts w:hint="default" w:ascii="Times New Roman" w:hAnsi="Times New Roman" w:eastAsia="宋体" w:cs="Times New Roman"/>
          <w:b/>
          <w:color w:val="auto"/>
          <w:sz w:val="28"/>
          <w:szCs w:val="28"/>
          <w:highlight w:val="none"/>
        </w:rPr>
      </w:pPr>
      <w:bookmarkStart w:id="344" w:name="_Toc18560"/>
      <w:bookmarkStart w:id="345" w:name="_Toc31135"/>
      <w:bookmarkStart w:id="346" w:name="_Toc4131"/>
      <w:bookmarkStart w:id="347" w:name="_Toc6540"/>
      <w:bookmarkStart w:id="348" w:name="_Toc12347"/>
      <w:r>
        <w:rPr>
          <w:rFonts w:hint="default" w:ascii="Times New Roman" w:hAnsi="Times New Roman" w:eastAsia="宋体" w:cs="Times New Roman"/>
          <w:b/>
          <w:color w:val="auto"/>
          <w:sz w:val="28"/>
          <w:szCs w:val="28"/>
          <w:highlight w:val="none"/>
        </w:rPr>
        <w:t>6.</w:t>
      </w:r>
      <w:r>
        <w:rPr>
          <w:rFonts w:hint="default" w:ascii="Times New Roman" w:hAnsi="Times New Roman" w:eastAsia="宋体" w:cs="Times New Roman"/>
          <w:b/>
          <w:color w:val="auto"/>
          <w:sz w:val="28"/>
          <w:szCs w:val="28"/>
          <w:highlight w:val="none"/>
          <w:lang w:val="en-US" w:eastAsia="zh-CN"/>
        </w:rPr>
        <w:t>2.</w:t>
      </w:r>
      <w:r>
        <w:rPr>
          <w:rFonts w:hint="default" w:ascii="Times New Roman" w:hAnsi="Times New Roman" w:eastAsia="宋体" w:cs="Times New Roman"/>
          <w:b/>
          <w:color w:val="auto"/>
          <w:sz w:val="28"/>
          <w:szCs w:val="28"/>
          <w:highlight w:val="none"/>
        </w:rPr>
        <w:t>4噪声</w:t>
      </w:r>
      <w:bookmarkEnd w:id="328"/>
      <w:bookmarkEnd w:id="329"/>
      <w:bookmarkEnd w:id="330"/>
      <w:bookmarkEnd w:id="331"/>
      <w:bookmarkEnd w:id="332"/>
      <w:bookmarkEnd w:id="344"/>
      <w:bookmarkEnd w:id="345"/>
      <w:bookmarkEnd w:id="346"/>
      <w:bookmarkEnd w:id="347"/>
      <w:bookmarkEnd w:id="348"/>
    </w:p>
    <w:p>
      <w:pPr>
        <w:pStyle w:val="74"/>
        <w:spacing w:beforeLines="50" w:line="360" w:lineRule="auto"/>
        <w:ind w:firstLine="480"/>
        <w:rPr>
          <w:rFonts w:hint="default" w:ascii="Times New Roman" w:hAnsi="Times New Roman" w:eastAsia="宋体" w:cs="Times New Roman"/>
        </w:rPr>
      </w:pPr>
      <w:r>
        <w:rPr>
          <w:rFonts w:hint="default" w:ascii="Times New Roman" w:hAnsi="Times New Roman" w:eastAsia="宋体" w:cs="Times New Roman"/>
          <w:lang w:eastAsia="zh-CN"/>
        </w:rPr>
        <w:t>本项目噪声</w:t>
      </w:r>
      <w:r>
        <w:rPr>
          <w:rFonts w:hint="default" w:ascii="Times New Roman" w:hAnsi="Times New Roman" w:eastAsia="宋体" w:cs="Times New Roman"/>
        </w:rPr>
        <w:t>主要来源于破碎机、磨机、泵类等，为了减轻各类设备噪声对周围环境影响，根据各类声噪声的声源特征，本项目采取以下防治措施：</w:t>
      </w:r>
    </w:p>
    <w:p>
      <w:pPr>
        <w:pStyle w:val="74"/>
        <w:spacing w:beforeLines="50" w:line="360" w:lineRule="auto"/>
        <w:ind w:firstLine="480"/>
        <w:rPr>
          <w:rFonts w:hint="default" w:ascii="Times New Roman" w:hAnsi="Times New Roman" w:eastAsia="宋体" w:cs="Times New Roman"/>
        </w:rPr>
      </w:pPr>
      <w:r>
        <w:rPr>
          <w:rFonts w:hint="default" w:ascii="Times New Roman" w:hAnsi="Times New Roman" w:eastAsia="宋体" w:cs="Times New Roman"/>
        </w:rPr>
        <w:t>（1）在满足生产工艺的前提下，选用设备加工精度高、装配质量好、产生噪声低的设备；</w:t>
      </w:r>
    </w:p>
    <w:p>
      <w:pPr>
        <w:pStyle w:val="74"/>
        <w:spacing w:beforeLines="50" w:line="360" w:lineRule="auto"/>
        <w:ind w:firstLine="480"/>
        <w:rPr>
          <w:rFonts w:hint="default" w:ascii="Times New Roman" w:hAnsi="Times New Roman" w:eastAsia="宋体" w:cs="Times New Roman"/>
        </w:rPr>
      </w:pPr>
      <w:r>
        <w:rPr>
          <w:rFonts w:hint="default" w:ascii="Times New Roman" w:hAnsi="Times New Roman" w:eastAsia="宋体" w:cs="Times New Roman"/>
        </w:rPr>
        <w:t>（2）生产设备均设置于厂房内，利用厂房建筑隔声；</w:t>
      </w:r>
    </w:p>
    <w:p>
      <w:pPr>
        <w:pStyle w:val="74"/>
        <w:spacing w:beforeLines="50" w:line="360" w:lineRule="auto"/>
        <w:ind w:firstLine="480"/>
        <w:rPr>
          <w:rFonts w:hint="default" w:ascii="Times New Roman" w:hAnsi="Times New Roman" w:eastAsia="宋体" w:cs="Times New Roman"/>
        </w:rPr>
      </w:pPr>
      <w:r>
        <w:rPr>
          <w:rFonts w:hint="default" w:ascii="Times New Roman" w:hAnsi="Times New Roman" w:eastAsia="宋体" w:cs="Times New Roman"/>
        </w:rPr>
        <w:t>（3）合理布局，高噪声设备集中设置、集中控制，尽量使高噪声设备远离厂界侧；</w:t>
      </w:r>
    </w:p>
    <w:p>
      <w:pPr>
        <w:pStyle w:val="74"/>
        <w:spacing w:beforeLines="50" w:line="360" w:lineRule="auto"/>
        <w:ind w:firstLine="480"/>
        <w:rPr>
          <w:rFonts w:hint="default" w:ascii="Times New Roman" w:hAnsi="Times New Roman" w:eastAsia="宋体" w:cs="Times New Roman"/>
        </w:rPr>
      </w:pPr>
      <w:r>
        <w:rPr>
          <w:rFonts w:hint="default" w:ascii="Times New Roman" w:hAnsi="Times New Roman" w:eastAsia="宋体" w:cs="Times New Roman"/>
        </w:rPr>
        <w:t>（4）对各种的机械设备定期进行维修保养，使机械设备保持正常运行，以减少由于设备不能正常运转所产生的噪声；</w:t>
      </w:r>
    </w:p>
    <w:p>
      <w:pPr>
        <w:pStyle w:val="74"/>
        <w:spacing w:beforeLines="50" w:line="360" w:lineRule="auto"/>
        <w:ind w:firstLine="480"/>
        <w:rPr>
          <w:rFonts w:hint="default" w:ascii="Times New Roman" w:hAnsi="Times New Roman" w:eastAsia="宋体" w:cs="Times New Roman"/>
        </w:rPr>
      </w:pPr>
      <w:r>
        <w:rPr>
          <w:rFonts w:hint="default" w:ascii="Times New Roman" w:hAnsi="Times New Roman" w:eastAsia="宋体" w:cs="Times New Roman"/>
        </w:rPr>
        <w:t>（5）对产生机械噪声的设备如球磨机等设备安装减振底座，对空气动力性噪声为主的设备如风机安装隔声罩及消声器。</w:t>
      </w:r>
    </w:p>
    <w:p>
      <w:pPr>
        <w:pStyle w:val="74"/>
        <w:spacing w:beforeLines="50" w:line="360" w:lineRule="auto"/>
        <w:ind w:firstLine="480"/>
        <w:rPr>
          <w:rFonts w:hint="default" w:ascii="Times New Roman" w:hAnsi="Times New Roman" w:eastAsia="宋体" w:cs="Times New Roman"/>
        </w:rPr>
      </w:pPr>
      <w:r>
        <w:rPr>
          <w:rFonts w:hint="default" w:ascii="Times New Roman" w:hAnsi="Times New Roman" w:eastAsia="宋体" w:cs="Times New Roman"/>
        </w:rPr>
        <w:t>交通运输环境影响控制措施：</w:t>
      </w:r>
    </w:p>
    <w:p>
      <w:pPr>
        <w:pStyle w:val="74"/>
        <w:spacing w:beforeLines="50" w:line="360" w:lineRule="auto"/>
        <w:ind w:firstLine="480"/>
        <w:rPr>
          <w:rFonts w:hint="default" w:ascii="Times New Roman" w:hAnsi="Times New Roman" w:eastAsia="宋体" w:cs="Times New Roman"/>
        </w:rPr>
      </w:pPr>
      <w:r>
        <w:rPr>
          <w:rFonts w:hint="default" w:ascii="Times New Roman" w:hAnsi="Times New Roman" w:eastAsia="宋体" w:cs="Times New Roman"/>
        </w:rPr>
        <w:t>（1）加强运输管理，保证汽车安全、文明行驶。坚决杜绝超载、超速等违反交通规章制度的现象，对运输车辆要定时及时检修。</w:t>
      </w:r>
    </w:p>
    <w:p>
      <w:pPr>
        <w:pStyle w:val="74"/>
        <w:spacing w:beforeLines="50" w:line="360" w:lineRule="auto"/>
        <w:ind w:firstLine="480"/>
        <w:rPr>
          <w:rFonts w:hint="default" w:ascii="Times New Roman" w:hAnsi="Times New Roman" w:eastAsia="宋体" w:cs="Times New Roman"/>
        </w:rPr>
      </w:pPr>
      <w:r>
        <w:rPr>
          <w:rFonts w:hint="default" w:ascii="Times New Roman" w:hAnsi="Times New Roman" w:eastAsia="宋体" w:cs="Times New Roman"/>
        </w:rPr>
        <w:t>（2）夜间（22：00~6：00）禁止运输。</w:t>
      </w:r>
    </w:p>
    <w:p>
      <w:pPr>
        <w:pStyle w:val="74"/>
        <w:spacing w:beforeLines="50" w:line="360" w:lineRule="auto"/>
        <w:ind w:firstLine="480"/>
        <w:rPr>
          <w:rFonts w:hint="default" w:ascii="Times New Roman" w:hAnsi="Times New Roman" w:eastAsia="宋体" w:cs="Times New Roman"/>
          <w:highlight w:val="none"/>
        </w:rPr>
      </w:pPr>
      <w:r>
        <w:rPr>
          <w:rFonts w:hint="default" w:ascii="Times New Roman" w:hAnsi="Times New Roman" w:eastAsia="宋体" w:cs="Times New Roman"/>
          <w:highlight w:val="none"/>
        </w:rPr>
        <w:t>（3）加强对运输车辆停泊的进出管理，尽量缩短汽车的怠速停留时间。</w:t>
      </w:r>
    </w:p>
    <w:p>
      <w:pPr>
        <w:pStyle w:val="74"/>
        <w:spacing w:beforeLines="50"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highlight w:val="none"/>
        </w:rPr>
        <w:t>（4）加强司机的操作管理，途径村庄时减速慢行（＜20km/h），禁止鸣笛。</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通过采取上述各项减振、隔声、吸声、消声等综合治理措施，设备产生的噪声会大大削减，厂区边界噪声可达到《工业企业厂界环境噪声排放标准》（GB12348-2008）</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类标准，本评价认为建设单位采取的噪声治理措施在技术上是合理的。</w:t>
      </w:r>
    </w:p>
    <w:p>
      <w:pPr>
        <w:spacing w:beforeLines="50" w:line="360" w:lineRule="auto"/>
        <w:outlineLvl w:val="1"/>
        <w:rPr>
          <w:rFonts w:hint="default" w:ascii="Times New Roman" w:hAnsi="Times New Roman" w:eastAsia="宋体" w:cs="Times New Roman"/>
          <w:b/>
          <w:color w:val="auto"/>
          <w:sz w:val="28"/>
          <w:szCs w:val="28"/>
          <w:highlight w:val="none"/>
        </w:rPr>
      </w:pPr>
      <w:bookmarkStart w:id="349" w:name="_Toc31344"/>
      <w:bookmarkStart w:id="350" w:name="_Toc4842"/>
      <w:bookmarkStart w:id="351" w:name="_Toc12769"/>
      <w:bookmarkStart w:id="352" w:name="_Toc9047"/>
      <w:bookmarkStart w:id="353" w:name="_Toc11256"/>
      <w:r>
        <w:rPr>
          <w:rFonts w:hint="default" w:ascii="Times New Roman" w:hAnsi="Times New Roman" w:eastAsia="宋体" w:cs="Times New Roman"/>
          <w:b/>
          <w:color w:val="auto"/>
          <w:sz w:val="28"/>
          <w:szCs w:val="28"/>
          <w:highlight w:val="none"/>
        </w:rPr>
        <w:t>6.</w:t>
      </w:r>
      <w:r>
        <w:rPr>
          <w:rFonts w:hint="default" w:ascii="Times New Roman" w:hAnsi="Times New Roman" w:eastAsia="宋体" w:cs="Times New Roman"/>
          <w:b/>
          <w:color w:val="auto"/>
          <w:sz w:val="28"/>
          <w:szCs w:val="28"/>
          <w:highlight w:val="none"/>
          <w:lang w:val="en-US" w:eastAsia="zh-CN"/>
        </w:rPr>
        <w:t>2.</w:t>
      </w:r>
      <w:r>
        <w:rPr>
          <w:rFonts w:hint="default" w:ascii="Times New Roman" w:hAnsi="Times New Roman" w:eastAsia="宋体" w:cs="Times New Roman"/>
          <w:b/>
          <w:color w:val="auto"/>
          <w:sz w:val="28"/>
          <w:szCs w:val="28"/>
          <w:highlight w:val="none"/>
        </w:rPr>
        <w:t>5土壤</w:t>
      </w:r>
      <w:bookmarkEnd w:id="349"/>
      <w:bookmarkEnd w:id="350"/>
      <w:bookmarkEnd w:id="351"/>
      <w:bookmarkEnd w:id="352"/>
      <w:bookmarkEnd w:id="353"/>
    </w:p>
    <w:p>
      <w:pPr>
        <w:pStyle w:val="74"/>
        <w:spacing w:beforeLines="50"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针对工程可能发生的土壤污染，按照“源头控制、末端防治、污染监控、应急响应”相结合的原则，从污染物的产生、入渗、扩散、应急响应全阶段进行控制。</w:t>
      </w:r>
    </w:p>
    <w:p>
      <w:pPr>
        <w:pStyle w:val="74"/>
        <w:spacing w:beforeLines="50"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（1）源头控制措施</w:t>
      </w:r>
    </w:p>
    <w:p>
      <w:pPr>
        <w:pStyle w:val="74"/>
        <w:spacing w:beforeLines="50"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主要包括在工艺、管道、设备、污水储存及处理构筑物采取相应措施，防止和降低污染物跑、冒、滴、漏，将污染物泄漏的环境风险事故降到最低程度。</w:t>
      </w:r>
    </w:p>
    <w:p>
      <w:pPr>
        <w:pStyle w:val="74"/>
        <w:spacing w:beforeLines="50"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（2）末端控制措施</w:t>
      </w:r>
    </w:p>
    <w:p>
      <w:pPr>
        <w:pStyle w:val="74"/>
        <w:spacing w:beforeLines="50"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污染区地面进行防渗处理，防止洒落地面的污染物渗入地下，末端控制采取分区防渗原则。</w:t>
      </w:r>
    </w:p>
    <w:p>
      <w:pPr>
        <w:pStyle w:val="74"/>
        <w:spacing w:beforeLines="50"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（3）污染监控体系</w:t>
      </w:r>
    </w:p>
    <w:p>
      <w:pPr>
        <w:pStyle w:val="74"/>
        <w:spacing w:beforeLines="50"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建立完善的监测制度、配备先进的检测仪器和设备、科学、合理设置地下水污染监控井，及时发现污染、及时控制。</w:t>
      </w:r>
    </w:p>
    <w:p>
      <w:pPr>
        <w:pStyle w:val="74"/>
        <w:spacing w:beforeLines="50"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（4）应急响应措施</w:t>
      </w:r>
    </w:p>
    <w:p>
      <w:pPr>
        <w:pStyle w:val="74"/>
        <w:spacing w:beforeLines="50"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一旦发现地下水污染事故，立即启动应急预案、采取应急措施控制土壤、地下水污染，并使污染得到治理。</w:t>
      </w:r>
    </w:p>
    <w:p>
      <w:pPr>
        <w:spacing w:beforeLines="50" w:line="360" w:lineRule="auto"/>
        <w:outlineLvl w:val="1"/>
        <w:rPr>
          <w:rFonts w:hint="default" w:ascii="Times New Roman" w:hAnsi="Times New Roman" w:eastAsia="宋体" w:cs="Times New Roman"/>
          <w:b/>
          <w:color w:val="auto"/>
          <w:sz w:val="28"/>
          <w:szCs w:val="28"/>
          <w:highlight w:val="none"/>
        </w:rPr>
      </w:pPr>
      <w:bookmarkStart w:id="354" w:name="_Toc25831"/>
      <w:bookmarkStart w:id="355" w:name="_Toc13686"/>
      <w:bookmarkStart w:id="356" w:name="_Toc476225059"/>
      <w:bookmarkStart w:id="357" w:name="_Toc476553989"/>
      <w:bookmarkStart w:id="358" w:name="_Toc18034"/>
      <w:bookmarkStart w:id="359" w:name="_Toc478038864"/>
      <w:bookmarkStart w:id="360" w:name="_Toc6945"/>
      <w:bookmarkStart w:id="361" w:name="_Toc30356"/>
      <w:bookmarkStart w:id="362" w:name="_Toc476639474"/>
      <w:bookmarkStart w:id="363" w:name="_Toc478394821"/>
      <w:r>
        <w:rPr>
          <w:rFonts w:hint="default" w:ascii="Times New Roman" w:hAnsi="Times New Roman" w:eastAsia="宋体" w:cs="Times New Roman"/>
          <w:b/>
          <w:color w:val="auto"/>
          <w:sz w:val="28"/>
          <w:szCs w:val="28"/>
          <w:highlight w:val="none"/>
        </w:rPr>
        <w:t>6.</w:t>
      </w:r>
      <w:r>
        <w:rPr>
          <w:rFonts w:hint="default" w:ascii="Times New Roman" w:hAnsi="Times New Roman" w:eastAsia="宋体" w:cs="Times New Roman"/>
          <w:b/>
          <w:color w:val="auto"/>
          <w:sz w:val="28"/>
          <w:szCs w:val="28"/>
          <w:highlight w:val="none"/>
          <w:lang w:val="en-US" w:eastAsia="zh-CN"/>
        </w:rPr>
        <w:t>2.</w:t>
      </w:r>
      <w:r>
        <w:rPr>
          <w:rFonts w:hint="default" w:ascii="Times New Roman" w:hAnsi="Times New Roman" w:eastAsia="宋体" w:cs="Times New Roman"/>
          <w:b/>
          <w:color w:val="auto"/>
          <w:sz w:val="28"/>
          <w:szCs w:val="28"/>
          <w:highlight w:val="none"/>
        </w:rPr>
        <w:t>6固废</w:t>
      </w:r>
      <w:bookmarkEnd w:id="354"/>
      <w:bookmarkEnd w:id="355"/>
      <w:bookmarkEnd w:id="356"/>
      <w:bookmarkEnd w:id="357"/>
      <w:bookmarkEnd w:id="358"/>
      <w:bookmarkEnd w:id="359"/>
      <w:bookmarkEnd w:id="360"/>
      <w:bookmarkEnd w:id="361"/>
      <w:bookmarkEnd w:id="362"/>
      <w:bookmarkEnd w:id="363"/>
    </w:p>
    <w:p>
      <w:pPr>
        <w:bidi w:val="0"/>
        <w:spacing w:line="360" w:lineRule="auto"/>
        <w:ind w:firstLine="480" w:firstLineChars="200"/>
        <w:rPr>
          <w:rFonts w:hint="default" w:ascii="Times New Roman" w:hAnsi="Times New Roman" w:eastAsia="宋体" w:cs="Times New Roman"/>
          <w:sz w:val="24"/>
          <w:szCs w:val="24"/>
          <w:lang w:eastAsia="zh-CN"/>
        </w:rPr>
      </w:pPr>
      <w:bookmarkStart w:id="364" w:name="_Toc355284913"/>
      <w:bookmarkStart w:id="365" w:name="_Toc188072319"/>
      <w:r>
        <w:rPr>
          <w:rFonts w:hint="default" w:ascii="Times New Roman" w:hAnsi="Times New Roman" w:eastAsia="宋体" w:cs="Times New Roman"/>
          <w:sz w:val="24"/>
          <w:szCs w:val="24"/>
          <w:lang w:eastAsia="zh-CN"/>
        </w:rPr>
        <w:t>本项目固体废物主要为尾矿渣、除尘器收集的除尘灰、废机油员工生活垃圾。</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（1）除尘器除尘灰</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根据前文计算可得，</w:t>
      </w:r>
      <w:r>
        <w:rPr>
          <w:rFonts w:hint="default" w:ascii="Times New Roman" w:hAnsi="Times New Roman" w:eastAsia="宋体" w:cs="Times New Roman"/>
          <w:sz w:val="24"/>
          <w:szCs w:val="24"/>
        </w:rPr>
        <w:t>本项目除尘器收集除尘灰</w:t>
      </w:r>
      <w:r>
        <w:rPr>
          <w:rFonts w:hint="default" w:ascii="Times New Roman" w:hAnsi="Times New Roman" w:eastAsia="宋体" w:cs="Times New Roman"/>
          <w:sz w:val="24"/>
          <w:szCs w:val="24"/>
          <w:lang w:val="en-US" w:eastAsia="zh-CN"/>
        </w:rPr>
        <w:t>235.93</w:t>
      </w:r>
      <w:r>
        <w:rPr>
          <w:rFonts w:hint="default" w:ascii="Times New Roman" w:hAnsi="Times New Roman" w:eastAsia="宋体" w:cs="Times New Roman"/>
          <w:sz w:val="24"/>
          <w:szCs w:val="24"/>
        </w:rPr>
        <w:t>t/a，进入选矿工艺，不外排。</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）生活垃圾</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w:t>
      </w:r>
      <w:r>
        <w:rPr>
          <w:rFonts w:hint="default" w:ascii="Times New Roman" w:hAnsi="Times New Roman" w:eastAsia="宋体" w:cs="Times New Roman"/>
          <w:sz w:val="24"/>
          <w:szCs w:val="24"/>
          <w:lang w:eastAsia="zh-CN"/>
        </w:rPr>
        <w:t>新增</w:t>
      </w:r>
      <w:r>
        <w:rPr>
          <w:rFonts w:hint="default" w:ascii="Times New Roman" w:hAnsi="Times New Roman" w:eastAsia="宋体" w:cs="Times New Roman"/>
          <w:sz w:val="24"/>
          <w:szCs w:val="24"/>
        </w:rPr>
        <w:t>员工</w:t>
      </w:r>
      <w:r>
        <w:rPr>
          <w:rFonts w:hint="default" w:ascii="Times New Roman" w:hAnsi="Times New Roman" w:eastAsia="宋体" w:cs="Times New Roman"/>
          <w:sz w:val="24"/>
          <w:szCs w:val="24"/>
          <w:lang w:val="en-US" w:eastAsia="zh-CN"/>
        </w:rPr>
        <w:t>30</w:t>
      </w:r>
      <w:r>
        <w:rPr>
          <w:rFonts w:hint="default" w:ascii="Times New Roman" w:hAnsi="Times New Roman" w:eastAsia="宋体" w:cs="Times New Roman"/>
          <w:sz w:val="24"/>
          <w:szCs w:val="24"/>
        </w:rPr>
        <w:t>人，年工作</w:t>
      </w:r>
      <w:r>
        <w:rPr>
          <w:rFonts w:hint="default" w:ascii="Times New Roman" w:hAnsi="Times New Roman" w:eastAsia="宋体" w:cs="Times New Roman"/>
          <w:sz w:val="24"/>
          <w:szCs w:val="24"/>
          <w:lang w:val="en-US" w:eastAsia="zh-CN"/>
        </w:rPr>
        <w:t>300</w:t>
      </w:r>
      <w:r>
        <w:rPr>
          <w:rFonts w:hint="default" w:ascii="Times New Roman" w:hAnsi="Times New Roman" w:eastAsia="宋体" w:cs="Times New Roman"/>
          <w:sz w:val="24"/>
          <w:szCs w:val="24"/>
        </w:rPr>
        <w:t>天，生活垃圾按0.5kg/人·d计，年产生</w:t>
      </w:r>
      <w:r>
        <w:rPr>
          <w:rFonts w:hint="default" w:ascii="Times New Roman" w:hAnsi="Times New Roman" w:eastAsia="宋体" w:cs="Times New Roman"/>
          <w:sz w:val="24"/>
          <w:szCs w:val="24"/>
          <w:lang w:val="en-US" w:eastAsia="zh-CN"/>
        </w:rPr>
        <w:t>4.5</w:t>
      </w:r>
      <w:r>
        <w:rPr>
          <w:rFonts w:hint="default" w:ascii="Times New Roman" w:hAnsi="Times New Roman" w:eastAsia="宋体" w:cs="Times New Roman"/>
          <w:sz w:val="24"/>
          <w:szCs w:val="24"/>
        </w:rPr>
        <w:t>t，垃圾箱临时储存，定期送环卫部门指定地点。</w:t>
      </w:r>
    </w:p>
    <w:p>
      <w:pPr>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3）尾矿渣</w:t>
      </w:r>
    </w:p>
    <w:p>
      <w:pPr>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选矿后产生的尾矿渣约为150万t/a，尾矿不在《国家危险废物名录》所列范围内，本项目尾矿采用干排工艺，临时存储在尾矿仓内（最大存储量5000吨，周转周期1天），及时外运至本单位自有矿山，回填矿山采坑。</w:t>
      </w:r>
    </w:p>
    <w:p>
      <w:pPr>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尾矿含水率为10％以下，不易起尘，矿山接收尾矿后自行与废石进行混合，回填采坑，用于矿山生态恢复，采坑回填完毕后进行覆土及植被恢复，回填及恢复由矿山负责，不属于本工程内容。干尾矿回填采坑工艺技术可行性：《钢铁行业采选矿工艺污染防治最佳可行技术指南(试行)》(HJ-BAT-003)中，“固体废物处置及综合利用最佳可行技术，固体废物排放采空区技术，该技术可节省尾矿库建设工程投资，适用于有地下采空区、露天采坑或地表塌陷区等废气空间稳定的新建和已建矿山”。</w:t>
      </w:r>
    </w:p>
    <w:p>
      <w:pPr>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常见尾矿回填施工过程：干尾矿与废石混合压实，充填过程从低处到高处、从上游到下游分层堆放，采用振动压路机分层回填碾压，保证每个分层孔隙率不大于20％，在采坑中设置集水坑、尾矿堆放区，堆放形成安全平台，逐步向上进行回填，每次回填的高度控在2米范围内，直至达到一定标高。</w:t>
      </w:r>
    </w:p>
    <w:p>
      <w:pPr>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通过上述分析，本项目干尾矿排至铁矿山尾矿坑回填可行。</w:t>
      </w:r>
    </w:p>
    <w:p>
      <w:pPr>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（4）废机油</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设备机油用量很少，产生量为0.5t/a，废机油属于《国家危险废物名录（2021年）》中规定的（HW08）废矿物油与含矿物油废物中的900-249-08。对其管理应严格按照《中华人民共和国固体废物污染环境防治法》中有关危险废物的管理条款执行，危险废物暂时存放在危废暂存间内，定期委托具有专业资质的危险废物处理单位进行转移和处理。</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新建1座危废暂存间</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占地面积10m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按《危险废物贮存污染控制标准》（GB18597-2001）的要求完善，做好全封闭，做好贮存区的防风、防雨、防晒工作，后续监管中中保证表面无裂缝，防止泄露事故，按重点污染防控区防渗监控，避免贮存的危险废物污染当地地下水和土壤；同时在贮存区域设置明显的警示牌标识；对危险废物的收集和管理，厂区应委派专人负责，并做好登记记录，防止存放过程中的二次污染。</w:t>
      </w:r>
    </w:p>
    <w:p>
      <w:pPr>
        <w:bidi w:val="0"/>
        <w:spacing w:line="360" w:lineRule="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项目运营过程中加强对危险废物贮存的管理，危险废物的堆放应符合《危险废物贮存污染控制标准》（GB18596-2001）及其修改单中的相关要求规定。企业内部应建立危险废物产生、外运、处置及最终去向的详细台账，按照《危险废物转移联单管理办法》的要求做好危险废物转移联单填报登记工作。</w:t>
      </w:r>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综上所述，本项目产生的固体废物均能做到合理处理和综合利用，项目在采取评价提出的措施后不会对环境造成二次污染，治理措施可行。</w:t>
      </w:r>
    </w:p>
    <w:bookmarkEnd w:id="364"/>
    <w:bookmarkEnd w:id="365"/>
    <w:p>
      <w:pPr>
        <w:pStyle w:val="4"/>
        <w:bidi w:val="0"/>
        <w:spacing w:line="360" w:lineRule="auto"/>
        <w:rPr>
          <w:rFonts w:hint="default" w:ascii="Times New Roman" w:hAnsi="Times New Roman" w:eastAsia="宋体" w:cs="Times New Roman"/>
          <w:color w:val="auto"/>
          <w:sz w:val="28"/>
          <w:szCs w:val="28"/>
        </w:rPr>
      </w:pPr>
      <w:bookmarkStart w:id="366" w:name="_Toc25238"/>
      <w:bookmarkStart w:id="367" w:name="_Toc1330"/>
      <w:r>
        <w:rPr>
          <w:rFonts w:hint="default" w:ascii="Times New Roman" w:hAnsi="Times New Roman" w:eastAsia="宋体" w:cs="Times New Roman"/>
          <w:color w:val="auto"/>
          <w:sz w:val="28"/>
          <w:szCs w:val="28"/>
          <w:lang w:val="en-US" w:eastAsia="zh-CN"/>
        </w:rPr>
        <w:t>6.3</w:t>
      </w:r>
      <w:r>
        <w:rPr>
          <w:rFonts w:hint="default" w:ascii="Times New Roman" w:hAnsi="Times New Roman" w:eastAsia="宋体" w:cs="Times New Roman"/>
          <w:color w:val="auto"/>
          <w:sz w:val="28"/>
          <w:szCs w:val="28"/>
        </w:rPr>
        <w:t>项目的污染物排放控制总量</w:t>
      </w:r>
      <w:bookmarkEnd w:id="366"/>
      <w:bookmarkEnd w:id="367"/>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环保部《建设项目主要污染物排放总量指标审核及管理暂行办法》(环发[2014]197号)和辽宁省环保厅《关于贯彻执行环保部建设项目主要污染物排放总量指标审核及管理暂行办法的通知》(辽环发[2015]17号)及《“十二五”主要污染物总量减排核算细则》，并结合本项目的特点，本项目</w:t>
      </w:r>
      <w:r>
        <w:rPr>
          <w:rFonts w:hint="default" w:ascii="Times New Roman" w:hAnsi="Times New Roman" w:eastAsia="宋体" w:cs="Times New Roman"/>
          <w:sz w:val="24"/>
          <w:szCs w:val="24"/>
          <w:lang w:eastAsia="zh-CN"/>
        </w:rPr>
        <w:t>无需申请总量</w:t>
      </w:r>
      <w:r>
        <w:rPr>
          <w:rFonts w:hint="default" w:ascii="Times New Roman" w:hAnsi="Times New Roman" w:eastAsia="宋体" w:cs="Times New Roman"/>
          <w:sz w:val="24"/>
          <w:szCs w:val="24"/>
        </w:rPr>
        <w:t>。</w:t>
      </w:r>
    </w:p>
    <w:p>
      <w:pPr>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根据朝阳市生态环境局北票分局于2021年10月27日出具的《关于调整建设项目主要污染物总量确认指标的函》，将VOCs总量减排作为“十四五”生态环境约束性指标，本项目无VOCs排放</w:t>
      </w:r>
      <w:r>
        <w:rPr>
          <w:rFonts w:hint="default" w:ascii="Times New Roman" w:hAnsi="Times New Roman" w:eastAsia="宋体" w:cs="Times New Roman"/>
          <w:sz w:val="24"/>
          <w:szCs w:val="24"/>
          <w:lang w:eastAsia="zh-CN"/>
        </w:rPr>
        <w:t>。</w:t>
      </w:r>
    </w:p>
    <w:p>
      <w:pPr>
        <w:pStyle w:val="16"/>
        <w:spacing w:line="360" w:lineRule="auto"/>
        <w:rPr>
          <w:rFonts w:hint="default" w:ascii="Times New Roman" w:hAnsi="Times New Roman" w:eastAsia="宋体" w:cs="Times New Roman"/>
          <w:color w:val="auto"/>
          <w:sz w:val="24"/>
          <w:szCs w:val="24"/>
          <w:lang w:eastAsia="zh-CN"/>
        </w:rPr>
      </w:pPr>
    </w:p>
    <w:p>
      <w:pPr>
        <w:bidi w:val="0"/>
        <w:rPr>
          <w:rFonts w:hint="default" w:ascii="Times New Roman" w:hAnsi="Times New Roman" w:eastAsia="宋体" w:cs="Times New Roman"/>
          <w:color w:val="auto"/>
          <w:sz w:val="24"/>
          <w:szCs w:val="24"/>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bookmarkEnd w:id="257"/>
    <w:p>
      <w:pPr>
        <w:pStyle w:val="346"/>
        <w:spacing w:beforeLines="50" w:line="360" w:lineRule="auto"/>
        <w:rPr>
          <w:rFonts w:hint="default" w:ascii="Times New Roman" w:hAnsi="Times New Roman" w:eastAsia="宋体" w:cs="Times New Roman"/>
          <w:color w:val="auto"/>
        </w:rPr>
      </w:pPr>
      <w:bookmarkStart w:id="368" w:name="_Toc12285"/>
      <w:bookmarkStart w:id="369" w:name="_Toc476225060"/>
      <w:bookmarkStart w:id="370" w:name="_Toc476225216"/>
      <w:bookmarkStart w:id="371" w:name="_Toc476225083"/>
      <w:bookmarkStart w:id="372" w:name="_Toc476225239"/>
      <w:bookmarkStart w:id="373" w:name="_Toc400617595"/>
      <w:bookmarkStart w:id="374" w:name="_Toc93751710"/>
      <w:bookmarkStart w:id="375" w:name="_Toc400617588"/>
      <w:bookmarkStart w:id="376" w:name="_Toc317336133"/>
      <w:bookmarkStart w:id="377" w:name="_Toc476225078"/>
      <w:bookmarkStart w:id="378" w:name="_Toc355284946"/>
      <w:r>
        <w:rPr>
          <w:rFonts w:hint="default" w:ascii="Times New Roman" w:hAnsi="Times New Roman" w:eastAsia="宋体" w:cs="Times New Roman"/>
          <w:color w:val="auto"/>
        </w:rPr>
        <w:t>7环境风险评价</w:t>
      </w:r>
      <w:bookmarkEnd w:id="368"/>
      <w:bookmarkEnd w:id="369"/>
      <w:bookmarkEnd w:id="370"/>
      <w:bookmarkStart w:id="379" w:name="_Toc400617584"/>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bookmarkStart w:id="380" w:name="_Toc88106825"/>
      <w:bookmarkStart w:id="381" w:name="_Toc361652021"/>
      <w:bookmarkStart w:id="382" w:name="_Toc230059429"/>
      <w:bookmarkStart w:id="383" w:name="_Toc88117258"/>
      <w:bookmarkStart w:id="384" w:name="_Toc299542957"/>
      <w:bookmarkStart w:id="385" w:name="_Toc88106826"/>
      <w:bookmarkStart w:id="386" w:name="_Toc88106824"/>
      <w:bookmarkStart w:id="387" w:name="_Toc22016521"/>
      <w:bookmarkStart w:id="388" w:name="_Toc88117259"/>
      <w:r>
        <w:rPr>
          <w:rFonts w:hint="default" w:ascii="Times New Roman" w:hAnsi="Times New Roman" w:eastAsia="宋体" w:cs="Times New Roman"/>
          <w:color w:val="auto"/>
          <w:kern w:val="0"/>
          <w:sz w:val="24"/>
        </w:rPr>
        <w:t>根据国家环境保护总局（90）环管字057号文《关于对重大环境污染事故隐患进行风险评价的通知》精神，依据《建设项目环境风险评价技术导则》（HJ/T169-2018）、环发[2012]77号《关于进一步加强环境影响评价管理防范环境风险的通知》、环发[2012]98号《关于切实加强风险防范严格环境影响评价管理的通知》，对本项目进行环境风险评价。</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环境风险评价的目的是分析和预测建设项目存在的潜在危险、有害因素，建设项目建设和运行期间可能发生的突发性事件或事故（一般不包括人为破坏和自然灾害），引起有毒有害或易燃易爆等物质泄漏，所造成的人身安全与环境影响和损害程度，提出合理可行的防范、应急与减缓措施，以使建设项目事故率、损失和环境影响达到可接受水平。</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建设项目环境风险评价技术导则》（HJ169-2018）和国家环境保护总局《关于防范环境风险加强环境影响评价管理的通知》，项目实施后环境风险评价的基本内容包括风险调查、环境风险潜势初判、风险识别、风险事故情形分析、风险预测与评价、环境风险管理等，其具体如下：</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（1）项目风险调查。在分析建设项目物质及工艺系统危险性和环境敏感性的基础下，进行风险潜势的判断，确定风险评价等级。</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（2）项目风险识别及风险事故情形分析。明确危险物质在生产系统中的主要分布，筛选具有代表性的风险事故情形，合理设定事故源项。</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（3）开展预测评价。各环境要素按确定的评价工作等级分别预测评价，并分析说明环境风险危害范围与程度，提出环境风险防范的基本要求。</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（4）提出环境风险管理对策，明确环境风险防范措施及突发环境事件应急预案编制要求。</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（5）综合环境风险评价过程，给出评价结论与建议。</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环境风险评价工作程序见下图。</w:t>
      </w:r>
    </w:p>
    <w:p>
      <w:pPr>
        <w:pStyle w:val="61"/>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drawing>
          <wp:inline distT="0" distB="0" distL="114300" distR="114300">
            <wp:extent cx="5269230" cy="6026785"/>
            <wp:effectExtent l="0" t="0" r="3810" b="8255"/>
            <wp:docPr id="16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0"/>
                    <pic:cNvPicPr>
                      <a:picLocks noChangeAspect="1"/>
                    </pic:cNvPicPr>
                  </pic:nvPicPr>
                  <pic:blipFill>
                    <a:blip r:embed="rId110"/>
                    <a:stretch>
                      <a:fillRect/>
                    </a:stretch>
                  </pic:blipFill>
                  <pic:spPr>
                    <a:xfrm>
                      <a:off x="0" y="0"/>
                      <a:ext cx="5269230" cy="6026785"/>
                    </a:xfrm>
                    <a:prstGeom prst="rect">
                      <a:avLst/>
                    </a:prstGeom>
                    <a:noFill/>
                    <a:ln>
                      <a:noFill/>
                    </a:ln>
                  </pic:spPr>
                </pic:pic>
              </a:graphicData>
            </a:graphic>
          </wp:inline>
        </w:drawing>
      </w:r>
    </w:p>
    <w:p>
      <w:pPr>
        <w:pStyle w:val="6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4"/>
          <w:lang w:eastAsia="zh-CN"/>
        </w:rPr>
      </w:pPr>
      <w:r>
        <w:rPr>
          <w:rFonts w:hint="default" w:ascii="Times New Roman" w:hAnsi="Times New Roman" w:eastAsia="宋体" w:cs="Times New Roman"/>
          <w:b/>
          <w:bCs/>
          <w:color w:val="auto"/>
          <w:sz w:val="24"/>
          <w:lang w:eastAsia="zh-CN"/>
        </w:rPr>
        <w:t>图</w:t>
      </w:r>
      <w:r>
        <w:rPr>
          <w:rFonts w:hint="default" w:ascii="Times New Roman" w:hAnsi="Times New Roman" w:eastAsia="宋体" w:cs="Times New Roman"/>
          <w:b/>
          <w:bCs/>
          <w:color w:val="auto"/>
          <w:sz w:val="24"/>
          <w:lang w:val="en-US" w:eastAsia="zh-CN"/>
        </w:rPr>
        <w:t>7</w:t>
      </w:r>
      <w:r>
        <w:rPr>
          <w:rFonts w:hint="default" w:ascii="Times New Roman" w:hAnsi="Times New Roman" w:eastAsia="宋体" w:cs="Times New Roman"/>
          <w:b/>
          <w:bCs/>
          <w:color w:val="auto"/>
          <w:sz w:val="24"/>
          <w:lang w:eastAsia="zh-CN"/>
        </w:rPr>
        <w:t>-1</w:t>
      </w:r>
      <w:r>
        <w:rPr>
          <w:rFonts w:hint="default" w:ascii="Times New Roman" w:hAnsi="Times New Roman" w:eastAsia="宋体" w:cs="Times New Roman"/>
          <w:b/>
          <w:bCs/>
          <w:color w:val="auto"/>
          <w:sz w:val="24"/>
          <w:lang w:val="en-US" w:eastAsia="zh-CN"/>
        </w:rPr>
        <w:t xml:space="preserve"> </w:t>
      </w:r>
      <w:r>
        <w:rPr>
          <w:rFonts w:hint="default" w:ascii="Times New Roman" w:hAnsi="Times New Roman" w:eastAsia="宋体" w:cs="Times New Roman"/>
          <w:b/>
          <w:bCs/>
          <w:color w:val="auto"/>
          <w:sz w:val="24"/>
          <w:lang w:eastAsia="zh-CN"/>
        </w:rPr>
        <w:t>环境风险评价工作程序</w:t>
      </w:r>
    </w:p>
    <w:p>
      <w:pPr>
        <w:pStyle w:val="4"/>
        <w:bidi w:val="0"/>
        <w:spacing w:line="360" w:lineRule="auto"/>
        <w:rPr>
          <w:rFonts w:hint="default" w:ascii="Times New Roman" w:hAnsi="Times New Roman" w:eastAsia="宋体" w:cs="Times New Roman"/>
          <w:color w:val="auto"/>
          <w:sz w:val="28"/>
          <w:szCs w:val="28"/>
        </w:rPr>
      </w:pPr>
      <w:bookmarkStart w:id="389" w:name="_Toc1477"/>
      <w:r>
        <w:rPr>
          <w:rFonts w:hint="default" w:ascii="Times New Roman" w:hAnsi="Times New Roman" w:eastAsia="宋体" w:cs="Times New Roman"/>
          <w:color w:val="auto"/>
          <w:sz w:val="28"/>
          <w:szCs w:val="28"/>
        </w:rPr>
        <w:t>7.</w:t>
      </w:r>
      <w:r>
        <w:rPr>
          <w:rFonts w:hint="default" w:ascii="Times New Roman" w:hAnsi="Times New Roman" w:eastAsia="宋体" w:cs="Times New Roman"/>
          <w:color w:val="auto"/>
          <w:sz w:val="28"/>
          <w:szCs w:val="28"/>
          <w:lang w:val="en-US" w:eastAsia="zh-CN"/>
        </w:rPr>
        <w:t>1</w:t>
      </w:r>
      <w:r>
        <w:rPr>
          <w:rFonts w:hint="default" w:ascii="Times New Roman" w:hAnsi="Times New Roman" w:eastAsia="宋体" w:cs="Times New Roman"/>
          <w:color w:val="auto"/>
          <w:sz w:val="28"/>
          <w:szCs w:val="28"/>
        </w:rPr>
        <w:t>风险调査</w:t>
      </w:r>
      <w:bookmarkEnd w:id="389"/>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1、</w:t>
      </w:r>
      <w:r>
        <w:rPr>
          <w:rFonts w:hint="default" w:ascii="Times New Roman" w:hAnsi="Times New Roman" w:eastAsia="宋体" w:cs="Times New Roman"/>
          <w:color w:val="auto"/>
          <w:kern w:val="0"/>
          <w:sz w:val="24"/>
        </w:rPr>
        <w:t>风险源调查</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建设项目环境风险评价技术导则》（HJ/T169-2018），先确定建设项目生产、使用、储存过程中涉及的有毒有害、易燃易爆物质分析危险物质的临界量，再根据危险物质数量与临界量的比值Q和所属行业及生产工艺特点M，进行P的分级确定。</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lang w:val="en-US" w:eastAsia="zh-CN"/>
        </w:rPr>
        <w:t>1）</w:t>
      </w:r>
      <w:r>
        <w:rPr>
          <w:rFonts w:hint="default" w:ascii="Times New Roman" w:hAnsi="Times New Roman" w:eastAsia="宋体" w:cs="Times New Roman"/>
          <w:color w:val="auto"/>
          <w:kern w:val="0"/>
          <w:sz w:val="24"/>
        </w:rPr>
        <w:t>危险物质数量与临界值比值（Q）</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按照下式计算物质总量与其临界量比值：</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drawing>
          <wp:inline distT="0" distB="0" distL="0" distR="0">
            <wp:extent cx="1552575" cy="387985"/>
            <wp:effectExtent l="0" t="0" r="1905" b="8255"/>
            <wp:docPr id="1388"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图片 133"/>
                    <pic:cNvPicPr>
                      <a:picLocks noChangeAspect="1" noChangeArrowheads="1"/>
                    </pic:cNvPicPr>
                  </pic:nvPicPr>
                  <pic:blipFill>
                    <a:blip r:embed="rId111" cstate="print"/>
                    <a:srcRect/>
                    <a:stretch>
                      <a:fillRect/>
                    </a:stretch>
                  </pic:blipFill>
                  <pic:spPr>
                    <a:xfrm>
                      <a:off x="0" y="0"/>
                      <a:ext cx="1552575" cy="387985"/>
                    </a:xfrm>
                    <a:prstGeom prst="rect">
                      <a:avLst/>
                    </a:prstGeom>
                    <a:noFill/>
                    <a:ln w="9525">
                      <a:noFill/>
                      <a:miter lim="800000"/>
                      <a:headEnd/>
                      <a:tailEnd/>
                    </a:ln>
                  </pic:spPr>
                </pic:pic>
              </a:graphicData>
            </a:graphic>
          </wp:inline>
        </w:drawing>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式中：q1，q2，…，qn——每种危险物质的最大存在总量，t；</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 xml:space="preserve">      Q1，Q2，…，Qn——每种危险物质的临界量，t。</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当Q＜1时，该项目环境风险潜势为Ⅰ。</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当Q≥1时，将Q值划分为：（1）1≤Q＜10；（2）10≤Q＜100；（3）Q≥100。</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本项目</w:t>
      </w:r>
      <w:r>
        <w:rPr>
          <w:rFonts w:hint="default" w:ascii="Times New Roman" w:hAnsi="Times New Roman" w:eastAsia="宋体" w:cs="Times New Roman"/>
          <w:color w:val="auto"/>
          <w:kern w:val="0"/>
          <w:sz w:val="24"/>
          <w:lang w:eastAsia="zh-CN"/>
        </w:rPr>
        <w:t>风险物质</w:t>
      </w:r>
      <w:r>
        <w:rPr>
          <w:rFonts w:hint="default" w:ascii="Times New Roman" w:hAnsi="Times New Roman" w:eastAsia="宋体" w:cs="Times New Roman"/>
          <w:color w:val="auto"/>
          <w:kern w:val="0"/>
          <w:sz w:val="24"/>
        </w:rPr>
        <w:t>最大存在总量见表7.1-1。</w:t>
      </w:r>
    </w:p>
    <w:p>
      <w:pPr>
        <w:pStyle w:val="74"/>
        <w:spacing w:beforeLines="50" w:line="480" w:lineRule="exact"/>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表7.1-1                        Q值确定表</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4"/>
        <w:gridCol w:w="1680"/>
        <w:gridCol w:w="1159"/>
        <w:gridCol w:w="1900"/>
        <w:gridCol w:w="1560"/>
        <w:gridCol w:w="199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4" w:type="dxa"/>
            <w:tcBorders>
              <w:tl2br w:val="nil"/>
              <w:tr2bl w:val="nil"/>
            </w:tcBorders>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序号</w:t>
            </w:r>
          </w:p>
        </w:tc>
        <w:tc>
          <w:tcPr>
            <w:tcW w:w="1680" w:type="dxa"/>
            <w:tcBorders>
              <w:tl2br w:val="nil"/>
              <w:tr2bl w:val="nil"/>
            </w:tcBorders>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危险物质名称</w:t>
            </w:r>
          </w:p>
        </w:tc>
        <w:tc>
          <w:tcPr>
            <w:tcW w:w="1160" w:type="dxa"/>
            <w:tcBorders>
              <w:tl2br w:val="nil"/>
              <w:tr2bl w:val="nil"/>
            </w:tcBorders>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CAS号</w:t>
            </w:r>
          </w:p>
        </w:tc>
        <w:tc>
          <w:tcPr>
            <w:tcW w:w="1900" w:type="dxa"/>
            <w:tcBorders>
              <w:tl2br w:val="nil"/>
              <w:tr2bl w:val="nil"/>
            </w:tcBorders>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最大存在总量qn/t</w:t>
            </w:r>
          </w:p>
        </w:tc>
        <w:tc>
          <w:tcPr>
            <w:tcW w:w="1560" w:type="dxa"/>
            <w:tcBorders>
              <w:tl2br w:val="nil"/>
              <w:tr2bl w:val="nil"/>
            </w:tcBorders>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临界量Qn/t</w:t>
            </w:r>
          </w:p>
        </w:tc>
        <w:tc>
          <w:tcPr>
            <w:tcW w:w="1994" w:type="dxa"/>
            <w:tcBorders>
              <w:tl2br w:val="nil"/>
              <w:tr2bl w:val="nil"/>
            </w:tcBorders>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该种危险物质Q值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4" w:type="dxa"/>
            <w:tcBorders>
              <w:tl2br w:val="nil"/>
              <w:tr2bl w:val="nil"/>
            </w:tcBorders>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1</w:t>
            </w:r>
          </w:p>
        </w:tc>
        <w:tc>
          <w:tcPr>
            <w:tcW w:w="1680" w:type="dxa"/>
            <w:tcBorders>
              <w:tl2br w:val="nil"/>
              <w:tr2bl w:val="nil"/>
            </w:tcBorders>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废机油</w:t>
            </w:r>
          </w:p>
        </w:tc>
        <w:tc>
          <w:tcPr>
            <w:tcW w:w="1160" w:type="dxa"/>
            <w:tcBorders>
              <w:tl2br w:val="nil"/>
              <w:tr2bl w:val="nil"/>
            </w:tcBorders>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900" w:type="dxa"/>
            <w:tcBorders>
              <w:tl2br w:val="nil"/>
              <w:tr2bl w:val="nil"/>
            </w:tcBorders>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0.5</w:t>
            </w:r>
          </w:p>
        </w:tc>
        <w:tc>
          <w:tcPr>
            <w:tcW w:w="1560" w:type="dxa"/>
            <w:tcBorders>
              <w:tl2br w:val="nil"/>
              <w:tr2bl w:val="nil"/>
            </w:tcBorders>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2500</w:t>
            </w:r>
          </w:p>
        </w:tc>
        <w:tc>
          <w:tcPr>
            <w:tcW w:w="1994" w:type="dxa"/>
            <w:tcBorders>
              <w:tl2br w:val="nil"/>
              <w:tr2bl w:val="nil"/>
            </w:tcBorders>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0.0002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94" w:type="dxa"/>
            <w:gridSpan w:val="5"/>
            <w:tcBorders>
              <w:tl2br w:val="nil"/>
              <w:tr2bl w:val="nil"/>
            </w:tcBorders>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项目Q值∑</w:t>
            </w:r>
          </w:p>
        </w:tc>
        <w:tc>
          <w:tcPr>
            <w:tcW w:w="1994" w:type="dxa"/>
            <w:tcBorders>
              <w:tl2br w:val="nil"/>
              <w:tr2bl w:val="nil"/>
            </w:tcBorders>
            <w:vAlign w:val="center"/>
          </w:tcPr>
          <w:p>
            <w:pPr>
              <w:adjustRightInd w:val="0"/>
              <w:snapToGrid w:val="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0.0002</w:t>
            </w:r>
          </w:p>
        </w:tc>
      </w:tr>
    </w:tbl>
    <w:p>
      <w:pPr>
        <w:autoSpaceDE w:val="0"/>
        <w:autoSpaceDN w:val="0"/>
        <w:spacing w:beforeLines="50" w:line="480" w:lineRule="exact"/>
        <w:ind w:firstLine="480" w:firstLineChars="200"/>
        <w:jc w:val="left"/>
        <w:rPr>
          <w:rFonts w:hint="default" w:ascii="Times New Roman" w:hAnsi="Times New Roman" w:eastAsia="宋体" w:cs="Times New Roman"/>
          <w:kern w:val="0"/>
          <w:sz w:val="24"/>
        </w:rPr>
      </w:pPr>
      <w:bookmarkStart w:id="390" w:name="_Toc22016520"/>
      <w:r>
        <w:rPr>
          <w:rFonts w:hint="default" w:ascii="Times New Roman" w:hAnsi="Times New Roman" w:eastAsia="宋体" w:cs="Times New Roman"/>
          <w:kern w:val="0"/>
          <w:sz w:val="24"/>
        </w:rPr>
        <w:t>本项目</w:t>
      </w:r>
      <w:r>
        <w:rPr>
          <w:rFonts w:hint="default" w:ascii="Times New Roman" w:hAnsi="Times New Roman" w:eastAsia="宋体" w:cs="Times New Roman"/>
          <w:color w:val="auto"/>
          <w:kern w:val="0"/>
          <w:sz w:val="24"/>
        </w:rPr>
        <w:t>Q＜1</w:t>
      </w:r>
      <w:r>
        <w:rPr>
          <w:rFonts w:hint="default" w:ascii="Times New Roman" w:hAnsi="Times New Roman" w:eastAsia="宋体" w:cs="Times New Roman"/>
          <w:kern w:val="0"/>
          <w:sz w:val="24"/>
        </w:rPr>
        <w:t>，因此环境风险直接判定为风险潜势为I。</w:t>
      </w:r>
    </w:p>
    <w:p>
      <w:pPr>
        <w:autoSpaceDE w:val="0"/>
        <w:autoSpaceDN w:val="0"/>
        <w:adjustRightInd w:val="0"/>
        <w:snapToGrid w:val="0"/>
        <w:spacing w:beforeLines="50" w:line="480" w:lineRule="exact"/>
        <w:ind w:firstLine="480" w:firstLineChars="200"/>
        <w:jc w:val="left"/>
        <w:rPr>
          <w:rFonts w:hint="default" w:ascii="Times New Roman" w:hAnsi="Times New Roman" w:eastAsia="宋体" w:cs="Times New Roman"/>
          <w:sz w:val="24"/>
        </w:rPr>
      </w:pPr>
      <w:r>
        <w:rPr>
          <w:rFonts w:hint="default" w:ascii="Times New Roman" w:hAnsi="Times New Roman" w:eastAsia="宋体" w:cs="Times New Roman"/>
          <w:sz w:val="24"/>
        </w:rPr>
        <w:t>根据HJ169-2018中表1规定，建设项目评价工作等级划分见表7.1-</w:t>
      </w:r>
      <w:r>
        <w:rPr>
          <w:rFonts w:hint="default" w:ascii="Times New Roman" w:hAnsi="Times New Roman" w:eastAsia="宋体" w:cs="Times New Roman"/>
          <w:sz w:val="24"/>
          <w:lang w:val="en-US" w:eastAsia="zh-CN"/>
        </w:rPr>
        <w:t>2</w:t>
      </w:r>
      <w:r>
        <w:rPr>
          <w:rFonts w:hint="default" w:ascii="Times New Roman" w:hAnsi="Times New Roman" w:eastAsia="宋体" w:cs="Times New Roman"/>
          <w:sz w:val="24"/>
        </w:rPr>
        <w:t>。</w:t>
      </w:r>
    </w:p>
    <w:p>
      <w:pPr>
        <w:autoSpaceDE w:val="0"/>
        <w:autoSpaceDN w:val="0"/>
        <w:adjustRightInd w:val="0"/>
        <w:snapToGrid w:val="0"/>
        <w:spacing w:beforeLines="50" w:line="480" w:lineRule="exact"/>
        <w:jc w:val="left"/>
        <w:rPr>
          <w:rFonts w:hint="default" w:ascii="Times New Roman" w:hAnsi="Times New Roman" w:eastAsia="宋体" w:cs="Times New Roman"/>
          <w:sz w:val="24"/>
        </w:rPr>
      </w:pPr>
      <w:r>
        <w:rPr>
          <w:rFonts w:hint="default" w:ascii="Times New Roman" w:hAnsi="Times New Roman" w:eastAsia="宋体" w:cs="Times New Roman"/>
          <w:sz w:val="24"/>
        </w:rPr>
        <w:t>表7.1-</w:t>
      </w:r>
      <w:r>
        <w:rPr>
          <w:rFonts w:hint="default" w:ascii="Times New Roman" w:hAnsi="Times New Roman" w:eastAsia="宋体" w:cs="Times New Roman"/>
          <w:sz w:val="24"/>
          <w:lang w:val="en-US" w:eastAsia="zh-CN"/>
        </w:rPr>
        <w:t xml:space="preserve">2                      </w:t>
      </w:r>
      <w:r>
        <w:rPr>
          <w:rFonts w:hint="default" w:ascii="Times New Roman" w:hAnsi="Times New Roman" w:eastAsia="宋体" w:cs="Times New Roman"/>
          <w:sz w:val="24"/>
        </w:rPr>
        <w:t>评价工作等级划分</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44"/>
        <w:gridCol w:w="2066"/>
        <w:gridCol w:w="929"/>
        <w:gridCol w:w="929"/>
        <w:gridCol w:w="241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4" w:type="dxa"/>
            <w:tcBorders>
              <w:tl2br w:val="nil"/>
              <w:tr2bl w:val="nil"/>
            </w:tcBorders>
            <w:vAlign w:val="center"/>
          </w:tcPr>
          <w:p>
            <w:pPr>
              <w:adjustRightInd w:val="0"/>
              <w:snapToGrid w:val="0"/>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环境风险潜势</w:t>
            </w:r>
          </w:p>
        </w:tc>
        <w:tc>
          <w:tcPr>
            <w:tcW w:w="2066" w:type="dxa"/>
            <w:tcBorders>
              <w:tl2br w:val="nil"/>
              <w:tr2bl w:val="nil"/>
            </w:tcBorders>
            <w:vAlign w:val="center"/>
          </w:tcPr>
          <w:p>
            <w:pPr>
              <w:adjustRightInd w:val="0"/>
              <w:snapToGrid w:val="0"/>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IV、IV+</w:t>
            </w:r>
          </w:p>
        </w:tc>
        <w:tc>
          <w:tcPr>
            <w:tcW w:w="929" w:type="dxa"/>
            <w:tcBorders>
              <w:tl2br w:val="nil"/>
              <w:tr2bl w:val="nil"/>
            </w:tcBorders>
            <w:vAlign w:val="center"/>
          </w:tcPr>
          <w:p>
            <w:pPr>
              <w:adjustRightInd w:val="0"/>
              <w:snapToGrid w:val="0"/>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III</w:t>
            </w:r>
          </w:p>
        </w:tc>
        <w:tc>
          <w:tcPr>
            <w:tcW w:w="930" w:type="dxa"/>
            <w:tcBorders>
              <w:tl2br w:val="nil"/>
              <w:tr2bl w:val="nil"/>
            </w:tcBorders>
            <w:vAlign w:val="center"/>
          </w:tcPr>
          <w:p>
            <w:pPr>
              <w:adjustRightInd w:val="0"/>
              <w:snapToGrid w:val="0"/>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II</w:t>
            </w:r>
          </w:p>
        </w:tc>
        <w:tc>
          <w:tcPr>
            <w:tcW w:w="2418" w:type="dxa"/>
            <w:tcBorders>
              <w:tl2br w:val="nil"/>
              <w:tr2bl w:val="nil"/>
            </w:tcBorders>
            <w:vAlign w:val="center"/>
          </w:tcPr>
          <w:p>
            <w:pPr>
              <w:adjustRightInd w:val="0"/>
              <w:snapToGrid w:val="0"/>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I</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4" w:type="dxa"/>
            <w:tcBorders>
              <w:tl2br w:val="nil"/>
              <w:tr2bl w:val="nil"/>
            </w:tcBorders>
            <w:vAlign w:val="center"/>
          </w:tcPr>
          <w:p>
            <w:pPr>
              <w:adjustRightInd w:val="0"/>
              <w:snapToGrid w:val="0"/>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评价工作等级</w:t>
            </w:r>
          </w:p>
        </w:tc>
        <w:tc>
          <w:tcPr>
            <w:tcW w:w="2066" w:type="dxa"/>
            <w:tcBorders>
              <w:tl2br w:val="nil"/>
              <w:tr2bl w:val="nil"/>
            </w:tcBorders>
            <w:vAlign w:val="center"/>
          </w:tcPr>
          <w:p>
            <w:pPr>
              <w:adjustRightInd w:val="0"/>
              <w:snapToGrid w:val="0"/>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一</w:t>
            </w:r>
          </w:p>
        </w:tc>
        <w:tc>
          <w:tcPr>
            <w:tcW w:w="929" w:type="dxa"/>
            <w:tcBorders>
              <w:tl2br w:val="nil"/>
              <w:tr2bl w:val="nil"/>
            </w:tcBorders>
            <w:vAlign w:val="center"/>
          </w:tcPr>
          <w:p>
            <w:pPr>
              <w:adjustRightInd w:val="0"/>
              <w:snapToGrid w:val="0"/>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二</w:t>
            </w:r>
          </w:p>
        </w:tc>
        <w:tc>
          <w:tcPr>
            <w:tcW w:w="930" w:type="dxa"/>
            <w:tcBorders>
              <w:tl2br w:val="nil"/>
              <w:tr2bl w:val="nil"/>
            </w:tcBorders>
            <w:vAlign w:val="center"/>
          </w:tcPr>
          <w:p>
            <w:pPr>
              <w:adjustRightInd w:val="0"/>
              <w:snapToGrid w:val="0"/>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三</w:t>
            </w:r>
          </w:p>
        </w:tc>
        <w:tc>
          <w:tcPr>
            <w:tcW w:w="2418" w:type="dxa"/>
            <w:tcBorders>
              <w:tl2br w:val="nil"/>
              <w:tr2bl w:val="nil"/>
            </w:tcBorders>
            <w:vAlign w:val="center"/>
          </w:tcPr>
          <w:p>
            <w:pPr>
              <w:adjustRightInd w:val="0"/>
              <w:snapToGrid w:val="0"/>
              <w:jc w:val="center"/>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简单分析a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87" w:type="dxa"/>
            <w:gridSpan w:val="5"/>
            <w:tcBorders>
              <w:tl2br w:val="nil"/>
              <w:tr2bl w:val="nil"/>
            </w:tcBorders>
            <w:vAlign w:val="center"/>
          </w:tcPr>
          <w:p>
            <w:pPr>
              <w:adjustRightInd w:val="0"/>
              <w:snapToGrid w:val="0"/>
              <w:jc w:val="left"/>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a 是相对于详细评价工作内容而言，在描述危险物质、环境影响途径、环境危害后果、风险防范措施等方面给出定性的说明。</w:t>
            </w:r>
          </w:p>
        </w:tc>
      </w:tr>
    </w:tbl>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sz w:val="24"/>
        </w:rPr>
      </w:pPr>
      <w:r>
        <w:rPr>
          <w:rFonts w:hint="default" w:ascii="Times New Roman" w:hAnsi="Times New Roman" w:eastAsia="宋体" w:cs="Times New Roman"/>
          <w:sz w:val="24"/>
        </w:rPr>
        <w:t>综上，本项目</w:t>
      </w:r>
      <w:r>
        <w:rPr>
          <w:rFonts w:hint="default" w:ascii="Times New Roman" w:hAnsi="Times New Roman" w:eastAsia="宋体" w:cs="Times New Roman"/>
          <w:kern w:val="0"/>
          <w:sz w:val="24"/>
        </w:rPr>
        <w:t>环境风险潜势为I</w:t>
      </w:r>
      <w:r>
        <w:rPr>
          <w:rFonts w:hint="default" w:ascii="Times New Roman" w:hAnsi="Times New Roman" w:eastAsia="宋体" w:cs="Times New Roman"/>
          <w:sz w:val="24"/>
        </w:rPr>
        <w:t>，本次环境风险评价只进行风险识别和对事故影响进行简要分析，并提出防范、减缓和应急措施。</w:t>
      </w:r>
    </w:p>
    <w:p>
      <w:pPr>
        <w:pStyle w:val="41"/>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pacing w:val="0"/>
          <w:kern w:val="0"/>
          <w:sz w:val="24"/>
          <w:szCs w:val="24"/>
          <w:lang w:val="en-US" w:eastAsia="zh-CN"/>
        </w:rPr>
      </w:pPr>
      <w:r>
        <w:rPr>
          <w:rFonts w:hint="default" w:ascii="Times New Roman" w:hAnsi="Times New Roman" w:eastAsia="宋体" w:cs="Times New Roman"/>
          <w:color w:val="auto"/>
          <w:spacing w:val="0"/>
          <w:kern w:val="0"/>
          <w:sz w:val="24"/>
          <w:szCs w:val="24"/>
          <w:lang w:val="en-US" w:eastAsia="zh-CN"/>
        </w:rPr>
        <w:t>2、环境敏感目标调查</w:t>
      </w:r>
    </w:p>
    <w:bookmarkEnd w:id="390"/>
    <w:p>
      <w:pPr>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根据《建设项目环境风险评价技术导则》（H169-2018），环境风险潜势为I，可开展简单分析，本项目不设风险评价范围</w:t>
      </w:r>
      <w:r>
        <w:rPr>
          <w:rFonts w:hint="default" w:ascii="Times New Roman" w:hAnsi="Times New Roman" w:eastAsia="宋体" w:cs="Times New Roman"/>
          <w:sz w:val="24"/>
          <w:szCs w:val="24"/>
          <w:lang w:eastAsia="zh-CN"/>
        </w:rPr>
        <w:t>。</w:t>
      </w:r>
    </w:p>
    <w:p>
      <w:pPr>
        <w:pStyle w:val="4"/>
        <w:spacing w:line="360" w:lineRule="auto"/>
        <w:rPr>
          <w:rFonts w:hint="default" w:ascii="Times New Roman" w:hAnsi="Times New Roman" w:eastAsia="宋体" w:cs="Times New Roman"/>
          <w:color w:val="auto"/>
          <w:sz w:val="28"/>
          <w:szCs w:val="28"/>
        </w:rPr>
      </w:pPr>
      <w:bookmarkStart w:id="391" w:name="_Toc7062"/>
      <w:bookmarkStart w:id="392" w:name="_Toc22110"/>
      <w:r>
        <w:rPr>
          <w:rFonts w:hint="default" w:ascii="Times New Roman" w:hAnsi="Times New Roman" w:eastAsia="宋体" w:cs="Times New Roman"/>
          <w:color w:val="auto"/>
          <w:sz w:val="28"/>
          <w:szCs w:val="28"/>
          <w:lang w:val="en-US" w:eastAsia="zh-CN"/>
        </w:rPr>
        <w:t>7.2</w:t>
      </w:r>
      <w:r>
        <w:rPr>
          <w:rFonts w:hint="default" w:ascii="Times New Roman" w:hAnsi="Times New Roman" w:eastAsia="宋体" w:cs="Times New Roman"/>
          <w:color w:val="auto"/>
          <w:sz w:val="28"/>
          <w:szCs w:val="28"/>
        </w:rPr>
        <w:t>环境风险识别</w:t>
      </w:r>
      <w:bookmarkEnd w:id="391"/>
      <w:bookmarkEnd w:id="392"/>
    </w:p>
    <w:p>
      <w:pPr>
        <w:bidi w:val="0"/>
        <w:spacing w:line="360" w:lineRule="auto"/>
        <w:rPr>
          <w:rFonts w:hint="default" w:ascii="Times New Roman" w:hAnsi="Times New Roman" w:eastAsia="宋体" w:cs="Times New Roman"/>
          <w:b/>
          <w:bCs/>
          <w:color w:val="auto"/>
          <w:sz w:val="28"/>
          <w:szCs w:val="28"/>
          <w:lang w:val="en-US" w:eastAsia="zh-CN"/>
        </w:rPr>
      </w:pPr>
      <w:bookmarkStart w:id="393" w:name="_Toc3285"/>
      <w:r>
        <w:rPr>
          <w:rFonts w:hint="default" w:ascii="Times New Roman" w:hAnsi="Times New Roman" w:eastAsia="宋体" w:cs="Times New Roman"/>
          <w:b/>
          <w:bCs/>
          <w:color w:val="auto"/>
          <w:sz w:val="28"/>
          <w:szCs w:val="28"/>
          <w:lang w:val="en-US" w:eastAsia="zh-CN"/>
        </w:rPr>
        <w:t>7.2.1</w:t>
      </w:r>
      <w:bookmarkEnd w:id="393"/>
      <w:r>
        <w:rPr>
          <w:rFonts w:hint="default" w:ascii="Times New Roman" w:hAnsi="Times New Roman" w:eastAsia="宋体" w:cs="Times New Roman"/>
          <w:b/>
          <w:bCs/>
          <w:color w:val="auto"/>
          <w:sz w:val="28"/>
          <w:szCs w:val="28"/>
          <w:lang w:val="en-US" w:eastAsia="zh-CN"/>
        </w:rPr>
        <w:t>风险物质识别</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jc w:val="both"/>
        <w:textAlignment w:val="auto"/>
        <w:rPr>
          <w:rFonts w:hint="default" w:ascii="Times New Roman" w:hAnsi="Times New Roman" w:eastAsia="宋体" w:cs="Times New Roman"/>
          <w:color w:val="auto"/>
          <w:sz w:val="24"/>
          <w:szCs w:val="24"/>
        </w:rPr>
      </w:pPr>
      <w:bookmarkStart w:id="394" w:name="_Toc15347"/>
      <w:r>
        <w:rPr>
          <w:rFonts w:hint="default" w:ascii="Times New Roman" w:hAnsi="Times New Roman" w:eastAsia="宋体" w:cs="Times New Roman"/>
          <w:color w:val="auto"/>
          <w:sz w:val="24"/>
          <w:szCs w:val="24"/>
        </w:rPr>
        <w:t>通过对本项目主要原辅材料、产品及生产过程污染物的排放情况分析，本项目涉及的环境风险物质为</w:t>
      </w:r>
      <w:r>
        <w:rPr>
          <w:rFonts w:hint="default" w:ascii="Times New Roman" w:hAnsi="Times New Roman" w:eastAsia="宋体" w:cs="Times New Roman"/>
          <w:color w:val="auto"/>
          <w:sz w:val="24"/>
          <w:szCs w:val="24"/>
          <w:lang w:eastAsia="zh-CN"/>
        </w:rPr>
        <w:t>废机油</w:t>
      </w:r>
      <w:r>
        <w:rPr>
          <w:rFonts w:hint="default" w:ascii="Times New Roman" w:hAnsi="Times New Roman" w:eastAsia="宋体" w:cs="Times New Roman"/>
          <w:color w:val="auto"/>
          <w:sz w:val="24"/>
          <w:szCs w:val="24"/>
        </w:rPr>
        <w:t>，其理化特性见表7.</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-1。</w:t>
      </w:r>
    </w:p>
    <w:p>
      <w:pPr>
        <w:pStyle w:val="74"/>
        <w:spacing w:beforeLines="50" w:line="480" w:lineRule="exact"/>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表7.2-1                 废机油理化性质及危险特性一览表</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4"/>
        <w:gridCol w:w="719"/>
        <w:gridCol w:w="927"/>
        <w:gridCol w:w="1418"/>
        <w:gridCol w:w="1537"/>
        <w:gridCol w:w="318"/>
        <w:gridCol w:w="1398"/>
        <w:gridCol w:w="189"/>
        <w:gridCol w:w="1564"/>
        <w:gridCol w:w="73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标识</w:t>
            </w:r>
          </w:p>
        </w:tc>
        <w:tc>
          <w:tcPr>
            <w:tcW w:w="4919" w:type="dxa"/>
            <w:gridSpan w:val="5"/>
            <w:tcBorders>
              <w:tl2br w:val="nil"/>
              <w:tr2bl w:val="nil"/>
            </w:tcBorders>
            <w:noWrap w:val="0"/>
            <w:vAlign w:val="center"/>
          </w:tcPr>
          <w:p>
            <w:pPr>
              <w:spacing w:line="260" w:lineRule="exact"/>
              <w:jc w:val="both"/>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中文名：</w:t>
            </w:r>
            <w:r>
              <w:rPr>
                <w:rFonts w:hint="default" w:ascii="Times New Roman" w:hAnsi="Times New Roman" w:eastAsia="宋体" w:cs="Times New Roman"/>
                <w:b w:val="0"/>
                <w:bCs/>
                <w:color w:val="000000" w:themeColor="text1"/>
                <w:sz w:val="21"/>
                <w:szCs w:val="21"/>
                <w:lang w:eastAsia="zh-CN"/>
              </w:rPr>
              <w:t>矿物油</w:t>
            </w:r>
          </w:p>
        </w:tc>
        <w:tc>
          <w:tcPr>
            <w:tcW w:w="3885" w:type="dxa"/>
            <w:gridSpan w:val="4"/>
            <w:tcBorders>
              <w:tl2br w:val="nil"/>
              <w:tr2bl w:val="nil"/>
            </w:tcBorders>
            <w:noWrap w:val="0"/>
            <w:vAlign w:val="center"/>
          </w:tcPr>
          <w:p>
            <w:pPr>
              <w:spacing w:line="260" w:lineRule="exact"/>
              <w:jc w:val="both"/>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英文名</w:t>
            </w:r>
            <w:r>
              <w:rPr>
                <w:rFonts w:hint="default" w:ascii="Times New Roman" w:hAnsi="Times New Roman" w:eastAsia="宋体" w:cs="Times New Roman"/>
                <w:b w:val="0"/>
                <w:bCs/>
                <w:color w:val="000000" w:themeColor="text1"/>
                <w:spacing w:val="10"/>
                <w:sz w:val="21"/>
                <w:szCs w:val="24"/>
                <w:lang w:val="en-GB"/>
              </w:rPr>
              <w:t>：</w:t>
            </w:r>
            <w:r>
              <w:rPr>
                <w:rFonts w:hint="default" w:ascii="Times New Roman" w:hAnsi="Times New Roman" w:eastAsia="宋体" w:cs="Times New Roman"/>
                <w:b w:val="0"/>
                <w:bCs/>
                <w:color w:val="000000" w:themeColor="text1"/>
                <w:spacing w:val="10"/>
                <w:sz w:val="21"/>
                <w:szCs w:val="24"/>
              </w:rPr>
              <w:t>lubricating</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vMerge w:val="restart"/>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理化性质</w:t>
            </w:r>
          </w:p>
        </w:tc>
        <w:tc>
          <w:tcPr>
            <w:tcW w:w="1646"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外观与性状</w:t>
            </w:r>
          </w:p>
        </w:tc>
        <w:tc>
          <w:tcPr>
            <w:tcW w:w="3273" w:type="dxa"/>
            <w:gridSpan w:val="3"/>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淡黄色粘稠液体</w:t>
            </w:r>
          </w:p>
        </w:tc>
        <w:tc>
          <w:tcPr>
            <w:tcW w:w="1398" w:type="dxa"/>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闪点（℃）</w:t>
            </w:r>
          </w:p>
        </w:tc>
        <w:tc>
          <w:tcPr>
            <w:tcW w:w="2487" w:type="dxa"/>
            <w:gridSpan w:val="3"/>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z w:val="21"/>
                <w:szCs w:val="24"/>
              </w:rPr>
              <w:t>120~340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vMerge w:val="continue"/>
            <w:tcBorders>
              <w:tl2br w:val="nil"/>
              <w:tr2bl w:val="nil"/>
            </w:tcBorders>
            <w:noWrap w:val="0"/>
            <w:vAlign w:val="center"/>
          </w:tcPr>
          <w:p>
            <w:pPr>
              <w:widowControl/>
              <w:spacing w:line="260" w:lineRule="exact"/>
              <w:jc w:val="center"/>
              <w:rPr>
                <w:rFonts w:hint="default" w:ascii="Times New Roman" w:hAnsi="Times New Roman" w:eastAsia="宋体" w:cs="Times New Roman"/>
                <w:b w:val="0"/>
                <w:bCs/>
                <w:color w:val="000000" w:themeColor="text1"/>
                <w:spacing w:val="10"/>
                <w:sz w:val="21"/>
                <w:szCs w:val="24"/>
              </w:rPr>
            </w:pPr>
          </w:p>
        </w:tc>
        <w:tc>
          <w:tcPr>
            <w:tcW w:w="1646"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自燃点（℃）</w:t>
            </w:r>
          </w:p>
        </w:tc>
        <w:tc>
          <w:tcPr>
            <w:tcW w:w="1418" w:type="dxa"/>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z w:val="21"/>
                <w:szCs w:val="24"/>
              </w:rPr>
              <w:t>300~350</w:t>
            </w:r>
          </w:p>
        </w:tc>
        <w:tc>
          <w:tcPr>
            <w:tcW w:w="1855"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相对密度</w:t>
            </w:r>
          </w:p>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（水=1）</w:t>
            </w:r>
          </w:p>
        </w:tc>
        <w:tc>
          <w:tcPr>
            <w:tcW w:w="1398" w:type="dxa"/>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z w:val="21"/>
                <w:szCs w:val="24"/>
              </w:rPr>
              <w:t>934.8</w:t>
            </w:r>
          </w:p>
        </w:tc>
        <w:tc>
          <w:tcPr>
            <w:tcW w:w="1753"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相对密度</w:t>
            </w:r>
          </w:p>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（空气=1）</w:t>
            </w:r>
          </w:p>
        </w:tc>
        <w:tc>
          <w:tcPr>
            <w:tcW w:w="734" w:type="dxa"/>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0.85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vMerge w:val="continue"/>
            <w:tcBorders>
              <w:tl2br w:val="nil"/>
              <w:tr2bl w:val="nil"/>
            </w:tcBorders>
            <w:noWrap w:val="0"/>
            <w:vAlign w:val="center"/>
          </w:tcPr>
          <w:p>
            <w:pPr>
              <w:widowControl/>
              <w:spacing w:line="260" w:lineRule="exact"/>
              <w:jc w:val="center"/>
              <w:rPr>
                <w:rFonts w:hint="default" w:ascii="Times New Roman" w:hAnsi="Times New Roman" w:eastAsia="宋体" w:cs="Times New Roman"/>
                <w:b w:val="0"/>
                <w:bCs/>
                <w:color w:val="000000" w:themeColor="text1"/>
                <w:spacing w:val="10"/>
                <w:sz w:val="21"/>
                <w:szCs w:val="24"/>
              </w:rPr>
            </w:pPr>
          </w:p>
        </w:tc>
        <w:tc>
          <w:tcPr>
            <w:tcW w:w="1646"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沸点（℃）</w:t>
            </w:r>
          </w:p>
        </w:tc>
        <w:tc>
          <w:tcPr>
            <w:tcW w:w="1418" w:type="dxa"/>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252.8</w:t>
            </w:r>
          </w:p>
        </w:tc>
        <w:tc>
          <w:tcPr>
            <w:tcW w:w="3253" w:type="dxa"/>
            <w:gridSpan w:val="3"/>
            <w:tcBorders>
              <w:tl2br w:val="nil"/>
              <w:tr2bl w:val="nil"/>
            </w:tcBorders>
            <w:noWrap w:val="0"/>
            <w:vAlign w:val="center"/>
          </w:tcPr>
          <w:p>
            <w:pPr>
              <w:spacing w:line="260" w:lineRule="exact"/>
              <w:ind w:left="-40"/>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饱和蒸气压（kPa）</w:t>
            </w:r>
          </w:p>
        </w:tc>
        <w:tc>
          <w:tcPr>
            <w:tcW w:w="2487" w:type="dxa"/>
            <w:gridSpan w:val="3"/>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0.13/145.8℃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vMerge w:val="continue"/>
            <w:tcBorders>
              <w:tl2br w:val="nil"/>
              <w:tr2bl w:val="nil"/>
            </w:tcBorders>
            <w:noWrap w:val="0"/>
            <w:vAlign w:val="center"/>
          </w:tcPr>
          <w:p>
            <w:pPr>
              <w:widowControl/>
              <w:spacing w:line="260" w:lineRule="exact"/>
              <w:jc w:val="center"/>
              <w:rPr>
                <w:rFonts w:hint="default" w:ascii="Times New Roman" w:hAnsi="Times New Roman" w:eastAsia="宋体" w:cs="Times New Roman"/>
                <w:b w:val="0"/>
                <w:bCs/>
                <w:color w:val="000000" w:themeColor="text1"/>
                <w:spacing w:val="10"/>
                <w:sz w:val="21"/>
                <w:szCs w:val="24"/>
              </w:rPr>
            </w:pPr>
          </w:p>
        </w:tc>
        <w:tc>
          <w:tcPr>
            <w:tcW w:w="1646"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溶解性</w:t>
            </w:r>
          </w:p>
        </w:tc>
        <w:tc>
          <w:tcPr>
            <w:tcW w:w="7158" w:type="dxa"/>
            <w:gridSpan w:val="7"/>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溶于苯、乙醇、乙醚、氯仿、丙酮等多数有机溶剂。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vMerge w:val="restart"/>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燃烧爆炸危险</w:t>
            </w:r>
          </w:p>
        </w:tc>
        <w:tc>
          <w:tcPr>
            <w:tcW w:w="1646"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危险特性</w:t>
            </w:r>
          </w:p>
        </w:tc>
        <w:tc>
          <w:tcPr>
            <w:tcW w:w="2955"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z w:val="21"/>
                <w:szCs w:val="24"/>
              </w:rPr>
              <w:t>可燃液体，火灾危险性为丙B类；</w:t>
            </w:r>
            <w:r>
              <w:rPr>
                <w:rFonts w:hint="default" w:ascii="Times New Roman" w:hAnsi="Times New Roman" w:eastAsia="宋体" w:cs="Times New Roman"/>
                <w:b w:val="0"/>
                <w:bCs/>
                <w:color w:val="000000" w:themeColor="text1"/>
                <w:spacing w:val="10"/>
                <w:sz w:val="21"/>
                <w:szCs w:val="24"/>
              </w:rPr>
              <w:t>遇明火、高热可燃</w:t>
            </w:r>
          </w:p>
        </w:tc>
        <w:tc>
          <w:tcPr>
            <w:tcW w:w="1905" w:type="dxa"/>
            <w:gridSpan w:val="3"/>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燃烧分解产物</w:t>
            </w:r>
          </w:p>
        </w:tc>
        <w:tc>
          <w:tcPr>
            <w:tcW w:w="2298"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CO、CO</w:t>
            </w:r>
            <w:r>
              <w:rPr>
                <w:rFonts w:hint="default" w:ascii="Times New Roman" w:hAnsi="Times New Roman" w:eastAsia="宋体" w:cs="Times New Roman"/>
                <w:b w:val="0"/>
                <w:bCs/>
                <w:color w:val="000000" w:themeColor="text1"/>
                <w:spacing w:val="10"/>
                <w:sz w:val="21"/>
                <w:szCs w:val="24"/>
                <w:vertAlign w:val="subscript"/>
              </w:rPr>
              <w:t>2</w:t>
            </w:r>
            <w:r>
              <w:rPr>
                <w:rFonts w:hint="default" w:ascii="Times New Roman" w:hAnsi="Times New Roman" w:eastAsia="宋体" w:cs="Times New Roman"/>
                <w:b w:val="0"/>
                <w:bCs/>
                <w:color w:val="000000" w:themeColor="text1"/>
                <w:spacing w:val="10"/>
                <w:sz w:val="21"/>
                <w:szCs w:val="24"/>
              </w:rPr>
              <w:t>等有毒有害气体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vMerge w:val="continue"/>
            <w:tcBorders>
              <w:tl2br w:val="nil"/>
              <w:tr2bl w:val="nil"/>
            </w:tcBorders>
            <w:noWrap w:val="0"/>
            <w:vAlign w:val="center"/>
          </w:tcPr>
          <w:p>
            <w:pPr>
              <w:widowControl/>
              <w:spacing w:line="260" w:lineRule="exact"/>
              <w:jc w:val="center"/>
              <w:rPr>
                <w:rFonts w:hint="default" w:ascii="Times New Roman" w:hAnsi="Times New Roman" w:eastAsia="宋体" w:cs="Times New Roman"/>
                <w:b w:val="0"/>
                <w:bCs/>
                <w:color w:val="000000" w:themeColor="text1"/>
                <w:spacing w:val="10"/>
                <w:sz w:val="21"/>
                <w:szCs w:val="24"/>
              </w:rPr>
            </w:pPr>
          </w:p>
        </w:tc>
        <w:tc>
          <w:tcPr>
            <w:tcW w:w="1646"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稳定性</w:t>
            </w:r>
          </w:p>
        </w:tc>
        <w:tc>
          <w:tcPr>
            <w:tcW w:w="2955"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稳定</w:t>
            </w:r>
          </w:p>
        </w:tc>
        <w:tc>
          <w:tcPr>
            <w:tcW w:w="1905" w:type="dxa"/>
            <w:gridSpan w:val="3"/>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禁忌物</w:t>
            </w:r>
          </w:p>
        </w:tc>
        <w:tc>
          <w:tcPr>
            <w:tcW w:w="2298"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硝酸等强氧化剂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dxa"/>
            <w:vMerge w:val="continue"/>
            <w:tcBorders>
              <w:tl2br w:val="nil"/>
              <w:tr2bl w:val="nil"/>
            </w:tcBorders>
            <w:noWrap w:val="0"/>
            <w:vAlign w:val="center"/>
          </w:tcPr>
          <w:p>
            <w:pPr>
              <w:widowControl/>
              <w:spacing w:line="260" w:lineRule="exact"/>
              <w:rPr>
                <w:rFonts w:hint="default" w:ascii="Times New Roman" w:hAnsi="Times New Roman" w:eastAsia="宋体" w:cs="Times New Roman"/>
                <w:b w:val="0"/>
                <w:bCs/>
                <w:color w:val="000000" w:themeColor="text1"/>
                <w:spacing w:val="10"/>
                <w:sz w:val="21"/>
                <w:szCs w:val="24"/>
              </w:rPr>
            </w:pPr>
          </w:p>
        </w:tc>
        <w:tc>
          <w:tcPr>
            <w:tcW w:w="1646"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灭火方法</w:t>
            </w:r>
          </w:p>
        </w:tc>
        <w:tc>
          <w:tcPr>
            <w:tcW w:w="7158" w:type="dxa"/>
            <w:gridSpan w:val="7"/>
            <w:tcBorders>
              <w:tl2br w:val="nil"/>
              <w:tr2bl w:val="nil"/>
            </w:tcBorders>
            <w:noWrap w:val="0"/>
            <w:vAlign w:val="center"/>
          </w:tcPr>
          <w:p>
            <w:pPr>
              <w:spacing w:line="260" w:lineRule="exact"/>
              <w:rPr>
                <w:rFonts w:hint="default" w:ascii="Times New Roman" w:hAnsi="Times New Roman" w:eastAsia="宋体" w:cs="Times New Roman"/>
                <w:b w:val="0"/>
                <w:bCs/>
                <w:color w:val="000000" w:themeColor="text1"/>
                <w:sz w:val="21"/>
                <w:szCs w:val="24"/>
              </w:rPr>
            </w:pPr>
            <w:r>
              <w:rPr>
                <w:rFonts w:hint="default" w:ascii="Times New Roman" w:hAnsi="Times New Roman" w:eastAsia="宋体" w:cs="Times New Roman"/>
                <w:b w:val="0"/>
                <w:bCs/>
                <w:color w:val="000000" w:themeColor="text1"/>
                <w:sz w:val="21"/>
                <w:szCs w:val="24"/>
              </w:rPr>
              <w:t>消防人员须佩戴防毒面具、穿全身消防服，在上风向灭火。尽可能将容器从火场移至空旷处。喷水保持火场容器冷却，直至灭火结束。处在火场中的容器若已变色或从安全泄压装置中产生声音，必须立即撤离。灭火剂：雾状水、泡沫、干粉、二氧化碳、砂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3"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健康</w:t>
            </w:r>
          </w:p>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危害</w:t>
            </w:r>
          </w:p>
        </w:tc>
        <w:tc>
          <w:tcPr>
            <w:tcW w:w="8085" w:type="dxa"/>
            <w:gridSpan w:val="8"/>
            <w:tcBorders>
              <w:tl2br w:val="nil"/>
              <w:tr2bl w:val="nil"/>
            </w:tcBorders>
            <w:noWrap w:val="0"/>
            <w:vAlign w:val="center"/>
          </w:tcPr>
          <w:p>
            <w:pPr>
              <w:spacing w:line="260" w:lineRule="exact"/>
              <w:jc w:val="left"/>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急性吸入，可出现乏力、头晕、头痛、恶心，严重者可引起油脂性肺炎。慢接触者，暴露部位可发生油性痤疮和接触型皮炎。可引发神经衰弱综合症，呼吸道和眼刺激症状及慢性油脂性肺炎。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3"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急救</w:t>
            </w:r>
          </w:p>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措施</w:t>
            </w:r>
          </w:p>
        </w:tc>
        <w:tc>
          <w:tcPr>
            <w:tcW w:w="8085" w:type="dxa"/>
            <w:gridSpan w:val="8"/>
            <w:tcBorders>
              <w:tl2br w:val="nil"/>
              <w:tr2bl w:val="nil"/>
            </w:tcBorders>
            <w:noWrap w:val="0"/>
            <w:vAlign w:val="center"/>
          </w:tcPr>
          <w:p>
            <w:pPr>
              <w:spacing w:line="260" w:lineRule="exact"/>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皮肤接触：脱去污染的衣着，用大量流动清水清洗。就医。</w:t>
            </w:r>
          </w:p>
          <w:p>
            <w:pPr>
              <w:spacing w:line="260" w:lineRule="exact"/>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眼接触：提起眼睑，用流动清水或生理盐水冲洗。就医。</w:t>
            </w:r>
          </w:p>
          <w:p>
            <w:pPr>
              <w:spacing w:line="260" w:lineRule="exact"/>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吸入：迅速脱离现场至空气新鲜处，保持呼吸畅通。如呼吸困难，给输氧。如呼吸停止，立即进行人工呼吸。就医。</w:t>
            </w:r>
          </w:p>
          <w:p>
            <w:pPr>
              <w:spacing w:line="260" w:lineRule="exact"/>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食用：饮适量温水，催吐。就医。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3"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防护</w:t>
            </w:r>
          </w:p>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处理</w:t>
            </w:r>
          </w:p>
        </w:tc>
        <w:tc>
          <w:tcPr>
            <w:tcW w:w="8085" w:type="dxa"/>
            <w:gridSpan w:val="8"/>
            <w:tcBorders>
              <w:tl2br w:val="nil"/>
              <w:tr2bl w:val="nil"/>
            </w:tcBorders>
            <w:noWrap w:val="0"/>
            <w:vAlign w:val="center"/>
          </w:tcPr>
          <w:p>
            <w:pPr>
              <w:spacing w:line="260" w:lineRule="exact"/>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呼吸系统防护：空气中浓度超标时，必须佩戴自吸过滤式防毒面具（半面罩）；紧急事态抢救或撤离时，应佩戴空气呼吸器。</w:t>
            </w:r>
          </w:p>
          <w:p>
            <w:pPr>
              <w:spacing w:line="260" w:lineRule="exact"/>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眼睛防护：戴化学安全防护眼镜。</w:t>
            </w:r>
          </w:p>
          <w:p>
            <w:pPr>
              <w:spacing w:line="260" w:lineRule="exact"/>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身体防护：穿防毒渗透工作服。</w:t>
            </w:r>
          </w:p>
          <w:p>
            <w:pPr>
              <w:spacing w:line="260" w:lineRule="exact"/>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手防护：戴橡胶耐油手套。</w:t>
            </w:r>
          </w:p>
          <w:p>
            <w:pPr>
              <w:spacing w:line="260" w:lineRule="exact"/>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其他：工作现场严禁吸烟，避免长期反复接触。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3"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泄漏</w:t>
            </w:r>
          </w:p>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处理</w:t>
            </w:r>
          </w:p>
        </w:tc>
        <w:tc>
          <w:tcPr>
            <w:tcW w:w="8085" w:type="dxa"/>
            <w:gridSpan w:val="8"/>
            <w:tcBorders>
              <w:tl2br w:val="nil"/>
              <w:tr2bl w:val="nil"/>
            </w:tcBorders>
            <w:noWrap w:val="0"/>
            <w:vAlign w:val="center"/>
          </w:tcPr>
          <w:p>
            <w:pPr>
              <w:spacing w:line="260" w:lineRule="exact"/>
              <w:jc w:val="left"/>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迅速撤离泄漏污染区人员至安全区，并进行隔离，严格限制出入。切断火源。建议应急处理人员戴自给正式呼吸器，穿防毒服。尽可能切断泄漏源。防止流入下水道、排洪沟等限制性空间。小量泄漏：用砂土或其他不燃材料吸附或吸收，减少挥发。大量泄漏：构筑围堤或挖坑收容。用泵转移至槽车或专用收集器内，回收或运至废物处理场所处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3"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储存</w:t>
            </w:r>
          </w:p>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要求</w:t>
            </w:r>
          </w:p>
        </w:tc>
        <w:tc>
          <w:tcPr>
            <w:tcW w:w="8085" w:type="dxa"/>
            <w:gridSpan w:val="8"/>
            <w:tcBorders>
              <w:tl2br w:val="nil"/>
              <w:tr2bl w:val="nil"/>
            </w:tcBorders>
            <w:noWrap w:val="0"/>
            <w:vAlign w:val="center"/>
          </w:tcPr>
          <w:p>
            <w:pPr>
              <w:spacing w:line="260" w:lineRule="exact"/>
              <w:jc w:val="left"/>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储存于阴凉、通风的库房。远离火种、热源。应与氧化剂分开存放，切忌混储。配备相应品种和数量的消防器材。储区应备有泄漏应急处理设备和合适的收容材料。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3" w:type="dxa"/>
            <w:gridSpan w:val="2"/>
            <w:tcBorders>
              <w:tl2br w:val="nil"/>
              <w:tr2bl w:val="nil"/>
            </w:tcBorders>
            <w:noWrap w:val="0"/>
            <w:vAlign w:val="center"/>
          </w:tcPr>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运输</w:t>
            </w:r>
          </w:p>
          <w:p>
            <w:pPr>
              <w:spacing w:line="260" w:lineRule="exact"/>
              <w:jc w:val="center"/>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要求</w:t>
            </w:r>
          </w:p>
        </w:tc>
        <w:tc>
          <w:tcPr>
            <w:tcW w:w="8085" w:type="dxa"/>
            <w:gridSpan w:val="8"/>
            <w:tcBorders>
              <w:tl2br w:val="nil"/>
              <w:tr2bl w:val="nil"/>
            </w:tcBorders>
            <w:noWrap w:val="0"/>
            <w:vAlign w:val="center"/>
          </w:tcPr>
          <w:p>
            <w:pPr>
              <w:spacing w:line="260" w:lineRule="exact"/>
              <w:jc w:val="left"/>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用油罐、油罐车、油船、铁桶、塑料桶等盛装，盛装时切不可装满，要留出必要的安全空间。</w:t>
            </w:r>
          </w:p>
          <w:p>
            <w:pPr>
              <w:spacing w:line="260" w:lineRule="exact"/>
              <w:jc w:val="left"/>
              <w:rPr>
                <w:rFonts w:hint="default" w:ascii="Times New Roman" w:hAnsi="Times New Roman" w:eastAsia="宋体" w:cs="Times New Roman"/>
                <w:b w:val="0"/>
                <w:bCs/>
                <w:color w:val="000000" w:themeColor="text1"/>
                <w:spacing w:val="10"/>
                <w:sz w:val="21"/>
                <w:szCs w:val="24"/>
              </w:rPr>
            </w:pPr>
            <w:r>
              <w:rPr>
                <w:rFonts w:hint="default" w:ascii="Times New Roman" w:hAnsi="Times New Roman" w:eastAsia="宋体" w:cs="Times New Roman"/>
                <w:b w:val="0"/>
                <w:bCs/>
                <w:color w:val="000000" w:themeColor="text1"/>
                <w:spacing w:val="10"/>
                <w:sz w:val="21"/>
                <w:szCs w:val="24"/>
              </w:rPr>
              <w:t>运输前应先检查包装容器是否完整、密封，运输过程中要确保容器不泄漏、不倒塌、不坠落、不损坏。严禁与氧化剂、食用化学品等混装混运。运输车船必须彻底清洗、消毒，否则不得装运其它物品。船运时，配装位置应远离卧室、厨房，并与机舱、电源、火源等部位隔离。公路运输时要按规定路线行驶。</w:t>
            </w:r>
          </w:p>
        </w:tc>
      </w:tr>
      <w:bookmarkEnd w:id="394"/>
    </w:tbl>
    <w:p>
      <w:pPr>
        <w:autoSpaceDE w:val="0"/>
        <w:autoSpaceDN w:val="0"/>
        <w:adjustRightInd w:val="0"/>
        <w:snapToGrid w:val="0"/>
        <w:spacing w:beforeLines="50" w:line="480" w:lineRule="exact"/>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选矿过程有废水产生，一旦发生设备的破损或</w:t>
      </w:r>
      <w:r>
        <w:rPr>
          <w:rFonts w:hint="default" w:ascii="Times New Roman" w:hAnsi="Times New Roman" w:eastAsia="宋体" w:cs="Times New Roman"/>
          <w:kern w:val="0"/>
          <w:sz w:val="24"/>
          <w:lang w:eastAsia="zh-CN"/>
        </w:rPr>
        <w:t>浓密罐</w:t>
      </w:r>
      <w:r>
        <w:rPr>
          <w:rFonts w:hint="default" w:ascii="Times New Roman" w:hAnsi="Times New Roman" w:eastAsia="宋体" w:cs="Times New Roman"/>
          <w:kern w:val="0"/>
          <w:sz w:val="24"/>
        </w:rPr>
        <w:t>泄露可能使得矿浆外溢造成土壤、地下水污染事故。</w:t>
      </w:r>
    </w:p>
    <w:p>
      <w:pPr>
        <w:spacing w:beforeLines="50" w:line="480" w:lineRule="exact"/>
        <w:outlineLvl w:val="2"/>
        <w:rPr>
          <w:rFonts w:hint="default" w:ascii="Times New Roman" w:hAnsi="Times New Roman" w:eastAsia="宋体" w:cs="Times New Roman"/>
          <w:b/>
          <w:sz w:val="28"/>
          <w:szCs w:val="28"/>
        </w:rPr>
      </w:pPr>
      <w:r>
        <w:rPr>
          <w:rFonts w:hint="default" w:ascii="Times New Roman" w:hAnsi="Times New Roman" w:eastAsia="宋体" w:cs="Times New Roman"/>
          <w:b/>
          <w:sz w:val="28"/>
          <w:szCs w:val="28"/>
          <w:lang w:val="en-US" w:eastAsia="zh-CN"/>
        </w:rPr>
        <w:t>7.2</w:t>
      </w:r>
      <w:r>
        <w:rPr>
          <w:rFonts w:hint="default" w:ascii="Times New Roman" w:hAnsi="Times New Roman" w:eastAsia="宋体" w:cs="Times New Roman"/>
          <w:b/>
          <w:sz w:val="28"/>
          <w:szCs w:val="28"/>
        </w:rPr>
        <w:t>.2可能影响环境的途径</w:t>
      </w:r>
    </w:p>
    <w:p>
      <w:pPr>
        <w:autoSpaceDE w:val="0"/>
        <w:autoSpaceDN w:val="0"/>
        <w:adjustRightInd w:val="0"/>
        <w:snapToGrid w:val="0"/>
        <w:spacing w:beforeLines="50" w:line="480" w:lineRule="exact"/>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选厂环境风险类型为泄漏风险，环境转移的途径为经水体、土壤进入环境。</w:t>
      </w:r>
    </w:p>
    <w:p>
      <w:pPr>
        <w:pStyle w:val="4"/>
        <w:spacing w:line="360" w:lineRule="auto"/>
        <w:rPr>
          <w:rFonts w:hint="default" w:ascii="Times New Roman" w:hAnsi="Times New Roman" w:eastAsia="宋体" w:cs="Times New Roman"/>
          <w:color w:val="auto"/>
          <w:sz w:val="28"/>
          <w:szCs w:val="28"/>
          <w:lang w:val="en-US" w:eastAsia="zh-CN"/>
        </w:rPr>
      </w:pPr>
      <w:bookmarkStart w:id="395" w:name="_Toc26163"/>
      <w:bookmarkStart w:id="396" w:name="_Toc12657"/>
      <w:r>
        <w:rPr>
          <w:rFonts w:hint="default" w:ascii="Times New Roman" w:hAnsi="Times New Roman" w:eastAsia="宋体" w:cs="Times New Roman"/>
          <w:color w:val="auto"/>
          <w:sz w:val="28"/>
          <w:szCs w:val="28"/>
          <w:lang w:val="en-US" w:eastAsia="zh-CN"/>
        </w:rPr>
        <w:t>7.3环境风险分析</w:t>
      </w:r>
      <w:bookmarkEnd w:id="395"/>
      <w:bookmarkEnd w:id="396"/>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（1）典型事故</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废机油产生量较小，储存在固定容器内，且危废暂存间采取防风、防雨、防晒措施，泄露的可能性极小，影响范围有限。</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本次评价对选矿及尾矿干排设备可能发生的矿浆外溢风险进行分析。结合本项目特点，项目易发生泄漏及影响较大的设备为管道、甩干机、阀门等。本项目最大可信事故为管线、阀门等严重泄漏事故，发生概率为10</w:t>
      </w:r>
      <w:r>
        <w:rPr>
          <w:rFonts w:hint="default" w:ascii="Times New Roman" w:hAnsi="Times New Roman" w:eastAsia="宋体" w:cs="Times New Roman"/>
          <w:kern w:val="0"/>
          <w:sz w:val="24"/>
          <w:vertAlign w:val="superscript"/>
        </w:rPr>
        <w:t>-3</w:t>
      </w:r>
      <w:r>
        <w:rPr>
          <w:rFonts w:hint="default" w:ascii="Times New Roman" w:hAnsi="Times New Roman" w:eastAsia="宋体" w:cs="Times New Roman"/>
          <w:kern w:val="0"/>
          <w:sz w:val="24"/>
        </w:rPr>
        <w:t>次/年。</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项目选矿废水如发生泄漏事故后不及时进行检修，将会造成地表水的环境污染，其发生频率较高，影响范围较小。项目必须重视管道的设计、制造、安装及运行管理工作，避免和减少管道泄漏事故的发生，避免造成土壤、地下水的环境污染。</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（2）风险分析</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废机油产生量较小，储存在固定容器内，且危废暂存间采取防风、防雨、防晒措施，泄露的可能性极小，影响范围有限。本次评价对选矿及尾矿干排设备可能发生的风险进行分析。</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根据事故统计，典型的泄露损坏类型是设备与其输送管道的连接处（接头）泄漏，裂口尺寸为管径的20％或100％，因管道或阀门完全断裂或损坏的可能性极小，本评价取可能性较大、破损程度为接管口径（输送管径DN800）的100％的情况下计算泄漏事故风险源强，本项目液体泄漏速率根据《建设项目环境风险评价技术导则》（HJ169-2018）中推荐的伯努利流量方程来估算：</w:t>
      </w:r>
    </w:p>
    <w:p>
      <w:pPr>
        <w:autoSpaceDE w:val="0"/>
        <w:autoSpaceDN w:val="0"/>
        <w:adjustRightInd w:val="0"/>
        <w:snapToGrid w:val="0"/>
        <w:spacing w:line="360" w:lineRule="auto"/>
        <w:jc w:val="center"/>
        <w:rPr>
          <w:rFonts w:hint="default" w:ascii="Times New Roman" w:hAnsi="Times New Roman" w:eastAsia="宋体" w:cs="Times New Roman"/>
          <w:kern w:val="0"/>
          <w:sz w:val="24"/>
        </w:rPr>
      </w:pPr>
      <w:r>
        <w:rPr>
          <w:rFonts w:hint="default" w:ascii="Times New Roman" w:hAnsi="Times New Roman" w:eastAsia="宋体" w:cs="Times New Roman"/>
          <w:kern w:val="0"/>
          <w:position w:val="-32"/>
          <w:sz w:val="24"/>
        </w:rPr>
        <w:object>
          <v:shape id="_x0000_i1045" o:spt="75" type="#_x0000_t75" style="height:48pt;width:167.25pt;" o:ole="t" filled="f" o:preferrelative="t" stroked="f" coordsize="21600,21600">
            <v:path/>
            <v:fill on="f" focussize="0,0"/>
            <v:stroke on="f" joinstyle="miter"/>
            <v:imagedata r:id="rId113" o:title=""/>
            <o:lock v:ext="edit" aspectratio="t"/>
            <w10:wrap type="none"/>
            <w10:anchorlock/>
          </v:shape>
          <o:OLEObject Type="Embed" ProgID="Equations" ShapeID="_x0000_i1045" DrawAspect="Content" ObjectID="_1468075746" r:id="rId112">
            <o:LockedField>false</o:LockedField>
          </o:OLEObject>
        </w:object>
      </w:r>
    </w:p>
    <w:p>
      <w:pPr>
        <w:widowControl/>
        <w:spacing w:beforeLines="50" w:line="360" w:lineRule="auto"/>
        <w:ind w:firstLine="480" w:firstLineChars="200"/>
        <w:jc w:val="left"/>
        <w:rPr>
          <w:rFonts w:hint="default" w:ascii="Times New Roman" w:hAnsi="Times New Roman" w:eastAsia="宋体" w:cs="Times New Roman"/>
          <w:sz w:val="24"/>
        </w:rPr>
      </w:pPr>
      <w:r>
        <w:rPr>
          <w:rFonts w:hint="default" w:ascii="Times New Roman" w:hAnsi="Times New Roman" w:eastAsia="宋体" w:cs="Times New Roman"/>
          <w:color w:val="000000"/>
          <w:kern w:val="0"/>
          <w:sz w:val="24"/>
        </w:rPr>
        <w:t>式中：Q</w:t>
      </w:r>
      <w:r>
        <w:rPr>
          <w:rFonts w:hint="default" w:ascii="Times New Roman" w:hAnsi="Times New Roman" w:eastAsia="宋体" w:cs="Times New Roman"/>
          <w:color w:val="000000"/>
          <w:kern w:val="0"/>
          <w:sz w:val="24"/>
          <w:vertAlign w:val="subscript"/>
        </w:rPr>
        <w:t>泄漏速率</w:t>
      </w:r>
      <w:r>
        <w:rPr>
          <w:rFonts w:hint="default" w:ascii="Times New Roman" w:hAnsi="Times New Roman" w:eastAsia="宋体" w:cs="Times New Roman"/>
          <w:color w:val="000000"/>
          <w:kern w:val="0"/>
          <w:sz w:val="24"/>
        </w:rPr>
        <w:t xml:space="preserve">——液体泄漏速率，kg/s； </w:t>
      </w:r>
    </w:p>
    <w:p>
      <w:pPr>
        <w:widowControl/>
        <w:spacing w:beforeLines="50" w:line="360" w:lineRule="auto"/>
        <w:ind w:firstLine="480" w:firstLineChars="200"/>
        <w:jc w:val="left"/>
        <w:rPr>
          <w:rFonts w:hint="default" w:ascii="Times New Roman" w:hAnsi="Times New Roman" w:eastAsia="宋体" w:cs="Times New Roman"/>
          <w:sz w:val="24"/>
        </w:rPr>
      </w:pPr>
      <w:r>
        <w:rPr>
          <w:rFonts w:hint="default" w:ascii="Times New Roman" w:hAnsi="Times New Roman" w:eastAsia="宋体" w:cs="Times New Roman"/>
          <w:color w:val="000000"/>
          <w:kern w:val="0"/>
          <w:sz w:val="24"/>
        </w:rPr>
        <w:t>C</w:t>
      </w:r>
      <w:r>
        <w:rPr>
          <w:rFonts w:hint="default" w:ascii="Times New Roman" w:hAnsi="Times New Roman" w:eastAsia="宋体" w:cs="Times New Roman"/>
          <w:color w:val="000000"/>
          <w:kern w:val="0"/>
          <w:sz w:val="24"/>
          <w:vertAlign w:val="subscript"/>
        </w:rPr>
        <w:t>d</w:t>
      </w:r>
      <w:r>
        <w:rPr>
          <w:rFonts w:hint="default" w:ascii="Times New Roman" w:hAnsi="Times New Roman" w:eastAsia="宋体" w:cs="Times New Roman"/>
          <w:color w:val="000000"/>
          <w:kern w:val="0"/>
          <w:sz w:val="24"/>
        </w:rPr>
        <w:t>——排放系数，0.55；</w:t>
      </w:r>
    </w:p>
    <w:p>
      <w:pPr>
        <w:widowControl/>
        <w:spacing w:beforeLines="50" w:line="360" w:lineRule="auto"/>
        <w:ind w:firstLine="480" w:firstLineChars="200"/>
        <w:jc w:val="left"/>
        <w:rPr>
          <w:rFonts w:hint="default" w:ascii="Times New Roman" w:hAnsi="Times New Roman" w:eastAsia="宋体" w:cs="Times New Roman"/>
          <w:sz w:val="24"/>
        </w:rPr>
      </w:pPr>
      <w:r>
        <w:rPr>
          <w:rFonts w:hint="default" w:ascii="Times New Roman" w:hAnsi="Times New Roman" w:eastAsia="宋体" w:cs="Times New Roman"/>
          <w:color w:val="000000"/>
          <w:kern w:val="0"/>
          <w:sz w:val="24"/>
        </w:rPr>
        <w:t>A</w:t>
      </w:r>
      <w:r>
        <w:rPr>
          <w:rFonts w:hint="default" w:ascii="Times New Roman" w:hAnsi="Times New Roman" w:eastAsia="宋体" w:cs="Times New Roman"/>
          <w:color w:val="000000"/>
          <w:kern w:val="0"/>
          <w:sz w:val="24"/>
          <w:vertAlign w:val="subscript"/>
        </w:rPr>
        <w:t>r</w:t>
      </w:r>
      <w:r>
        <w:rPr>
          <w:rFonts w:hint="default" w:ascii="Times New Roman" w:hAnsi="Times New Roman" w:eastAsia="宋体" w:cs="Times New Roman"/>
          <w:color w:val="000000"/>
          <w:kern w:val="0"/>
          <w:sz w:val="24"/>
        </w:rPr>
        <w:t>——泄漏孔径的有效面积，0.1m</w:t>
      </w:r>
      <w:r>
        <w:rPr>
          <w:rFonts w:hint="default" w:ascii="Times New Roman" w:hAnsi="Times New Roman" w:eastAsia="宋体" w:cs="Times New Roman"/>
          <w:color w:val="000000"/>
          <w:kern w:val="0"/>
          <w:sz w:val="24"/>
          <w:vertAlign w:val="superscript"/>
        </w:rPr>
        <w:t>2</w:t>
      </w:r>
      <w:r>
        <w:rPr>
          <w:rFonts w:hint="default" w:ascii="Times New Roman" w:hAnsi="Times New Roman" w:eastAsia="宋体" w:cs="Times New Roman"/>
          <w:color w:val="000000"/>
          <w:kern w:val="0"/>
          <w:sz w:val="24"/>
        </w:rPr>
        <w:t>；</w:t>
      </w:r>
    </w:p>
    <w:p>
      <w:pPr>
        <w:widowControl/>
        <w:spacing w:beforeLines="50" w:line="360" w:lineRule="auto"/>
        <w:ind w:firstLine="480" w:firstLineChars="200"/>
        <w:jc w:val="left"/>
        <w:rPr>
          <w:rFonts w:hint="default" w:ascii="Times New Roman" w:hAnsi="Times New Roman" w:eastAsia="宋体" w:cs="Times New Roman"/>
          <w:sz w:val="24"/>
        </w:rPr>
      </w:pPr>
      <w:r>
        <w:rPr>
          <w:rFonts w:hint="default" w:ascii="Times New Roman" w:hAnsi="Times New Roman" w:eastAsia="宋体" w:cs="Times New Roman"/>
          <w:color w:val="000000"/>
          <w:kern w:val="0"/>
          <w:sz w:val="24"/>
        </w:rPr>
        <w:t>ρ</w:t>
      </w:r>
      <w:r>
        <w:rPr>
          <w:rFonts w:hint="default" w:ascii="Times New Roman" w:hAnsi="Times New Roman" w:eastAsia="宋体" w:cs="Times New Roman"/>
          <w:color w:val="000000"/>
          <w:kern w:val="0"/>
          <w:sz w:val="24"/>
          <w:vertAlign w:val="subscript"/>
        </w:rPr>
        <w:t>l</w:t>
      </w:r>
      <w:r>
        <w:rPr>
          <w:rFonts w:hint="default" w:ascii="Times New Roman" w:hAnsi="Times New Roman" w:eastAsia="宋体" w:cs="Times New Roman"/>
          <w:color w:val="000000"/>
          <w:kern w:val="0"/>
          <w:sz w:val="24"/>
        </w:rPr>
        <w:t>——液体密度，150kg/m</w:t>
      </w:r>
      <w:r>
        <w:rPr>
          <w:rFonts w:hint="default" w:ascii="Times New Roman" w:hAnsi="Times New Roman" w:eastAsia="宋体" w:cs="Times New Roman"/>
          <w:color w:val="000000"/>
          <w:kern w:val="0"/>
          <w:sz w:val="24"/>
          <w:vertAlign w:val="superscript"/>
        </w:rPr>
        <w:t>3</w:t>
      </w:r>
      <w:r>
        <w:rPr>
          <w:rFonts w:hint="default" w:ascii="Times New Roman" w:hAnsi="Times New Roman" w:eastAsia="宋体" w:cs="Times New Roman"/>
          <w:color w:val="000000"/>
          <w:kern w:val="0"/>
          <w:sz w:val="24"/>
        </w:rPr>
        <w:t>；</w:t>
      </w:r>
    </w:p>
    <w:p>
      <w:pPr>
        <w:widowControl/>
        <w:spacing w:beforeLines="50" w:line="360" w:lineRule="auto"/>
        <w:ind w:firstLine="480" w:firstLineChars="200"/>
        <w:jc w:val="left"/>
        <w:rPr>
          <w:rFonts w:hint="default" w:ascii="Times New Roman" w:hAnsi="Times New Roman" w:eastAsia="宋体" w:cs="Times New Roman"/>
          <w:sz w:val="24"/>
        </w:rPr>
      </w:pPr>
      <w:r>
        <w:rPr>
          <w:rFonts w:hint="default" w:ascii="Times New Roman" w:hAnsi="Times New Roman" w:eastAsia="宋体" w:cs="Times New Roman"/>
          <w:color w:val="000000"/>
          <w:kern w:val="0"/>
          <w:sz w:val="24"/>
        </w:rPr>
        <w:t>P</w:t>
      </w:r>
      <w:r>
        <w:rPr>
          <w:rFonts w:hint="default" w:ascii="Times New Roman" w:hAnsi="Times New Roman" w:eastAsia="宋体" w:cs="Times New Roman"/>
          <w:color w:val="000000"/>
          <w:kern w:val="0"/>
          <w:sz w:val="24"/>
          <w:vertAlign w:val="subscript"/>
        </w:rPr>
        <w:t>1</w:t>
      </w:r>
      <w:r>
        <w:rPr>
          <w:rFonts w:hint="default" w:ascii="Times New Roman" w:hAnsi="Times New Roman" w:eastAsia="宋体" w:cs="Times New Roman"/>
          <w:color w:val="000000"/>
          <w:kern w:val="0"/>
          <w:sz w:val="24"/>
        </w:rPr>
        <w:t>——容器内介质压力，1.013×10</w:t>
      </w:r>
      <w:r>
        <w:rPr>
          <w:rFonts w:hint="default" w:ascii="Times New Roman" w:hAnsi="Times New Roman" w:eastAsia="宋体" w:cs="Times New Roman"/>
          <w:color w:val="000000"/>
          <w:kern w:val="0"/>
          <w:sz w:val="24"/>
          <w:vertAlign w:val="superscript"/>
        </w:rPr>
        <w:t>5</w:t>
      </w:r>
      <w:r>
        <w:rPr>
          <w:rFonts w:hint="default" w:ascii="Times New Roman" w:hAnsi="Times New Roman" w:eastAsia="宋体" w:cs="Times New Roman"/>
          <w:color w:val="000000"/>
          <w:kern w:val="0"/>
          <w:sz w:val="24"/>
        </w:rPr>
        <w:t>Pa；</w:t>
      </w:r>
    </w:p>
    <w:p>
      <w:pPr>
        <w:widowControl/>
        <w:spacing w:beforeLines="50" w:line="360" w:lineRule="auto"/>
        <w:ind w:firstLine="480" w:firstLineChars="200"/>
        <w:jc w:val="left"/>
        <w:rPr>
          <w:rFonts w:hint="default" w:ascii="Times New Roman" w:hAnsi="Times New Roman" w:eastAsia="宋体" w:cs="Times New Roman"/>
          <w:sz w:val="24"/>
        </w:rPr>
      </w:pPr>
      <w:r>
        <w:rPr>
          <w:rFonts w:hint="default" w:ascii="Times New Roman" w:hAnsi="Times New Roman" w:eastAsia="宋体" w:cs="Times New Roman"/>
          <w:color w:val="000000"/>
          <w:kern w:val="0"/>
          <w:sz w:val="24"/>
        </w:rPr>
        <w:t>P</w:t>
      </w:r>
      <w:r>
        <w:rPr>
          <w:rFonts w:hint="default" w:ascii="Times New Roman" w:hAnsi="Times New Roman" w:eastAsia="宋体" w:cs="Times New Roman"/>
          <w:color w:val="000000"/>
          <w:kern w:val="0"/>
          <w:sz w:val="24"/>
          <w:vertAlign w:val="subscript"/>
        </w:rPr>
        <w:t>a</w:t>
      </w:r>
      <w:r>
        <w:rPr>
          <w:rFonts w:hint="default" w:ascii="Times New Roman" w:hAnsi="Times New Roman" w:eastAsia="宋体" w:cs="Times New Roman"/>
          <w:color w:val="000000"/>
          <w:kern w:val="0"/>
          <w:sz w:val="24"/>
        </w:rPr>
        <w:t>——环境压力，1.013×10</w:t>
      </w:r>
      <w:r>
        <w:rPr>
          <w:rFonts w:hint="default" w:ascii="Times New Roman" w:hAnsi="Times New Roman" w:eastAsia="宋体" w:cs="Times New Roman"/>
          <w:color w:val="000000"/>
          <w:kern w:val="0"/>
          <w:sz w:val="24"/>
          <w:vertAlign w:val="superscript"/>
        </w:rPr>
        <w:t>5</w:t>
      </w:r>
      <w:r>
        <w:rPr>
          <w:rFonts w:hint="default" w:ascii="Times New Roman" w:hAnsi="Times New Roman" w:eastAsia="宋体" w:cs="Times New Roman"/>
          <w:color w:val="000000"/>
          <w:kern w:val="0"/>
          <w:sz w:val="24"/>
        </w:rPr>
        <w:t>Pa；</w:t>
      </w:r>
    </w:p>
    <w:p>
      <w:pPr>
        <w:widowControl/>
        <w:spacing w:beforeLines="50" w:line="360" w:lineRule="auto"/>
        <w:ind w:firstLine="480" w:firstLineChars="200"/>
        <w:jc w:val="left"/>
        <w:rPr>
          <w:rFonts w:hint="default" w:ascii="Times New Roman" w:hAnsi="Times New Roman" w:eastAsia="宋体" w:cs="Times New Roman"/>
          <w:sz w:val="24"/>
        </w:rPr>
      </w:pPr>
      <w:r>
        <w:rPr>
          <w:rFonts w:hint="default" w:ascii="Times New Roman" w:hAnsi="Times New Roman" w:eastAsia="宋体" w:cs="Times New Roman"/>
          <w:color w:val="000000"/>
          <w:kern w:val="0"/>
          <w:sz w:val="24"/>
        </w:rPr>
        <w:t>g——重力加速度，9.8m/s</w:t>
      </w:r>
      <w:r>
        <w:rPr>
          <w:rFonts w:hint="default" w:ascii="Times New Roman" w:hAnsi="Times New Roman" w:eastAsia="宋体" w:cs="Times New Roman"/>
          <w:color w:val="000000"/>
          <w:kern w:val="0"/>
          <w:sz w:val="24"/>
          <w:vertAlign w:val="superscript"/>
        </w:rPr>
        <w:t>2</w:t>
      </w:r>
      <w:r>
        <w:rPr>
          <w:rFonts w:hint="default" w:ascii="Times New Roman" w:hAnsi="Times New Roman" w:eastAsia="宋体" w:cs="Times New Roman"/>
          <w:color w:val="000000"/>
          <w:kern w:val="0"/>
          <w:sz w:val="24"/>
        </w:rPr>
        <w:t>；</w:t>
      </w:r>
    </w:p>
    <w:p>
      <w:pPr>
        <w:widowControl/>
        <w:spacing w:beforeLines="50" w:line="360" w:lineRule="auto"/>
        <w:ind w:firstLine="480" w:firstLineChars="200"/>
        <w:jc w:val="left"/>
        <w:rPr>
          <w:rFonts w:hint="default" w:ascii="Times New Roman" w:hAnsi="Times New Roman" w:eastAsia="宋体" w:cs="Times New Roman"/>
          <w:sz w:val="24"/>
        </w:rPr>
      </w:pPr>
      <w:r>
        <w:rPr>
          <w:rFonts w:hint="default" w:ascii="Times New Roman" w:hAnsi="Times New Roman" w:eastAsia="宋体" w:cs="Times New Roman"/>
          <w:color w:val="000000"/>
          <w:kern w:val="0"/>
          <w:sz w:val="24"/>
        </w:rPr>
        <w:t>h——裂口之上的液位高度，1m。</w:t>
      </w:r>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假设发生泄漏事故后，可在10分钟时间间隔内启动紧急切断装置，防止继续泄漏，且在20分钟内处理事故泄漏物质完毕，即事故持续时间为30分钟。经计算，事故的风险源强数据见表</w:t>
      </w:r>
      <w:r>
        <w:rPr>
          <w:rFonts w:hint="default" w:ascii="Times New Roman" w:hAnsi="Times New Roman" w:eastAsia="宋体" w:cs="Times New Roman"/>
          <w:color w:val="000000"/>
          <w:kern w:val="0"/>
          <w:sz w:val="24"/>
          <w:lang w:val="en-US" w:eastAsia="zh-CN"/>
        </w:rPr>
        <w:t>7.2-2</w:t>
      </w:r>
      <w:r>
        <w:rPr>
          <w:rFonts w:hint="default" w:ascii="Times New Roman" w:hAnsi="Times New Roman" w:eastAsia="宋体" w:cs="Times New Roman"/>
          <w:color w:val="000000"/>
          <w:kern w:val="0"/>
          <w:sz w:val="24"/>
        </w:rPr>
        <w:t>。</w:t>
      </w:r>
    </w:p>
    <w:p>
      <w:pPr>
        <w:pStyle w:val="74"/>
        <w:spacing w:beforeLines="50" w:line="480" w:lineRule="exact"/>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表7.2-2             </w:t>
      </w:r>
      <w:r>
        <w:rPr>
          <w:rFonts w:hint="eastAsia"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lang w:val="en-US" w:eastAsia="zh-CN"/>
        </w:rPr>
        <w:t xml:space="preserve">     泄露事故风险</w:t>
      </w:r>
      <w:r>
        <w:rPr>
          <w:rFonts w:hint="eastAsia" w:ascii="Times New Roman" w:hAnsi="Times New Roman" w:eastAsia="宋体" w:cs="Times New Roman"/>
          <w:color w:val="auto"/>
          <w:lang w:val="en-US" w:eastAsia="zh-CN"/>
        </w:rPr>
        <w:t>源</w:t>
      </w:r>
      <w:r>
        <w:rPr>
          <w:rFonts w:hint="default" w:ascii="Times New Roman" w:hAnsi="Times New Roman" w:eastAsia="宋体" w:cs="Times New Roman"/>
          <w:color w:val="auto"/>
          <w:lang w:val="en-US" w:eastAsia="zh-CN"/>
        </w:rPr>
        <w:t>强</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7"/>
        <w:gridCol w:w="1290"/>
        <w:gridCol w:w="1409"/>
        <w:gridCol w:w="1354"/>
        <w:gridCol w:w="1354"/>
        <w:gridCol w:w="1351"/>
        <w:gridCol w:w="135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vMerge w:val="restart"/>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事故原因</w:t>
            </w:r>
          </w:p>
        </w:tc>
        <w:tc>
          <w:tcPr>
            <w:tcW w:w="1184" w:type="dxa"/>
            <w:vMerge w:val="restart"/>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发生装置</w:t>
            </w:r>
          </w:p>
        </w:tc>
        <w:tc>
          <w:tcPr>
            <w:tcW w:w="1292" w:type="dxa"/>
            <w:vMerge w:val="restart"/>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设计条件</w:t>
            </w:r>
          </w:p>
        </w:tc>
        <w:tc>
          <w:tcPr>
            <w:tcW w:w="1242" w:type="dxa"/>
            <w:vMerge w:val="restart"/>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持续时间</w:t>
            </w:r>
          </w:p>
        </w:tc>
        <w:tc>
          <w:tcPr>
            <w:tcW w:w="2481" w:type="dxa"/>
            <w:gridSpan w:val="2"/>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总泄露情况</w:t>
            </w:r>
          </w:p>
        </w:tc>
        <w:tc>
          <w:tcPr>
            <w:tcW w:w="1239" w:type="dxa"/>
            <w:vMerge w:val="restart"/>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事故概率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vMerge w:val="continue"/>
            <w:vAlign w:val="center"/>
          </w:tcPr>
          <w:p>
            <w:pPr>
              <w:jc w:val="center"/>
              <w:rPr>
                <w:rFonts w:hint="default" w:ascii="Times New Roman" w:hAnsi="Times New Roman" w:eastAsia="宋体" w:cs="Times New Roman"/>
                <w:szCs w:val="21"/>
              </w:rPr>
            </w:pPr>
          </w:p>
        </w:tc>
        <w:tc>
          <w:tcPr>
            <w:tcW w:w="1184" w:type="dxa"/>
            <w:vMerge w:val="continue"/>
            <w:vAlign w:val="center"/>
          </w:tcPr>
          <w:p>
            <w:pPr>
              <w:jc w:val="center"/>
              <w:rPr>
                <w:rFonts w:hint="default" w:ascii="Times New Roman" w:hAnsi="Times New Roman" w:eastAsia="宋体" w:cs="Times New Roman"/>
                <w:szCs w:val="21"/>
              </w:rPr>
            </w:pPr>
          </w:p>
        </w:tc>
        <w:tc>
          <w:tcPr>
            <w:tcW w:w="1292" w:type="dxa"/>
            <w:vMerge w:val="continue"/>
            <w:vAlign w:val="center"/>
          </w:tcPr>
          <w:p>
            <w:pPr>
              <w:jc w:val="center"/>
              <w:rPr>
                <w:rFonts w:hint="default" w:ascii="Times New Roman" w:hAnsi="Times New Roman" w:eastAsia="宋体" w:cs="Times New Roman"/>
                <w:szCs w:val="21"/>
              </w:rPr>
            </w:pPr>
          </w:p>
        </w:tc>
        <w:tc>
          <w:tcPr>
            <w:tcW w:w="1242" w:type="dxa"/>
            <w:vMerge w:val="continue"/>
            <w:vAlign w:val="center"/>
          </w:tcPr>
          <w:p>
            <w:pPr>
              <w:jc w:val="center"/>
              <w:rPr>
                <w:rFonts w:hint="default" w:ascii="Times New Roman" w:hAnsi="Times New Roman" w:eastAsia="宋体" w:cs="Times New Roman"/>
                <w:szCs w:val="21"/>
              </w:rPr>
            </w:pPr>
          </w:p>
        </w:tc>
        <w:tc>
          <w:tcPr>
            <w:tcW w:w="1242"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泄露速率</w:t>
            </w:r>
          </w:p>
        </w:tc>
        <w:tc>
          <w:tcPr>
            <w:tcW w:w="1239"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泄漏量</w:t>
            </w:r>
          </w:p>
        </w:tc>
        <w:tc>
          <w:tcPr>
            <w:tcW w:w="1239" w:type="dxa"/>
            <w:vMerge w:val="continue"/>
            <w:vAlign w:val="center"/>
          </w:tcPr>
          <w:p>
            <w:pPr>
              <w:jc w:val="center"/>
              <w:rPr>
                <w:rFonts w:hint="default" w:ascii="Times New Roman" w:hAnsi="Times New Roman" w:eastAsia="宋体" w:cs="Times New Roman"/>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破裂</w:t>
            </w:r>
          </w:p>
        </w:tc>
        <w:tc>
          <w:tcPr>
            <w:tcW w:w="1184" w:type="dxa"/>
            <w:vAlign w:val="center"/>
          </w:tcPr>
          <w:p>
            <w:pPr>
              <w:widowControl/>
              <w:jc w:val="left"/>
              <w:rPr>
                <w:rFonts w:hint="default" w:ascii="Times New Roman" w:hAnsi="Times New Roman" w:eastAsia="宋体" w:cs="Times New Roman"/>
                <w:szCs w:val="21"/>
              </w:rPr>
            </w:pPr>
            <w:r>
              <w:rPr>
                <w:rFonts w:hint="default" w:ascii="Times New Roman" w:hAnsi="Times New Roman" w:eastAsia="宋体" w:cs="Times New Roman"/>
                <w:color w:val="000000"/>
                <w:kern w:val="0"/>
                <w:szCs w:val="21"/>
              </w:rPr>
              <w:t>装置与其输送管道的连接处</w:t>
            </w:r>
          </w:p>
        </w:tc>
        <w:tc>
          <w:tcPr>
            <w:tcW w:w="1292"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裂口</w:t>
            </w:r>
            <w:r>
              <w:rPr>
                <w:rFonts w:hint="default" w:ascii="Times New Roman" w:hAnsi="Times New Roman" w:eastAsia="宋体" w:cs="Times New Roman"/>
                <w:color w:val="000000"/>
                <w:kern w:val="0"/>
                <w:szCs w:val="21"/>
              </w:rPr>
              <w:t>0.1m</w:t>
            </w:r>
            <w:r>
              <w:rPr>
                <w:rFonts w:hint="default" w:ascii="Times New Roman" w:hAnsi="Times New Roman" w:eastAsia="宋体" w:cs="Times New Roman"/>
                <w:color w:val="000000"/>
                <w:kern w:val="0"/>
                <w:szCs w:val="21"/>
                <w:vertAlign w:val="superscript"/>
              </w:rPr>
              <w:t>2</w:t>
            </w:r>
          </w:p>
        </w:tc>
        <w:tc>
          <w:tcPr>
            <w:tcW w:w="1242"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30min</w:t>
            </w:r>
          </w:p>
        </w:tc>
        <w:tc>
          <w:tcPr>
            <w:tcW w:w="1242"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36.6kg/s</w:t>
            </w:r>
          </w:p>
        </w:tc>
        <w:tc>
          <w:tcPr>
            <w:tcW w:w="1239"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65.88t（457m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w:t>
            </w:r>
          </w:p>
        </w:tc>
        <w:tc>
          <w:tcPr>
            <w:tcW w:w="1239" w:type="dxa"/>
            <w:vAlign w:val="center"/>
          </w:tcPr>
          <w:p>
            <w:pPr>
              <w:jc w:val="center"/>
              <w:rPr>
                <w:rFonts w:hint="default" w:ascii="Times New Roman" w:hAnsi="Times New Roman" w:eastAsia="宋体" w:cs="Times New Roman"/>
                <w:szCs w:val="21"/>
              </w:rPr>
            </w:pPr>
            <w:r>
              <w:rPr>
                <w:rFonts w:hint="default" w:ascii="Times New Roman" w:hAnsi="Times New Roman" w:eastAsia="宋体" w:cs="Times New Roman"/>
                <w:szCs w:val="21"/>
              </w:rPr>
              <w:t>10</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/a</w:t>
            </w:r>
          </w:p>
        </w:tc>
      </w:tr>
    </w:tbl>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若本项目选矿车间设备出现事故，选矿废水直接进入厂区内事故池，容积为3</w:t>
      </w:r>
      <w:r>
        <w:rPr>
          <w:rFonts w:hint="default" w:ascii="Times New Roman" w:hAnsi="Times New Roman" w:eastAsia="宋体" w:cs="Times New Roman"/>
          <w:sz w:val="24"/>
          <w:lang w:val="en-US" w:eastAsia="zh-CN"/>
        </w:rPr>
        <w:t>0</w:t>
      </w:r>
      <w:r>
        <w:rPr>
          <w:rFonts w:hint="default" w:ascii="Times New Roman" w:hAnsi="Times New Roman" w:eastAsia="宋体" w:cs="Times New Roman"/>
          <w:sz w:val="24"/>
        </w:rPr>
        <w:t>00m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若管线发生泄露可容纳2h泄漏量，本项目24小时监控，事故发现后保证1h内停止生产，影响范围不会超过厂区。当生产恢复正常后，由潜污泵将池内水回用于生产，一般不会进入外环境。要求企业认真落实本评估报告书提出的各项污染防治措施，规划管理，并做好定期管线检查及事故下的抢修工作，风险影响程度较小。另外，选矿厂采取了加强管理、地面防渗等风险防范措施，采取岗位责任制，将责任落实到个人。</w:t>
      </w:r>
    </w:p>
    <w:p>
      <w:pPr>
        <w:spacing w:beforeLines="50"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综上，在采取风险防范措施的基础上，本项目环境风险在可接受范围内。</w:t>
      </w:r>
    </w:p>
    <w:p>
      <w:pPr>
        <w:spacing w:beforeLines="50" w:line="360" w:lineRule="auto"/>
        <w:outlineLvl w:val="1"/>
        <w:rPr>
          <w:rFonts w:hint="default" w:ascii="Times New Roman" w:hAnsi="Times New Roman" w:eastAsia="宋体" w:cs="Times New Roman"/>
          <w:b/>
          <w:sz w:val="28"/>
          <w:szCs w:val="28"/>
        </w:rPr>
      </w:pPr>
      <w:bookmarkStart w:id="397" w:name="_Toc21568"/>
      <w:bookmarkStart w:id="398" w:name="_Toc12688"/>
      <w:r>
        <w:rPr>
          <w:rFonts w:hint="default" w:ascii="Times New Roman" w:hAnsi="Times New Roman" w:eastAsia="宋体" w:cs="Times New Roman"/>
          <w:b/>
          <w:sz w:val="28"/>
          <w:szCs w:val="28"/>
          <w:lang w:val="en-US" w:eastAsia="zh-CN"/>
        </w:rPr>
        <w:t>7.4</w:t>
      </w:r>
      <w:r>
        <w:rPr>
          <w:rFonts w:hint="default" w:ascii="Times New Roman" w:hAnsi="Times New Roman" w:eastAsia="宋体" w:cs="Times New Roman"/>
          <w:b/>
          <w:sz w:val="28"/>
          <w:szCs w:val="28"/>
        </w:rPr>
        <w:t>环境风险防控措施</w:t>
      </w:r>
      <w:bookmarkEnd w:id="397"/>
      <w:bookmarkEnd w:id="398"/>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（1）危险废物</w:t>
      </w:r>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评价要求对其管理按照《中华人民共和国固体废物污染环境防治法》中有关危险废物的管理条款执行，废机油暂时存放在危废暂存间内，定期委托具有专业资质的危险废物处理单位进行转移和处理。</w:t>
      </w:r>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新建1座占地面积10m</w:t>
      </w:r>
      <w:r>
        <w:rPr>
          <w:rFonts w:hint="default" w:ascii="Times New Roman" w:hAnsi="Times New Roman" w:eastAsia="宋体" w:cs="Times New Roman"/>
          <w:color w:val="000000"/>
          <w:kern w:val="0"/>
          <w:sz w:val="24"/>
          <w:vertAlign w:val="superscript"/>
        </w:rPr>
        <w:t>2</w:t>
      </w:r>
      <w:r>
        <w:rPr>
          <w:rFonts w:hint="default" w:ascii="Times New Roman" w:hAnsi="Times New Roman" w:eastAsia="宋体" w:cs="Times New Roman"/>
          <w:color w:val="000000"/>
          <w:kern w:val="0"/>
          <w:sz w:val="24"/>
        </w:rPr>
        <w:t>的危废暂存间，并按《危险废物贮存污染控制标准》（GB18597-2001）的要求完善危废暂存间，做好全封闭，做好贮存区的防风、防雨、防晒工作，后续监管中保证表面无裂缝，防止泄露事故，按重点污染防控区防渗监控，避免贮存的危险废物污染当地地下水和土壤；同时在贮存区域设置明显的警示牌标识；对危险废物的收集和管理，厂区应委派专人负责，并做好登记记录，防止存放过程中的二次污染。</w:t>
      </w:r>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项目运营过程中加强对危险废物贮存的管理，危险废物的堆放应符合《危险废物贮存污染控制标准》（GB 18596-2001）及其修改单中的相关要求规定。企业内部应建立危险废物产生、外运、处置及最终去向的详细台账，按照《危险废物转移联单管理办法》的要求做好危险废物转移联单填报登记工作。</w:t>
      </w:r>
    </w:p>
    <w:p>
      <w:pPr>
        <w:widowControl/>
        <w:spacing w:beforeLines="50" w:line="360" w:lineRule="auto"/>
        <w:ind w:firstLine="480" w:firstLineChars="200"/>
        <w:jc w:val="left"/>
        <w:rPr>
          <w:rFonts w:hint="default" w:ascii="Times New Roman" w:hAnsi="Times New Roman" w:eastAsia="宋体" w:cs="Times New Roman"/>
        </w:rPr>
      </w:pPr>
      <w:r>
        <w:rPr>
          <w:rFonts w:hint="default" w:ascii="Times New Roman" w:hAnsi="Times New Roman" w:eastAsia="宋体" w:cs="Times New Roman"/>
          <w:color w:val="000000"/>
          <w:kern w:val="0"/>
          <w:sz w:val="24"/>
        </w:rPr>
        <w:t>（2）项目设置两级防控措施</w:t>
      </w:r>
    </w:p>
    <w:p>
      <w:pPr>
        <w:widowControl/>
        <w:spacing w:beforeLines="50" w:line="360" w:lineRule="auto"/>
        <w:ind w:firstLine="480" w:firstLineChars="200"/>
        <w:jc w:val="left"/>
        <w:rPr>
          <w:rFonts w:hint="default" w:ascii="Times New Roman" w:hAnsi="Times New Roman" w:eastAsia="宋体" w:cs="Times New Roman"/>
        </w:rPr>
      </w:pPr>
      <w:r>
        <w:rPr>
          <w:rFonts w:hint="default" w:ascii="Times New Roman" w:hAnsi="Times New Roman" w:eastAsia="宋体" w:cs="Times New Roman"/>
          <w:bCs/>
          <w:color w:val="000000"/>
          <w:kern w:val="0"/>
          <w:sz w:val="24"/>
        </w:rPr>
        <w:t>第一级</w:t>
      </w:r>
      <w:r>
        <w:rPr>
          <w:rFonts w:hint="default" w:ascii="Times New Roman" w:hAnsi="Times New Roman" w:eastAsia="宋体" w:cs="Times New Roman"/>
          <w:color w:val="000000"/>
          <w:kern w:val="0"/>
          <w:sz w:val="24"/>
        </w:rPr>
        <w:t>——车间墙体构成围堰。</w:t>
      </w:r>
    </w:p>
    <w:p>
      <w:pPr>
        <w:widowControl/>
        <w:spacing w:beforeLines="50" w:line="360" w:lineRule="auto"/>
        <w:ind w:firstLine="480" w:firstLineChars="200"/>
        <w:jc w:val="left"/>
        <w:rPr>
          <w:rFonts w:hint="default" w:ascii="Times New Roman" w:hAnsi="Times New Roman" w:eastAsia="宋体" w:cs="Times New Roman"/>
        </w:rPr>
      </w:pPr>
      <w:r>
        <w:rPr>
          <w:rFonts w:hint="default" w:ascii="Times New Roman" w:hAnsi="Times New Roman" w:eastAsia="宋体" w:cs="Times New Roman"/>
          <w:bCs/>
          <w:color w:val="000000"/>
          <w:kern w:val="0"/>
          <w:sz w:val="24"/>
        </w:rPr>
        <w:t>第二级</w:t>
      </w:r>
      <w:r>
        <w:rPr>
          <w:rFonts w:hint="default" w:ascii="Times New Roman" w:hAnsi="Times New Roman" w:eastAsia="宋体" w:cs="Times New Roman"/>
          <w:color w:val="000000"/>
          <w:kern w:val="0"/>
          <w:sz w:val="24"/>
        </w:rPr>
        <w:t>——事故池，容积3600m</w:t>
      </w:r>
      <w:r>
        <w:rPr>
          <w:rFonts w:hint="default" w:ascii="Times New Roman" w:hAnsi="Times New Roman" w:eastAsia="宋体" w:cs="Times New Roman"/>
          <w:color w:val="000000"/>
          <w:kern w:val="0"/>
          <w:sz w:val="24"/>
          <w:vertAlign w:val="superscript"/>
        </w:rPr>
        <w:t>3</w:t>
      </w:r>
      <w:r>
        <w:rPr>
          <w:rFonts w:hint="default" w:ascii="Times New Roman" w:hAnsi="Times New Roman" w:eastAsia="宋体" w:cs="Times New Roman"/>
          <w:color w:val="000000"/>
          <w:kern w:val="0"/>
          <w:sz w:val="24"/>
        </w:rPr>
        <w:t>。</w:t>
      </w:r>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（3）废水外溢事故防范措施</w:t>
      </w:r>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①本项目输送管道采用HDPE（高密度聚乙烯），并加防腐层，HDPE具有抗冲击性以及耐寒性好、化学稳定性极佳、透水率低的特点。</w:t>
      </w:r>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②经常检查厂区内各种管线，对老化的管道及时更换，定期系统试压、定期检漏，并将检查结果记录在案备查，24小时监控。一旦发现管线泄漏及时修补，对管道破裂等事故造成的污水外流，须及时组织人员抢修，避免故障事故发生。</w:t>
      </w:r>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③加强生产管理，防止生产过程中跑、冒、滴、漏、废水四处漫延渗漏，对输送系统应加强监管及相应的维护措施，严防事故性废水外排。</w:t>
      </w:r>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④配置备用水泵及相应的配件，设备故障立即停止产生废水的全段工序生产。</w:t>
      </w:r>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（3）环境风险管理</w:t>
      </w:r>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本项目一旦发生环境风险事故，应立即启动装置应急预案，一旦发生事故应立即与突发环境事件应急预案实现对接和联动，当风险事故严重时，应联合社会应急组织一起抢险，使事故的范围、损失降至最小，确保现场职员和人民群众的生命安全。</w:t>
      </w:r>
    </w:p>
    <w:p>
      <w:pPr>
        <w:spacing w:beforeLines="50" w:line="360" w:lineRule="auto"/>
        <w:outlineLvl w:val="1"/>
        <w:rPr>
          <w:rFonts w:hint="default" w:ascii="Times New Roman" w:hAnsi="Times New Roman" w:eastAsia="宋体" w:cs="Times New Roman"/>
          <w:b/>
          <w:sz w:val="28"/>
          <w:szCs w:val="28"/>
        </w:rPr>
      </w:pPr>
      <w:bookmarkStart w:id="399" w:name="_Toc9305"/>
      <w:bookmarkStart w:id="400" w:name="_Toc21850"/>
      <w:r>
        <w:rPr>
          <w:rFonts w:hint="default" w:ascii="Times New Roman" w:hAnsi="Times New Roman" w:eastAsia="宋体" w:cs="Times New Roman"/>
          <w:b/>
          <w:sz w:val="28"/>
          <w:szCs w:val="28"/>
          <w:lang w:val="en-US" w:eastAsia="zh-CN"/>
        </w:rPr>
        <w:t>7.5</w:t>
      </w:r>
      <w:r>
        <w:rPr>
          <w:rFonts w:hint="default" w:ascii="Times New Roman" w:hAnsi="Times New Roman" w:eastAsia="宋体" w:cs="Times New Roman"/>
          <w:b/>
          <w:sz w:val="28"/>
          <w:szCs w:val="28"/>
        </w:rPr>
        <w:t>环境风险评价结论</w:t>
      </w:r>
      <w:bookmarkEnd w:id="399"/>
      <w:bookmarkEnd w:id="400"/>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风险评价通过</w:t>
      </w:r>
      <w:r>
        <w:rPr>
          <w:rFonts w:hint="default" w:ascii="Times New Roman" w:hAnsi="Times New Roman" w:eastAsia="宋体" w:cs="Times New Roman"/>
          <w:color w:val="auto"/>
          <w:kern w:val="2"/>
          <w:sz w:val="24"/>
          <w:szCs w:val="24"/>
          <w:lang w:eastAsia="zh-CN"/>
        </w:rPr>
        <w:t>北票市冶通矿业有限公司年产50万吨铁精粉建设项目</w:t>
      </w:r>
      <w:r>
        <w:rPr>
          <w:rFonts w:hint="default" w:ascii="Times New Roman" w:hAnsi="Times New Roman" w:eastAsia="宋体" w:cs="Times New Roman"/>
          <w:kern w:val="0"/>
          <w:sz w:val="24"/>
        </w:rPr>
        <w:t>在生产过程中存在的风险因子识别，分析风险因素对项目周围人群和周边环境造成的不利影响程度。系统阐述了可能导致该事故的原因，针对性的提出了环境风险防范措施，评价认为工程建设方按评价要求在采取了有效的防范措施基础上，对于不确定性及未可预见的风险发生采取相应的应急预案后，可将环境风险降低到最低程度，一旦发生风险，其环境影响程度是可控制的、有限的。</w:t>
      </w:r>
    </w:p>
    <w:p>
      <w:pPr>
        <w:autoSpaceDE w:val="0"/>
        <w:autoSpaceDN w:val="0"/>
        <w:adjustRightInd w:val="0"/>
        <w:snapToGrid w:val="0"/>
        <w:spacing w:beforeLines="50" w:line="360" w:lineRule="auto"/>
        <w:ind w:firstLine="480" w:firstLineChars="200"/>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本项目环境风险简单分析内容见表</w:t>
      </w:r>
      <w:r>
        <w:rPr>
          <w:rFonts w:hint="default" w:ascii="Times New Roman" w:hAnsi="Times New Roman" w:eastAsia="宋体" w:cs="Times New Roman"/>
          <w:kern w:val="0"/>
          <w:sz w:val="24"/>
          <w:lang w:val="en-US" w:eastAsia="zh-CN"/>
        </w:rPr>
        <w:t>7.2-3</w:t>
      </w:r>
      <w:r>
        <w:rPr>
          <w:rFonts w:hint="default" w:ascii="Times New Roman" w:hAnsi="Times New Roman" w:eastAsia="宋体" w:cs="Times New Roman"/>
          <w:kern w:val="0"/>
          <w:sz w:val="24"/>
        </w:rPr>
        <w:t>。</w:t>
      </w:r>
    </w:p>
    <w:p>
      <w:pPr>
        <w:autoSpaceDE w:val="0"/>
        <w:autoSpaceDN w:val="0"/>
        <w:adjustRightInd w:val="0"/>
        <w:snapToGrid w:val="0"/>
        <w:spacing w:beforeLines="50" w:line="480" w:lineRule="exact"/>
        <w:jc w:val="left"/>
        <w:rPr>
          <w:rFonts w:hint="default" w:ascii="Times New Roman" w:hAnsi="Times New Roman" w:eastAsia="宋体" w:cs="Times New Roman"/>
          <w:kern w:val="0"/>
          <w:sz w:val="24"/>
        </w:rPr>
      </w:pPr>
      <w:r>
        <w:rPr>
          <w:rFonts w:hint="default" w:ascii="Times New Roman" w:hAnsi="Times New Roman" w:eastAsia="宋体" w:cs="Times New Roman"/>
          <w:kern w:val="0"/>
          <w:sz w:val="24"/>
        </w:rPr>
        <w:t>表</w:t>
      </w:r>
      <w:r>
        <w:rPr>
          <w:rFonts w:hint="default" w:ascii="Times New Roman" w:hAnsi="Times New Roman" w:eastAsia="宋体" w:cs="Times New Roman"/>
          <w:kern w:val="0"/>
          <w:sz w:val="24"/>
          <w:lang w:val="en-US" w:eastAsia="zh-CN"/>
        </w:rPr>
        <w:t>7.2-3</w:t>
      </w:r>
      <w:r>
        <w:rPr>
          <w:rFonts w:hint="default" w:ascii="Times New Roman" w:hAnsi="Times New Roman" w:eastAsia="宋体" w:cs="Times New Roman"/>
          <w:kern w:val="0"/>
          <w:sz w:val="24"/>
        </w:rPr>
        <w:t xml:space="preserve">           </w:t>
      </w:r>
      <w:r>
        <w:rPr>
          <w:rFonts w:hint="default" w:ascii="Times New Roman" w:hAnsi="Times New Roman" w:eastAsia="宋体" w:cs="Times New Roman"/>
          <w:kern w:val="0"/>
          <w:sz w:val="24"/>
          <w:lang w:val="en-US" w:eastAsia="zh-CN"/>
        </w:rPr>
        <w:t xml:space="preserve"> </w:t>
      </w:r>
      <w:r>
        <w:rPr>
          <w:rFonts w:hint="default" w:ascii="Times New Roman" w:hAnsi="Times New Roman" w:eastAsia="宋体" w:cs="Times New Roman"/>
          <w:kern w:val="0"/>
          <w:sz w:val="24"/>
        </w:rPr>
        <w:t xml:space="preserve">    建设项目环境风险简单分析内容表</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09"/>
        <w:gridCol w:w="1618"/>
        <w:gridCol w:w="1618"/>
        <w:gridCol w:w="1618"/>
        <w:gridCol w:w="162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8"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建设项目名称</w:t>
            </w:r>
          </w:p>
        </w:tc>
        <w:tc>
          <w:tcPr>
            <w:tcW w:w="5945" w:type="dxa"/>
            <w:gridSpan w:val="4"/>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lang w:eastAsia="zh-CN"/>
              </w:rPr>
              <w:t>北票市冶通矿业有限公司年产50万吨铁精粉建设项目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8"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建设地点</w:t>
            </w:r>
          </w:p>
        </w:tc>
        <w:tc>
          <w:tcPr>
            <w:tcW w:w="1485"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辽宁省</w:t>
            </w:r>
          </w:p>
        </w:tc>
        <w:tc>
          <w:tcPr>
            <w:tcW w:w="1485" w:type="dxa"/>
            <w:tcBorders>
              <w:tl2br w:val="nil"/>
              <w:tr2bl w:val="nil"/>
            </w:tcBorders>
            <w:vAlign w:val="center"/>
          </w:tcPr>
          <w:p>
            <w:pPr>
              <w:adjustRightInd w:val="0"/>
              <w:snapToGrid w:val="0"/>
              <w:jc w:val="center"/>
              <w:rPr>
                <w:rFonts w:hint="default" w:ascii="Times New Roman" w:hAnsi="Times New Roman" w:eastAsia="宋体" w:cs="Times New Roman"/>
                <w:bCs/>
                <w:szCs w:val="21"/>
                <w:lang w:eastAsia="zh-CN"/>
              </w:rPr>
            </w:pPr>
            <w:r>
              <w:rPr>
                <w:rFonts w:hint="default" w:ascii="Times New Roman" w:hAnsi="Times New Roman" w:eastAsia="宋体" w:cs="Times New Roman"/>
                <w:bCs/>
                <w:szCs w:val="21"/>
                <w:lang w:eastAsia="zh-CN"/>
              </w:rPr>
              <w:t>朝阳市</w:t>
            </w:r>
          </w:p>
        </w:tc>
        <w:tc>
          <w:tcPr>
            <w:tcW w:w="1485"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（/）区</w:t>
            </w:r>
          </w:p>
        </w:tc>
        <w:tc>
          <w:tcPr>
            <w:tcW w:w="1490"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w:t>
            </w:r>
            <w:r>
              <w:rPr>
                <w:rFonts w:hint="default" w:ascii="Times New Roman" w:hAnsi="Times New Roman" w:eastAsia="宋体" w:cs="Times New Roman"/>
                <w:bCs/>
                <w:szCs w:val="21"/>
                <w:lang w:eastAsia="zh-CN"/>
              </w:rPr>
              <w:t>北票</w:t>
            </w:r>
            <w:r>
              <w:rPr>
                <w:rFonts w:hint="default" w:ascii="Times New Roman" w:hAnsi="Times New Roman" w:eastAsia="宋体" w:cs="Times New Roman"/>
                <w:bCs/>
                <w:szCs w:val="21"/>
              </w:rPr>
              <w:t>）县</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8"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地理坐标</w:t>
            </w:r>
          </w:p>
        </w:tc>
        <w:tc>
          <w:tcPr>
            <w:tcW w:w="1485"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经度</w:t>
            </w:r>
          </w:p>
        </w:tc>
        <w:tc>
          <w:tcPr>
            <w:tcW w:w="1485"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lang w:val="en-US" w:eastAsia="zh-CN"/>
              </w:rPr>
              <w:t>120.593539</w:t>
            </w:r>
          </w:p>
        </w:tc>
        <w:tc>
          <w:tcPr>
            <w:tcW w:w="1485"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纬度</w:t>
            </w:r>
          </w:p>
        </w:tc>
        <w:tc>
          <w:tcPr>
            <w:tcW w:w="1490"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lang w:val="en-US" w:eastAsia="zh-CN"/>
              </w:rPr>
              <w:t>41.976645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8"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主要危险物质及分布</w:t>
            </w:r>
          </w:p>
        </w:tc>
        <w:tc>
          <w:tcPr>
            <w:tcW w:w="5945" w:type="dxa"/>
            <w:gridSpan w:val="4"/>
            <w:tcBorders>
              <w:tl2br w:val="nil"/>
              <w:tr2bl w:val="nil"/>
            </w:tcBorders>
            <w:vAlign w:val="center"/>
          </w:tcPr>
          <w:p>
            <w:pPr>
              <w:widowControl/>
              <w:jc w:val="center"/>
              <w:rPr>
                <w:rFonts w:hint="default" w:ascii="Times New Roman" w:hAnsi="Times New Roman" w:eastAsia="宋体" w:cs="Times New Roman"/>
                <w:bCs/>
                <w:szCs w:val="21"/>
              </w:rPr>
            </w:pPr>
            <w:r>
              <w:rPr>
                <w:rFonts w:hint="default" w:ascii="Times New Roman" w:hAnsi="Times New Roman" w:eastAsia="宋体" w:cs="Times New Roman"/>
                <w:color w:val="000000"/>
                <w:kern w:val="0"/>
                <w:szCs w:val="21"/>
              </w:rPr>
              <w:t>主要危险物质为废机油，暂存于危废暂存间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8"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环境影响途径及危害后果</w:t>
            </w:r>
          </w:p>
        </w:tc>
        <w:tc>
          <w:tcPr>
            <w:tcW w:w="5945" w:type="dxa"/>
            <w:gridSpan w:val="4"/>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选厂环境风险类型为泄漏风险，环境转移的途径为经水体、土壤进入环境。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8"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风险防范措施要求</w:t>
            </w:r>
          </w:p>
        </w:tc>
        <w:tc>
          <w:tcPr>
            <w:tcW w:w="5945" w:type="dxa"/>
            <w:gridSpan w:val="4"/>
            <w:tcBorders>
              <w:tl2br w:val="nil"/>
              <w:tr2bl w:val="nil"/>
            </w:tcBorders>
            <w:vAlign w:val="center"/>
          </w:tcPr>
          <w:p>
            <w:pPr>
              <w:widowControl/>
              <w:jc w:val="left"/>
              <w:rPr>
                <w:rFonts w:hint="default" w:ascii="Times New Roman" w:hAnsi="Times New Roman" w:eastAsia="宋体" w:cs="Times New Roman"/>
              </w:rPr>
            </w:pPr>
            <w:r>
              <w:rPr>
                <w:rFonts w:hint="default" w:ascii="Times New Roman" w:hAnsi="Times New Roman" w:eastAsia="宋体" w:cs="Times New Roman"/>
                <w:color w:val="000000"/>
                <w:kern w:val="0"/>
                <w:szCs w:val="21"/>
              </w:rPr>
              <w:t>1、按《危险废物贮存污染控制标准》（GB18597-2001）的要求建设危废暂存间，做好全封闭，做好贮存区的防风、防雨、防晒工作，后续监管中保证表面无裂缝，防止泄露事故，按重点污染防控区防渗监控，避免贮存的危险废物污染当地地下水和土壤；同时在贮存区域设置明显的警示牌标识；对危险废物的收集和管理，厂区应委派专人负责，并做好登记记录。</w:t>
            </w:r>
          </w:p>
          <w:p>
            <w:pPr>
              <w:widowControl/>
              <w:jc w:val="left"/>
              <w:rPr>
                <w:rFonts w:hint="default" w:ascii="Times New Roman" w:hAnsi="Times New Roman" w:eastAsia="宋体" w:cs="Times New Roman"/>
                <w:kern w:val="0"/>
                <w:sz w:val="24"/>
              </w:rPr>
            </w:pPr>
            <w:r>
              <w:rPr>
                <w:rFonts w:hint="default" w:ascii="Times New Roman" w:hAnsi="Times New Roman" w:eastAsia="宋体" w:cs="Times New Roman"/>
                <w:color w:val="000000"/>
                <w:kern w:val="0"/>
                <w:szCs w:val="21"/>
              </w:rPr>
              <w:t>2、生产事故废水设置应急事故处理池一个。</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8" w:type="dxa"/>
            <w:tcBorders>
              <w:tl2br w:val="nil"/>
              <w:tr2bl w:val="nil"/>
            </w:tcBorders>
            <w:vAlign w:val="center"/>
          </w:tcPr>
          <w:p>
            <w:pPr>
              <w:adjustRightInd w:val="0"/>
              <w:snapToGrid w:val="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填表说明</w:t>
            </w:r>
          </w:p>
        </w:tc>
        <w:tc>
          <w:tcPr>
            <w:tcW w:w="5945" w:type="dxa"/>
            <w:gridSpan w:val="4"/>
            <w:tcBorders>
              <w:tl2br w:val="nil"/>
              <w:tr2bl w:val="nil"/>
            </w:tcBorders>
            <w:vAlign w:val="center"/>
          </w:tcPr>
          <w:p>
            <w:pPr>
              <w:autoSpaceDE w:val="0"/>
              <w:autoSpaceDN w:val="0"/>
              <w:adjustRightInd w:val="0"/>
              <w:jc w:val="left"/>
              <w:rPr>
                <w:rFonts w:hint="default" w:ascii="Times New Roman" w:hAnsi="Times New Roman" w:eastAsia="宋体" w:cs="Times New Roman"/>
                <w:bCs/>
                <w:szCs w:val="21"/>
              </w:rPr>
            </w:pPr>
            <w:r>
              <w:rPr>
                <w:rFonts w:hint="default" w:ascii="Times New Roman" w:hAnsi="Times New Roman" w:eastAsia="宋体" w:cs="Times New Roman"/>
                <w:kern w:val="0"/>
                <w:szCs w:val="21"/>
              </w:rPr>
              <w:t>项目发生事故的类型主要为选矿废水的泄漏。本项目严格采取报告中提出的风险防范措施后，可将事故的影响程度控制在可接受范围之内。在项目运营过程中，建设项目环境风险防范措施的有效。</w:t>
            </w:r>
          </w:p>
        </w:tc>
      </w:tr>
      <w:bookmarkEnd w:id="371"/>
      <w:bookmarkEnd w:id="372"/>
      <w:bookmarkEnd w:id="373"/>
      <w:bookmarkEnd w:id="379"/>
      <w:bookmarkEnd w:id="380"/>
      <w:bookmarkEnd w:id="381"/>
      <w:bookmarkEnd w:id="382"/>
      <w:bookmarkEnd w:id="383"/>
      <w:bookmarkEnd w:id="384"/>
      <w:bookmarkEnd w:id="385"/>
      <w:bookmarkEnd w:id="386"/>
      <w:bookmarkEnd w:id="387"/>
      <w:bookmarkEnd w:id="388"/>
    </w:tbl>
    <w:p>
      <w:pPr>
        <w:keepNext w:val="0"/>
        <w:keepLines w:val="0"/>
        <w:pageBreakBefore w:val="0"/>
        <w:widowControl w:val="0"/>
        <w:kinsoku/>
        <w:wordWrap/>
        <w:overflowPunct/>
        <w:topLinePunct w:val="0"/>
        <w:autoSpaceDE/>
        <w:autoSpaceDN/>
        <w:bidi w:val="0"/>
        <w:adjustRightInd/>
        <w:snapToGrid/>
        <w:spacing w:before="157" w:beforeLines="50" w:line="360" w:lineRule="auto"/>
        <w:ind w:firstLine="420" w:firstLineChars="200"/>
        <w:textAlignment w:val="auto"/>
        <w:rPr>
          <w:rFonts w:hint="default" w:ascii="Times New Roman" w:hAnsi="Times New Roman" w:eastAsia="宋体" w:cs="Times New Roman"/>
          <w:color w:val="auto"/>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bookmarkEnd w:id="374"/>
    <w:bookmarkEnd w:id="375"/>
    <w:bookmarkEnd w:id="376"/>
    <w:bookmarkEnd w:id="377"/>
    <w:p>
      <w:pPr>
        <w:pStyle w:val="346"/>
        <w:spacing w:beforeLines="50" w:line="360" w:lineRule="auto"/>
        <w:rPr>
          <w:rFonts w:hint="default" w:ascii="Times New Roman" w:hAnsi="Times New Roman" w:eastAsia="宋体" w:cs="Times New Roman"/>
          <w:color w:val="auto"/>
        </w:rPr>
      </w:pPr>
      <w:bookmarkStart w:id="401" w:name="_Toc397324133"/>
      <w:bookmarkStart w:id="402" w:name="_Toc22016526"/>
      <w:bookmarkStart w:id="403" w:name="_Toc404059157"/>
      <w:bookmarkStart w:id="404" w:name="_Toc13561"/>
      <w:r>
        <w:rPr>
          <w:rFonts w:hint="default" w:ascii="Times New Roman" w:hAnsi="Times New Roman" w:eastAsia="宋体" w:cs="Times New Roman"/>
          <w:color w:val="auto"/>
        </w:rPr>
        <w:t>8环境经济损益分析</w:t>
      </w:r>
      <w:bookmarkEnd w:id="401"/>
      <w:bookmarkEnd w:id="402"/>
      <w:bookmarkEnd w:id="403"/>
      <w:bookmarkEnd w:id="404"/>
    </w:p>
    <w:p>
      <w:pPr>
        <w:spacing w:line="360" w:lineRule="auto"/>
        <w:ind w:firstLine="480" w:firstLineChars="200"/>
        <w:rPr>
          <w:rFonts w:hint="default" w:ascii="Times New Roman" w:hAnsi="Times New Roman" w:eastAsia="宋体" w:cs="Times New Roman"/>
          <w:color w:val="auto"/>
          <w:sz w:val="24"/>
        </w:rPr>
      </w:pPr>
      <w:bookmarkStart w:id="405" w:name="_Toc15405"/>
      <w:bookmarkStart w:id="406" w:name="_Toc22016528"/>
      <w:bookmarkStart w:id="407" w:name="_Toc504231149"/>
      <w:bookmarkStart w:id="408" w:name="_Toc18583"/>
      <w:bookmarkStart w:id="409" w:name="_Toc17657516"/>
      <w:bookmarkStart w:id="410" w:name="_Toc124153605"/>
      <w:bookmarkStart w:id="411" w:name="_Toc215370167"/>
      <w:bookmarkStart w:id="412" w:name="_Toc169071186"/>
      <w:bookmarkStart w:id="413" w:name="_Toc124154173"/>
      <w:bookmarkStart w:id="414" w:name="_Toc125361618"/>
      <w:bookmarkStart w:id="415" w:name="_Toc70732396"/>
      <w:r>
        <w:rPr>
          <w:rFonts w:hint="default" w:ascii="Times New Roman" w:hAnsi="Times New Roman" w:eastAsia="宋体" w:cs="Times New Roman"/>
          <w:color w:val="auto"/>
          <w:sz w:val="24"/>
        </w:rPr>
        <w:t>社会影响、经济影响、环境影响是一个项目对人类社会生态系统产生影响的三要素，三者之间既互相促进，由相互制约，必须通过全面规划、综合平衡、正确的把全局利益和局部利益、长远利益和近期利益结合起来，对环境保护和经济发展进行协调，实现社会效益、经济效益、环境效益的三统一。</w:t>
      </w:r>
      <w:bookmarkEnd w:id="405"/>
    </w:p>
    <w:bookmarkEnd w:id="406"/>
    <w:bookmarkEnd w:id="407"/>
    <w:bookmarkEnd w:id="408"/>
    <w:bookmarkEnd w:id="409"/>
    <w:p>
      <w:pPr>
        <w:pStyle w:val="4"/>
        <w:spacing w:line="360" w:lineRule="auto"/>
        <w:rPr>
          <w:rFonts w:hint="default" w:ascii="Times New Roman" w:hAnsi="Times New Roman" w:eastAsia="宋体" w:cs="Times New Roman"/>
          <w:color w:val="auto"/>
          <w:sz w:val="28"/>
          <w:szCs w:val="28"/>
          <w:highlight w:val="none"/>
        </w:rPr>
      </w:pPr>
      <w:bookmarkStart w:id="416" w:name="_Toc448693463"/>
      <w:bookmarkStart w:id="417" w:name="_Toc524081481"/>
      <w:bookmarkStart w:id="418" w:name="_Toc23814"/>
      <w:bookmarkStart w:id="419" w:name="_Toc446938423"/>
      <w:bookmarkStart w:id="420" w:name="_Toc448693385"/>
      <w:bookmarkStart w:id="421" w:name="_Toc448765693"/>
      <w:bookmarkStart w:id="422" w:name="_Toc448771428"/>
      <w:bookmarkStart w:id="423" w:name="_Toc440368298"/>
      <w:bookmarkStart w:id="424" w:name="_Toc20188"/>
      <w:bookmarkStart w:id="425" w:name="_Toc17657521"/>
      <w:bookmarkStart w:id="426" w:name="_Toc504231154"/>
      <w:bookmarkStart w:id="427" w:name="_Toc18559"/>
      <w:r>
        <w:rPr>
          <w:rFonts w:hint="default" w:ascii="Times New Roman" w:hAnsi="Times New Roman" w:eastAsia="宋体" w:cs="Times New Roman"/>
          <w:color w:val="auto"/>
          <w:sz w:val="28"/>
          <w:szCs w:val="28"/>
          <w:highlight w:val="none"/>
        </w:rPr>
        <w:t>8.1经济效益分析</w:t>
      </w:r>
      <w:bookmarkEnd w:id="416"/>
      <w:bookmarkEnd w:id="417"/>
      <w:bookmarkEnd w:id="418"/>
      <w:bookmarkEnd w:id="419"/>
      <w:bookmarkEnd w:id="420"/>
      <w:bookmarkEnd w:id="421"/>
      <w:bookmarkEnd w:id="422"/>
      <w:bookmarkEnd w:id="423"/>
      <w:bookmarkEnd w:id="424"/>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本项目符合国家产业政策，</w:t>
      </w:r>
      <w:r>
        <w:rPr>
          <w:rFonts w:hint="default" w:ascii="Times New Roman" w:hAnsi="Times New Roman" w:eastAsia="宋体" w:cs="Times New Roman"/>
          <w:color w:val="auto"/>
          <w:sz w:val="24"/>
          <w:highlight w:val="none"/>
          <w:lang w:val="en-US" w:eastAsia="zh-CN"/>
        </w:rPr>
        <w:t>项目总投资5000万元，建成投产年营业收入为</w:t>
      </w:r>
      <w:r>
        <w:rPr>
          <w:rFonts w:hint="eastAsia" w:ascii="Times New Roman" w:hAnsi="Times New Roman" w:eastAsia="宋体" w:cs="Times New Roman"/>
          <w:color w:val="auto"/>
          <w:sz w:val="24"/>
          <w:highlight w:val="none"/>
          <w:lang w:val="en-US" w:eastAsia="zh-CN"/>
        </w:rPr>
        <w:t>50</w:t>
      </w:r>
      <w:r>
        <w:rPr>
          <w:rFonts w:hint="default" w:ascii="Times New Roman" w:hAnsi="Times New Roman" w:eastAsia="宋体" w:cs="Times New Roman"/>
          <w:color w:val="auto"/>
          <w:sz w:val="24"/>
          <w:highlight w:val="none"/>
          <w:lang w:val="en-US" w:eastAsia="zh-CN"/>
        </w:rPr>
        <w:t>000万元，具有较好的经济效益</w:t>
      </w:r>
      <w:r>
        <w:rPr>
          <w:rFonts w:hint="default" w:ascii="Times New Roman" w:hAnsi="Times New Roman" w:eastAsia="宋体" w:cs="Times New Roman"/>
          <w:color w:val="auto"/>
          <w:sz w:val="24"/>
          <w:highlight w:val="none"/>
        </w:rPr>
        <w:t>。</w:t>
      </w:r>
    </w:p>
    <w:p>
      <w:pPr>
        <w:pStyle w:val="4"/>
        <w:spacing w:line="360" w:lineRule="auto"/>
        <w:rPr>
          <w:rFonts w:hint="default" w:ascii="Times New Roman" w:hAnsi="Times New Roman" w:eastAsia="宋体" w:cs="Times New Roman"/>
          <w:color w:val="auto"/>
          <w:sz w:val="28"/>
          <w:szCs w:val="28"/>
        </w:rPr>
      </w:pPr>
      <w:bookmarkStart w:id="428" w:name="_Toc524081482"/>
      <w:bookmarkStart w:id="429" w:name="_Toc21808"/>
      <w:bookmarkStart w:id="430" w:name="_Toc446938424"/>
      <w:bookmarkStart w:id="431" w:name="_Toc448771429"/>
      <w:bookmarkStart w:id="432" w:name="_Toc448693386"/>
      <w:bookmarkStart w:id="433" w:name="_Toc448693464"/>
      <w:bookmarkStart w:id="434" w:name="_Toc448765694"/>
      <w:bookmarkStart w:id="435" w:name="_Toc440368299"/>
      <w:bookmarkStart w:id="436" w:name="_Toc18914"/>
      <w:r>
        <w:rPr>
          <w:rFonts w:hint="default" w:ascii="Times New Roman" w:hAnsi="Times New Roman" w:eastAsia="宋体" w:cs="Times New Roman"/>
          <w:color w:val="auto"/>
          <w:sz w:val="28"/>
          <w:szCs w:val="28"/>
        </w:rPr>
        <w:t>8.2社会效益分析</w:t>
      </w:r>
      <w:bookmarkEnd w:id="428"/>
      <w:bookmarkEnd w:id="429"/>
      <w:bookmarkEnd w:id="430"/>
      <w:bookmarkEnd w:id="431"/>
      <w:bookmarkEnd w:id="432"/>
      <w:bookmarkEnd w:id="433"/>
      <w:bookmarkEnd w:id="434"/>
      <w:bookmarkEnd w:id="435"/>
      <w:bookmarkEnd w:id="436"/>
    </w:p>
    <w:p>
      <w:pPr>
        <w:pStyle w:val="256"/>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本工程的建设不仅具有环境效益和经济效益，而且具有一定的社会效益。</w:t>
      </w:r>
    </w:p>
    <w:p>
      <w:pPr>
        <w:pStyle w:val="256"/>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（1）本工程的建设可以为当地居民提供更多的就业机会，缓解社会就业压力，改善当地居民的生活水平。</w:t>
      </w:r>
    </w:p>
    <w:p>
      <w:pPr>
        <w:pStyle w:val="256"/>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（2）拟建项目投产后，每年上缴一定的利税，增加地方的财政收入，促进当地经济发展，有利于维护社会治安的稳定和发展。</w:t>
      </w:r>
    </w:p>
    <w:p>
      <w:pPr>
        <w:pStyle w:val="256"/>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因此，拟建项目的建设具有显著的社会效益。</w:t>
      </w:r>
    </w:p>
    <w:p>
      <w:pPr>
        <w:pStyle w:val="523"/>
        <w:snapToGrid/>
        <w:spacing w:line="360" w:lineRule="auto"/>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综上所述，在落实各项污染防治措施，污染物达标排放的前提下，工程的运行具有较好的社会、环境和经济效益。</w:t>
      </w:r>
    </w:p>
    <w:p>
      <w:pPr>
        <w:pStyle w:val="4"/>
        <w:spacing w:line="360" w:lineRule="auto"/>
        <w:rPr>
          <w:rFonts w:hint="default" w:ascii="Times New Roman" w:hAnsi="Times New Roman" w:eastAsia="宋体" w:cs="Times New Roman"/>
          <w:color w:val="auto"/>
          <w:sz w:val="28"/>
          <w:szCs w:val="28"/>
        </w:rPr>
      </w:pPr>
      <w:bookmarkStart w:id="437" w:name="_Toc524081483"/>
      <w:bookmarkStart w:id="438" w:name="_Toc448765695"/>
      <w:bookmarkStart w:id="439" w:name="_Toc29170"/>
      <w:bookmarkStart w:id="440" w:name="_Toc446938425"/>
      <w:bookmarkStart w:id="441" w:name="_Toc440368300"/>
      <w:bookmarkStart w:id="442" w:name="_Toc448693387"/>
      <w:bookmarkStart w:id="443" w:name="_Toc448693465"/>
      <w:bookmarkStart w:id="444" w:name="_Toc448771430"/>
      <w:bookmarkStart w:id="445" w:name="_Toc26097"/>
      <w:r>
        <w:rPr>
          <w:rFonts w:hint="default" w:ascii="Times New Roman" w:hAnsi="Times New Roman" w:eastAsia="宋体" w:cs="Times New Roman"/>
          <w:color w:val="auto"/>
          <w:sz w:val="28"/>
          <w:szCs w:val="28"/>
        </w:rPr>
        <w:t>8.3环境效益分析</w:t>
      </w:r>
      <w:bookmarkEnd w:id="437"/>
      <w:bookmarkEnd w:id="438"/>
      <w:bookmarkEnd w:id="439"/>
      <w:bookmarkEnd w:id="440"/>
      <w:bookmarkEnd w:id="441"/>
      <w:bookmarkEnd w:id="442"/>
      <w:bookmarkEnd w:id="443"/>
      <w:bookmarkEnd w:id="444"/>
      <w:bookmarkEnd w:id="445"/>
    </w:p>
    <w:p>
      <w:pPr>
        <w:bidi w:val="0"/>
        <w:spacing w:line="360" w:lineRule="auto"/>
        <w:rPr>
          <w:rFonts w:hint="default" w:ascii="Times New Roman" w:hAnsi="Times New Roman" w:eastAsia="宋体" w:cs="Times New Roman"/>
          <w:b/>
          <w:bCs/>
          <w:color w:val="auto"/>
          <w:sz w:val="28"/>
          <w:szCs w:val="28"/>
          <w:lang w:val="en-US" w:eastAsia="zh-CN"/>
        </w:rPr>
      </w:pPr>
      <w:bookmarkStart w:id="446" w:name="_Toc440368301"/>
      <w:bookmarkStart w:id="447" w:name="_Toc441053186"/>
      <w:bookmarkStart w:id="448" w:name="_Toc6423"/>
      <w:bookmarkStart w:id="449" w:name="_Toc440874888"/>
      <w:r>
        <w:rPr>
          <w:rFonts w:hint="default" w:ascii="Times New Roman" w:hAnsi="Times New Roman" w:eastAsia="宋体" w:cs="Times New Roman"/>
          <w:b/>
          <w:bCs/>
          <w:color w:val="auto"/>
          <w:sz w:val="28"/>
          <w:szCs w:val="28"/>
          <w:lang w:val="en-US" w:eastAsia="zh-CN"/>
        </w:rPr>
        <w:t>8.3.1环保投资估算</w:t>
      </w:r>
      <w:bookmarkEnd w:id="446"/>
      <w:bookmarkEnd w:id="447"/>
      <w:bookmarkEnd w:id="448"/>
      <w:bookmarkEnd w:id="449"/>
    </w:p>
    <w:p>
      <w:pPr>
        <w:tabs>
          <w:tab w:val="center" w:pos="4753"/>
        </w:tabs>
        <w:spacing w:line="360" w:lineRule="auto"/>
        <w:ind w:firstLine="480" w:firstLineChars="200"/>
        <w:rPr>
          <w:rFonts w:hint="default" w:ascii="Times New Roman" w:hAnsi="Times New Roman" w:eastAsia="宋体" w:cs="Times New Roman"/>
          <w:color w:val="auto"/>
          <w:kern w:val="21"/>
          <w:sz w:val="24"/>
        </w:rPr>
      </w:pPr>
      <w:r>
        <w:rPr>
          <w:rFonts w:hint="default" w:ascii="Times New Roman" w:hAnsi="Times New Roman" w:eastAsia="宋体" w:cs="Times New Roman"/>
          <w:color w:val="auto"/>
          <w:kern w:val="21"/>
          <w:sz w:val="24"/>
        </w:rPr>
        <w:t>环境经济损益主要体现在项目所采取的环保措施投资。为了加强项目的环境管理，防止环境污染，减轻或防止环境质量下降，根据“建设项目环境保护设计规定”的要求，建设项目的环保设施必须与主体工程同时设计、同时施工、同时投入运行。环保建设投资主要包括环保工程建设、安装、调试、运转等费用。</w:t>
      </w:r>
    </w:p>
    <w:p>
      <w:pPr>
        <w:tabs>
          <w:tab w:val="center" w:pos="4753"/>
        </w:tabs>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本项目总</w:t>
      </w:r>
      <w:r>
        <w:rPr>
          <w:rFonts w:hint="default" w:ascii="Times New Roman" w:hAnsi="Times New Roman" w:eastAsia="宋体" w:cs="Times New Roman"/>
          <w:color w:val="auto"/>
          <w:sz w:val="24"/>
          <w:szCs w:val="24"/>
        </w:rPr>
        <w:t>投资为</w:t>
      </w:r>
      <w:r>
        <w:rPr>
          <w:rFonts w:hint="default" w:ascii="Times New Roman" w:hAnsi="Times New Roman" w:eastAsia="宋体" w:cs="Times New Roman"/>
          <w:color w:val="auto"/>
          <w:sz w:val="24"/>
          <w:szCs w:val="24"/>
          <w:lang w:val="en-US" w:eastAsia="zh-CN"/>
        </w:rPr>
        <w:t>5000</w:t>
      </w:r>
      <w:r>
        <w:rPr>
          <w:rFonts w:hint="default" w:ascii="Times New Roman" w:hAnsi="Times New Roman" w:eastAsia="宋体" w:cs="Times New Roman"/>
          <w:color w:val="auto"/>
          <w:sz w:val="24"/>
          <w:szCs w:val="24"/>
        </w:rPr>
        <w:t>万元，项目环保投</w:t>
      </w:r>
      <w:r>
        <w:rPr>
          <w:rFonts w:hint="default" w:ascii="Times New Roman" w:hAnsi="Times New Roman" w:eastAsia="宋体" w:cs="Times New Roman"/>
          <w:color w:val="auto"/>
          <w:sz w:val="24"/>
        </w:rPr>
        <w:t>资</w:t>
      </w:r>
      <w:r>
        <w:rPr>
          <w:rFonts w:hint="default" w:ascii="Times New Roman" w:hAnsi="Times New Roman" w:eastAsia="宋体" w:cs="Times New Roman"/>
          <w:color w:val="auto"/>
          <w:sz w:val="24"/>
          <w:lang w:val="en-US" w:eastAsia="zh-CN"/>
        </w:rPr>
        <w:t>93.7</w:t>
      </w:r>
      <w:r>
        <w:rPr>
          <w:rFonts w:hint="default" w:ascii="Times New Roman" w:hAnsi="Times New Roman" w:eastAsia="宋体" w:cs="Times New Roman"/>
          <w:color w:val="auto"/>
          <w:sz w:val="24"/>
        </w:rPr>
        <w:t>万元，占总投资的</w:t>
      </w:r>
      <w:r>
        <w:rPr>
          <w:rFonts w:hint="default" w:ascii="Times New Roman" w:hAnsi="Times New Roman" w:eastAsia="宋体" w:cs="Times New Roman"/>
          <w:color w:val="auto"/>
          <w:sz w:val="24"/>
          <w:lang w:val="en-US" w:eastAsia="zh-CN"/>
        </w:rPr>
        <w:t>1.87</w:t>
      </w:r>
      <w:r>
        <w:rPr>
          <w:rFonts w:hint="default" w:ascii="Times New Roman" w:hAnsi="Times New Roman" w:eastAsia="宋体" w:cs="Times New Roman"/>
          <w:color w:val="auto"/>
          <w:sz w:val="24"/>
        </w:rPr>
        <w:t>%。本项目环保投资估算见表8.3-1。</w:t>
      </w:r>
    </w:p>
    <w:p>
      <w:pPr>
        <w:pStyle w:val="150"/>
        <w:spacing w:beforeLines="50" w:line="480" w:lineRule="exact"/>
        <w:ind w:firstLine="0" w:firstLineChars="0"/>
        <w:rPr>
          <w:rFonts w:hint="default" w:ascii="Times New Roman" w:hAnsi="Times New Roman" w:eastAsia="宋体" w:cs="Times New Roman"/>
          <w:color w:val="auto"/>
          <w:kern w:val="2"/>
          <w:szCs w:val="22"/>
          <w:lang w:val="en-US" w:eastAsia="zh-CN"/>
        </w:rPr>
      </w:pPr>
      <w:r>
        <w:rPr>
          <w:rFonts w:hint="default" w:ascii="Times New Roman" w:hAnsi="Times New Roman" w:eastAsia="宋体" w:cs="Times New Roman"/>
          <w:color w:val="auto"/>
          <w:kern w:val="2"/>
          <w:szCs w:val="22"/>
          <w:lang w:val="en-US" w:eastAsia="zh-CN"/>
        </w:rPr>
        <w:t>表8.3-1                       环保投资估算一览表</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0"/>
        <w:gridCol w:w="1430"/>
        <w:gridCol w:w="5021"/>
        <w:gridCol w:w="16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bookmarkStart w:id="450" w:name="_Toc17367"/>
            <w:bookmarkStart w:id="451" w:name="_Toc440874889"/>
            <w:bookmarkStart w:id="452" w:name="_Toc440368302"/>
            <w:bookmarkStart w:id="453" w:name="_Toc441053187"/>
            <w:r>
              <w:rPr>
                <w:rFonts w:hint="default" w:ascii="Times New Roman" w:hAnsi="Times New Roman" w:eastAsia="宋体" w:cs="Times New Roman"/>
                <w:szCs w:val="21"/>
              </w:rPr>
              <w:t>类别</w:t>
            </w:r>
          </w:p>
        </w:tc>
        <w:tc>
          <w:tcPr>
            <w:tcW w:w="143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污染源</w:t>
            </w:r>
          </w:p>
        </w:tc>
        <w:tc>
          <w:tcPr>
            <w:tcW w:w="5021"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环保设施</w:t>
            </w:r>
          </w:p>
        </w:tc>
        <w:tc>
          <w:tcPr>
            <w:tcW w:w="1666"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投资（万元）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restar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废气</w:t>
            </w:r>
          </w:p>
        </w:tc>
        <w:tc>
          <w:tcPr>
            <w:tcW w:w="143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lang w:eastAsia="zh-CN"/>
              </w:rPr>
            </w:pPr>
            <w:r>
              <w:rPr>
                <w:rFonts w:hint="default" w:ascii="Times New Roman" w:hAnsi="Times New Roman" w:eastAsia="宋体" w:cs="Times New Roman"/>
                <w:szCs w:val="21"/>
                <w:lang w:eastAsia="zh-CN"/>
              </w:rPr>
              <w:t>破碎筛分工艺</w:t>
            </w:r>
          </w:p>
        </w:tc>
        <w:tc>
          <w:tcPr>
            <w:tcW w:w="5021"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lang w:eastAsia="zh-CN"/>
              </w:rPr>
              <w:t>两道破碎工序及筛分工序各</w:t>
            </w:r>
            <w:r>
              <w:rPr>
                <w:rFonts w:hint="default" w:ascii="Times New Roman" w:hAnsi="Times New Roman" w:eastAsia="宋体" w:cs="Times New Roman"/>
                <w:szCs w:val="21"/>
              </w:rPr>
              <w:t>设置</w:t>
            </w:r>
            <w:r>
              <w:rPr>
                <w:rFonts w:hint="default" w:ascii="Times New Roman" w:hAnsi="Times New Roman" w:eastAsia="宋体" w:cs="Times New Roman"/>
                <w:szCs w:val="21"/>
                <w:lang w:val="en-US" w:eastAsia="zh-CN"/>
              </w:rPr>
              <w:t>1个</w:t>
            </w:r>
            <w:r>
              <w:rPr>
                <w:rFonts w:hint="default" w:ascii="Times New Roman" w:hAnsi="Times New Roman" w:eastAsia="宋体" w:cs="Times New Roman"/>
                <w:szCs w:val="21"/>
              </w:rPr>
              <w:t>集尘罩，</w:t>
            </w:r>
            <w:r>
              <w:rPr>
                <w:rFonts w:hint="default" w:ascii="Times New Roman" w:hAnsi="Times New Roman" w:eastAsia="宋体" w:cs="Times New Roman"/>
                <w:szCs w:val="21"/>
                <w:lang w:eastAsia="zh-CN"/>
              </w:rPr>
              <w:t>粉尘</w:t>
            </w:r>
            <w:r>
              <w:rPr>
                <w:rFonts w:hint="default" w:ascii="Times New Roman" w:hAnsi="Times New Roman" w:eastAsia="宋体" w:cs="Times New Roman"/>
                <w:szCs w:val="21"/>
              </w:rPr>
              <w:t>经集尘罩收集后送布袋除尘器处理，处理后经1根15m排气筒（P1）达标排放（集气效率9</w:t>
            </w:r>
            <w:r>
              <w:rPr>
                <w:rFonts w:hint="default" w:ascii="Times New Roman" w:hAnsi="Times New Roman" w:eastAsia="宋体" w:cs="Times New Roman"/>
                <w:szCs w:val="21"/>
                <w:lang w:val="en-US" w:eastAsia="zh-CN"/>
              </w:rPr>
              <w:t>9</w:t>
            </w:r>
            <w:r>
              <w:rPr>
                <w:rFonts w:hint="default" w:ascii="Times New Roman" w:hAnsi="Times New Roman" w:eastAsia="宋体" w:cs="Times New Roman"/>
                <w:szCs w:val="21"/>
              </w:rPr>
              <w:t>%，处理效率99%）</w:t>
            </w:r>
          </w:p>
        </w:tc>
        <w:tc>
          <w:tcPr>
            <w:tcW w:w="1666"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continue"/>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p>
        </w:tc>
        <w:tc>
          <w:tcPr>
            <w:tcW w:w="143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破碎车间</w:t>
            </w:r>
          </w:p>
        </w:tc>
        <w:tc>
          <w:tcPr>
            <w:tcW w:w="5021"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三面封闭+挡雨棚，采用粘土防渗层时防渗层顶面宜采用混凝土地面或设置厚度不小于200mm的砂石层</w:t>
            </w:r>
          </w:p>
        </w:tc>
        <w:tc>
          <w:tcPr>
            <w:tcW w:w="1666"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continue"/>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p>
        </w:tc>
        <w:tc>
          <w:tcPr>
            <w:tcW w:w="143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尾矿仓、铁精粉库、</w:t>
            </w:r>
            <w:r>
              <w:rPr>
                <w:rFonts w:hint="default" w:ascii="Times New Roman" w:hAnsi="Times New Roman" w:eastAsia="宋体" w:cs="Times New Roman"/>
                <w:szCs w:val="21"/>
                <w:lang w:eastAsia="zh-CN"/>
              </w:rPr>
              <w:t>球磨</w:t>
            </w:r>
            <w:r>
              <w:rPr>
                <w:rFonts w:hint="default" w:ascii="Times New Roman" w:hAnsi="Times New Roman" w:eastAsia="宋体" w:cs="Times New Roman"/>
                <w:szCs w:val="21"/>
              </w:rPr>
              <w:t>车间、干排车间</w:t>
            </w:r>
          </w:p>
        </w:tc>
        <w:tc>
          <w:tcPr>
            <w:tcW w:w="5021" w:type="dxa"/>
            <w:tcBorders>
              <w:tl2br w:val="nil"/>
              <w:tr2bl w:val="nil"/>
            </w:tcBorders>
            <w:vAlign w:val="center"/>
          </w:tcPr>
          <w:p>
            <w:pPr>
              <w:widowControl/>
              <w:jc w:val="left"/>
              <w:rPr>
                <w:rFonts w:hint="default" w:ascii="Times New Roman" w:hAnsi="Times New Roman" w:eastAsia="宋体" w:cs="Times New Roman"/>
                <w:szCs w:val="21"/>
              </w:rPr>
            </w:pPr>
            <w:r>
              <w:rPr>
                <w:rFonts w:hint="default" w:ascii="Times New Roman" w:hAnsi="Times New Roman" w:eastAsia="宋体" w:cs="Times New Roman"/>
                <w:szCs w:val="21"/>
              </w:rPr>
              <w:t>三面封闭+挡雨棚，</w:t>
            </w:r>
            <w:r>
              <w:rPr>
                <w:rFonts w:hint="default" w:ascii="Times New Roman" w:hAnsi="Times New Roman" w:eastAsia="宋体" w:cs="Times New Roman"/>
                <w:kern w:val="0"/>
                <w:szCs w:val="21"/>
              </w:rPr>
              <w:t>车间、精矿池等采用混凝土防渗层时混凝土的强度等级不应低于C25，抗渗等级不应低于P6，厚度不应小于100mm</w:t>
            </w:r>
          </w:p>
        </w:tc>
        <w:tc>
          <w:tcPr>
            <w:tcW w:w="1666" w:type="dxa"/>
            <w:tcBorders>
              <w:tl2br w:val="nil"/>
              <w:tr2bl w:val="nil"/>
            </w:tcBorders>
            <w:vAlign w:val="center"/>
          </w:tcPr>
          <w:p>
            <w:pPr>
              <w:widowControl/>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restar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废水</w:t>
            </w:r>
          </w:p>
        </w:tc>
        <w:tc>
          <w:tcPr>
            <w:tcW w:w="143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生活污水</w:t>
            </w:r>
          </w:p>
        </w:tc>
        <w:tc>
          <w:tcPr>
            <w:tcW w:w="5021"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1座有效容积约15m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的防渗旱厕（防渗系数≤1.0×10</w:t>
            </w:r>
            <w:r>
              <w:rPr>
                <w:rFonts w:hint="default" w:ascii="Times New Roman" w:hAnsi="Times New Roman" w:eastAsia="宋体" w:cs="Times New Roman"/>
                <w:szCs w:val="21"/>
                <w:vertAlign w:val="superscript"/>
              </w:rPr>
              <w:t>-7</w:t>
            </w:r>
            <w:r>
              <w:rPr>
                <w:rFonts w:hint="default" w:ascii="Times New Roman" w:hAnsi="Times New Roman" w:eastAsia="宋体" w:cs="Times New Roman"/>
                <w:szCs w:val="21"/>
              </w:rPr>
              <w:t>cm/s）</w:t>
            </w:r>
          </w:p>
        </w:tc>
        <w:tc>
          <w:tcPr>
            <w:tcW w:w="1666"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continue"/>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p>
        </w:tc>
        <w:tc>
          <w:tcPr>
            <w:tcW w:w="143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选矿废水</w:t>
            </w:r>
          </w:p>
        </w:tc>
        <w:tc>
          <w:tcPr>
            <w:tcW w:w="5021" w:type="dxa"/>
            <w:tcBorders>
              <w:tl2br w:val="nil"/>
              <w:tr2bl w:val="nil"/>
            </w:tcBorders>
            <w:vAlign w:val="center"/>
          </w:tcPr>
          <w:p>
            <w:pPr>
              <w:widowControl/>
              <w:jc w:val="center"/>
              <w:rPr>
                <w:rFonts w:hint="default" w:ascii="Times New Roman" w:hAnsi="Times New Roman" w:eastAsia="宋体" w:cs="Times New Roman"/>
                <w:color w:val="FF0000"/>
                <w:szCs w:val="21"/>
              </w:rPr>
            </w:pPr>
            <w:r>
              <w:rPr>
                <w:rFonts w:hint="default" w:ascii="Times New Roman" w:hAnsi="Times New Roman" w:eastAsia="宋体" w:cs="Times New Roman"/>
                <w:kern w:val="0"/>
                <w:szCs w:val="21"/>
              </w:rPr>
              <w:t>生产废水经尾矿渣甩干脱水机脱水后排入</w:t>
            </w:r>
            <w:r>
              <w:rPr>
                <w:rFonts w:hint="default" w:ascii="Times New Roman" w:hAnsi="Times New Roman" w:eastAsia="宋体" w:cs="Times New Roman"/>
                <w:kern w:val="0"/>
                <w:szCs w:val="21"/>
                <w:lang w:eastAsia="zh-CN"/>
              </w:rPr>
              <w:t>浓密罐</w:t>
            </w:r>
            <w:r>
              <w:rPr>
                <w:rFonts w:hint="default" w:ascii="Times New Roman" w:hAnsi="Times New Roman" w:eastAsia="宋体" w:cs="Times New Roman"/>
                <w:kern w:val="0"/>
                <w:szCs w:val="21"/>
              </w:rPr>
              <w:t>（</w:t>
            </w:r>
            <w:r>
              <w:rPr>
                <w:rFonts w:hint="default" w:ascii="Times New Roman" w:hAnsi="Times New Roman" w:eastAsia="宋体" w:cs="Times New Roman"/>
                <w:szCs w:val="21"/>
              </w:rPr>
              <w:t>有效容积为1</w:t>
            </w:r>
            <w:r>
              <w:rPr>
                <w:rFonts w:hint="default" w:ascii="Times New Roman" w:hAnsi="Times New Roman" w:eastAsia="宋体" w:cs="Times New Roman"/>
                <w:szCs w:val="21"/>
                <w:lang w:val="en-US" w:eastAsia="zh-CN"/>
              </w:rPr>
              <w:t>8</w:t>
            </w:r>
            <w:r>
              <w:rPr>
                <w:rFonts w:hint="default" w:ascii="Times New Roman" w:hAnsi="Times New Roman" w:eastAsia="宋体" w:cs="Times New Roman"/>
                <w:szCs w:val="21"/>
              </w:rPr>
              <w:t>00m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，防渗性能不应低于6.0m厚渗透系数为1.0×10</w:t>
            </w:r>
            <w:r>
              <w:rPr>
                <w:rFonts w:hint="default" w:ascii="Times New Roman" w:hAnsi="Times New Roman" w:eastAsia="宋体" w:cs="Times New Roman"/>
                <w:szCs w:val="21"/>
                <w:vertAlign w:val="superscript"/>
              </w:rPr>
              <w:t>-7</w:t>
            </w:r>
            <w:r>
              <w:rPr>
                <w:rFonts w:hint="default" w:ascii="Times New Roman" w:hAnsi="Times New Roman" w:eastAsia="宋体" w:cs="Times New Roman"/>
                <w:szCs w:val="21"/>
              </w:rPr>
              <w:t>cm/s的粘土层的防渗性能</w:t>
            </w:r>
            <w:r>
              <w:rPr>
                <w:rFonts w:hint="default" w:ascii="Times New Roman" w:hAnsi="Times New Roman" w:eastAsia="宋体" w:cs="Times New Roman"/>
                <w:kern w:val="0"/>
                <w:szCs w:val="21"/>
              </w:rPr>
              <w:t>）沉淀，上层清液回用于选矿，不外排。</w:t>
            </w:r>
          </w:p>
        </w:tc>
        <w:tc>
          <w:tcPr>
            <w:tcW w:w="1666" w:type="dxa"/>
            <w:tcBorders>
              <w:tl2br w:val="nil"/>
              <w:tr2bl w:val="nil"/>
            </w:tcBorders>
            <w:vAlign w:val="center"/>
          </w:tcPr>
          <w:p>
            <w:pPr>
              <w:widowControl/>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噪声</w:t>
            </w:r>
          </w:p>
        </w:tc>
        <w:tc>
          <w:tcPr>
            <w:tcW w:w="143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设备噪声</w:t>
            </w:r>
          </w:p>
        </w:tc>
        <w:tc>
          <w:tcPr>
            <w:tcW w:w="5021"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设备均设置在封闭厂房内，采取隔声、减振、消声等降噪措施。</w:t>
            </w:r>
          </w:p>
        </w:tc>
        <w:tc>
          <w:tcPr>
            <w:tcW w:w="1666"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restart"/>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固废</w:t>
            </w:r>
          </w:p>
        </w:tc>
        <w:tc>
          <w:tcPr>
            <w:tcW w:w="143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尾矿渣</w:t>
            </w:r>
          </w:p>
        </w:tc>
        <w:tc>
          <w:tcPr>
            <w:tcW w:w="5021" w:type="dxa"/>
            <w:tcBorders>
              <w:tl2br w:val="nil"/>
              <w:tr2bl w:val="nil"/>
            </w:tcBorders>
            <w:vAlign w:val="center"/>
          </w:tcPr>
          <w:p>
            <w:pPr>
              <w:tabs>
                <w:tab w:val="left" w:pos="5760"/>
              </w:tabs>
              <w:autoSpaceDE w:val="0"/>
              <w:autoSpaceDN w:val="0"/>
              <w:adjustRightInd w:val="0"/>
              <w:snapToGrid w:val="0"/>
              <w:jc w:val="center"/>
              <w:rPr>
                <w:rFonts w:hint="default" w:ascii="Times New Roman" w:hAnsi="Times New Roman" w:eastAsia="宋体" w:cs="Times New Roman"/>
                <w:spacing w:val="6"/>
                <w:szCs w:val="21"/>
                <w:lang w:eastAsia="zh-CN"/>
              </w:rPr>
            </w:pPr>
            <w:r>
              <w:rPr>
                <w:rFonts w:hint="default" w:ascii="Times New Roman" w:hAnsi="Times New Roman" w:eastAsia="宋体" w:cs="Times New Roman"/>
                <w:spacing w:val="6"/>
                <w:szCs w:val="21"/>
              </w:rPr>
              <w:t>经尾矿甩干脱水机脱水后上清液回用于选矿，尾矿渣定期</w:t>
            </w:r>
            <w:r>
              <w:rPr>
                <w:rFonts w:hint="default" w:ascii="Times New Roman" w:hAnsi="Times New Roman" w:eastAsia="宋体" w:cs="Times New Roman"/>
                <w:spacing w:val="6"/>
                <w:szCs w:val="21"/>
                <w:lang w:eastAsia="zh-CN"/>
              </w:rPr>
              <w:t>运往历史采坑填埋</w:t>
            </w:r>
          </w:p>
        </w:tc>
        <w:tc>
          <w:tcPr>
            <w:tcW w:w="1666" w:type="dxa"/>
            <w:tcBorders>
              <w:tl2br w:val="nil"/>
              <w:tr2bl w:val="nil"/>
            </w:tcBorders>
            <w:vAlign w:val="center"/>
          </w:tcPr>
          <w:p>
            <w:pPr>
              <w:tabs>
                <w:tab w:val="left" w:pos="5760"/>
              </w:tabs>
              <w:autoSpaceDE w:val="0"/>
              <w:autoSpaceDN w:val="0"/>
              <w:adjustRightInd w:val="0"/>
              <w:snapToGrid w:val="0"/>
              <w:jc w:val="center"/>
              <w:rPr>
                <w:rFonts w:hint="default" w:ascii="Times New Roman" w:hAnsi="Times New Roman" w:eastAsia="宋体" w:cs="Times New Roman"/>
                <w:spacing w:val="6"/>
                <w:szCs w:val="21"/>
              </w:rPr>
            </w:pPr>
            <w:r>
              <w:rPr>
                <w:rFonts w:hint="default" w:ascii="Times New Roman" w:hAnsi="Times New Roman" w:eastAsia="宋体" w:cs="Times New Roman"/>
                <w:spacing w:val="6"/>
                <w:szCs w:val="21"/>
              </w:rPr>
              <w:t>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continue"/>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p>
        </w:tc>
        <w:tc>
          <w:tcPr>
            <w:tcW w:w="143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除尘灰</w:t>
            </w:r>
          </w:p>
        </w:tc>
        <w:tc>
          <w:tcPr>
            <w:tcW w:w="5021" w:type="dxa"/>
            <w:tcBorders>
              <w:tl2br w:val="nil"/>
              <w:tr2bl w:val="nil"/>
            </w:tcBorders>
            <w:vAlign w:val="center"/>
          </w:tcPr>
          <w:p>
            <w:pPr>
              <w:tabs>
                <w:tab w:val="left" w:pos="5760"/>
              </w:tabs>
              <w:autoSpaceDE w:val="0"/>
              <w:autoSpaceDN w:val="0"/>
              <w:adjustRightInd w:val="0"/>
              <w:snapToGrid w:val="0"/>
              <w:jc w:val="center"/>
              <w:rPr>
                <w:rFonts w:hint="default" w:ascii="Times New Roman" w:hAnsi="Times New Roman" w:eastAsia="宋体" w:cs="Times New Roman"/>
                <w:spacing w:val="6"/>
                <w:szCs w:val="21"/>
              </w:rPr>
            </w:pPr>
            <w:r>
              <w:rPr>
                <w:rFonts w:hint="default" w:ascii="Times New Roman" w:hAnsi="Times New Roman" w:eastAsia="宋体" w:cs="Times New Roman"/>
                <w:spacing w:val="6"/>
                <w:szCs w:val="21"/>
              </w:rPr>
              <w:t>进入选矿工艺，不外排。</w:t>
            </w:r>
          </w:p>
        </w:tc>
        <w:tc>
          <w:tcPr>
            <w:tcW w:w="1666" w:type="dxa"/>
            <w:tcBorders>
              <w:tl2br w:val="nil"/>
              <w:tr2bl w:val="nil"/>
            </w:tcBorders>
            <w:vAlign w:val="center"/>
          </w:tcPr>
          <w:p>
            <w:pPr>
              <w:tabs>
                <w:tab w:val="left" w:pos="5760"/>
              </w:tabs>
              <w:autoSpaceDE w:val="0"/>
              <w:autoSpaceDN w:val="0"/>
              <w:adjustRightInd w:val="0"/>
              <w:snapToGrid w:val="0"/>
              <w:jc w:val="center"/>
              <w:rPr>
                <w:rFonts w:hint="default" w:ascii="Times New Roman" w:hAnsi="Times New Roman" w:eastAsia="宋体" w:cs="Times New Roman"/>
                <w:spacing w:val="6"/>
                <w:szCs w:val="21"/>
              </w:rPr>
            </w:pPr>
            <w:r>
              <w:rPr>
                <w:rFonts w:hint="default" w:ascii="Times New Roman" w:hAnsi="Times New Roman" w:eastAsia="宋体" w:cs="Times New Roman"/>
                <w:spacing w:val="6"/>
                <w:szCs w:val="21"/>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continue"/>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p>
        </w:tc>
        <w:tc>
          <w:tcPr>
            <w:tcW w:w="143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生活垃圾</w:t>
            </w:r>
          </w:p>
        </w:tc>
        <w:tc>
          <w:tcPr>
            <w:tcW w:w="5021" w:type="dxa"/>
            <w:tcBorders>
              <w:tl2br w:val="nil"/>
              <w:tr2bl w:val="nil"/>
            </w:tcBorders>
            <w:vAlign w:val="center"/>
          </w:tcPr>
          <w:p>
            <w:pPr>
              <w:tabs>
                <w:tab w:val="left" w:pos="5760"/>
              </w:tabs>
              <w:autoSpaceDE w:val="0"/>
              <w:autoSpaceDN w:val="0"/>
              <w:adjustRightInd w:val="0"/>
              <w:snapToGrid w:val="0"/>
              <w:jc w:val="center"/>
              <w:rPr>
                <w:rFonts w:hint="default" w:ascii="Times New Roman" w:hAnsi="Times New Roman" w:eastAsia="宋体" w:cs="Times New Roman"/>
                <w:spacing w:val="6"/>
                <w:szCs w:val="21"/>
              </w:rPr>
            </w:pPr>
            <w:r>
              <w:rPr>
                <w:rFonts w:hint="default" w:ascii="Times New Roman" w:hAnsi="Times New Roman" w:eastAsia="宋体" w:cs="Times New Roman"/>
                <w:spacing w:val="6"/>
                <w:szCs w:val="21"/>
              </w:rPr>
              <w:t>设置垃圾桶，定期由环卫部门处理。</w:t>
            </w:r>
          </w:p>
        </w:tc>
        <w:tc>
          <w:tcPr>
            <w:tcW w:w="1666" w:type="dxa"/>
            <w:tcBorders>
              <w:tl2br w:val="nil"/>
              <w:tr2bl w:val="nil"/>
            </w:tcBorders>
            <w:vAlign w:val="center"/>
          </w:tcPr>
          <w:p>
            <w:pPr>
              <w:tabs>
                <w:tab w:val="left" w:pos="5760"/>
              </w:tabs>
              <w:autoSpaceDE w:val="0"/>
              <w:autoSpaceDN w:val="0"/>
              <w:adjustRightInd w:val="0"/>
              <w:snapToGrid w:val="0"/>
              <w:jc w:val="center"/>
              <w:rPr>
                <w:rFonts w:hint="default" w:ascii="Times New Roman" w:hAnsi="Times New Roman" w:eastAsia="宋体" w:cs="Times New Roman"/>
                <w:spacing w:val="6"/>
                <w:szCs w:val="21"/>
                <w:lang w:val="en-US" w:eastAsia="zh-CN"/>
              </w:rPr>
            </w:pPr>
            <w:r>
              <w:rPr>
                <w:rFonts w:hint="default" w:ascii="Times New Roman" w:hAnsi="Times New Roman" w:eastAsia="宋体" w:cs="Times New Roman"/>
                <w:spacing w:val="6"/>
                <w:szCs w:val="21"/>
              </w:rPr>
              <w:t>0.</w:t>
            </w:r>
            <w:r>
              <w:rPr>
                <w:rFonts w:hint="default" w:ascii="Times New Roman" w:hAnsi="Times New Roman" w:eastAsia="宋体" w:cs="Times New Roman"/>
                <w:spacing w:val="6"/>
                <w:szCs w:val="21"/>
                <w:lang w:val="en-US" w:eastAsia="zh-CN"/>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0" w:type="dxa"/>
            <w:vMerge w:val="continue"/>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p>
        </w:tc>
        <w:tc>
          <w:tcPr>
            <w:tcW w:w="143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废机油</w:t>
            </w:r>
          </w:p>
        </w:tc>
        <w:tc>
          <w:tcPr>
            <w:tcW w:w="5021" w:type="dxa"/>
            <w:tcBorders>
              <w:tl2br w:val="nil"/>
              <w:tr2bl w:val="nil"/>
            </w:tcBorders>
            <w:vAlign w:val="center"/>
          </w:tcPr>
          <w:p>
            <w:pPr>
              <w:tabs>
                <w:tab w:val="left" w:pos="5760"/>
              </w:tabs>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暂存于厂区内1座符合“三防”要求，占地面积为10m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rPr>
              <w:t>（防渗系数≤1.0×10</w:t>
            </w:r>
            <w:r>
              <w:rPr>
                <w:rFonts w:hint="default" w:ascii="Times New Roman" w:hAnsi="Times New Roman" w:eastAsia="宋体" w:cs="Times New Roman"/>
                <w:szCs w:val="21"/>
                <w:vertAlign w:val="superscript"/>
              </w:rPr>
              <w:t>-12</w:t>
            </w:r>
            <w:r>
              <w:rPr>
                <w:rFonts w:hint="default" w:ascii="Times New Roman" w:hAnsi="Times New Roman" w:eastAsia="宋体" w:cs="Times New Roman"/>
                <w:szCs w:val="21"/>
              </w:rPr>
              <w:t>cm/s）的危废暂存间内暂存，定期交由有资质单位处理。</w:t>
            </w:r>
          </w:p>
        </w:tc>
        <w:tc>
          <w:tcPr>
            <w:tcW w:w="1666" w:type="dxa"/>
            <w:tcBorders>
              <w:tl2br w:val="nil"/>
              <w:tr2bl w:val="nil"/>
            </w:tcBorders>
            <w:vAlign w:val="center"/>
          </w:tcPr>
          <w:p>
            <w:pPr>
              <w:tabs>
                <w:tab w:val="left" w:pos="5760"/>
              </w:tabs>
              <w:autoSpaceDE w:val="0"/>
              <w:autoSpaceDN w:val="0"/>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0" w:type="dxa"/>
            <w:gridSpan w:val="2"/>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环境风险</w:t>
            </w:r>
          </w:p>
        </w:tc>
        <w:tc>
          <w:tcPr>
            <w:tcW w:w="5021"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事故池一个，有效容积3</w:t>
            </w:r>
            <w:r>
              <w:rPr>
                <w:rFonts w:hint="default" w:ascii="Times New Roman" w:hAnsi="Times New Roman" w:eastAsia="宋体" w:cs="Times New Roman"/>
                <w:szCs w:val="21"/>
                <w:lang w:val="en-US" w:eastAsia="zh-CN"/>
              </w:rPr>
              <w:t>0</w:t>
            </w:r>
            <w:r>
              <w:rPr>
                <w:rFonts w:hint="default" w:ascii="Times New Roman" w:hAnsi="Times New Roman" w:eastAsia="宋体" w:cs="Times New Roman"/>
                <w:szCs w:val="21"/>
              </w:rPr>
              <w:t>00m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，收集事故状态下生产废水。</w:t>
            </w:r>
          </w:p>
        </w:tc>
        <w:tc>
          <w:tcPr>
            <w:tcW w:w="1666"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1" w:type="dxa"/>
            <w:gridSpan w:val="3"/>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rPr>
            </w:pPr>
            <w:r>
              <w:rPr>
                <w:rFonts w:hint="default" w:ascii="Times New Roman" w:hAnsi="Times New Roman" w:eastAsia="宋体" w:cs="Times New Roman"/>
                <w:szCs w:val="21"/>
              </w:rPr>
              <w:t>合计</w:t>
            </w:r>
          </w:p>
        </w:tc>
        <w:tc>
          <w:tcPr>
            <w:tcW w:w="1666"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93.7</w:t>
            </w:r>
          </w:p>
        </w:tc>
      </w:tr>
    </w:tbl>
    <w:p>
      <w:pPr>
        <w:bidi w:val="0"/>
        <w:spacing w:line="360" w:lineRule="auto"/>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8.3.2环保损益分析</w:t>
      </w:r>
      <w:bookmarkEnd w:id="450"/>
      <w:bookmarkEnd w:id="451"/>
      <w:bookmarkEnd w:id="452"/>
      <w:bookmarkEnd w:id="453"/>
    </w:p>
    <w:p>
      <w:pPr>
        <w:tabs>
          <w:tab w:val="left" w:pos="992"/>
        </w:tabs>
        <w:adjustRightInd w:val="0"/>
        <w:spacing w:line="360" w:lineRule="auto"/>
        <w:ind w:firstLine="480" w:firstLineChars="200"/>
        <w:rPr>
          <w:rFonts w:hint="default" w:ascii="Times New Roman" w:hAnsi="Times New Roman" w:eastAsia="宋体" w:cs="Times New Roman"/>
          <w:smallCaps/>
          <w:color w:val="auto"/>
          <w:sz w:val="24"/>
        </w:rPr>
      </w:pPr>
      <w:r>
        <w:rPr>
          <w:rFonts w:hint="default" w:ascii="Times New Roman" w:hAnsi="Times New Roman" w:eastAsia="宋体" w:cs="Times New Roman"/>
          <w:smallCaps/>
          <w:color w:val="auto"/>
          <w:sz w:val="24"/>
        </w:rPr>
        <w:t>建设期噪声、扬尘、废水、固体废物会对环境产生一定的暂时影响；运营期废水、废气、固体废物也对环境会产生一定的影响。但只要加强科学管理，落实各项环保措施，确保运营中所产生的污水、废气、固体废物等污染源及时得到处理处置后达标排放，可以有效控制各污染源对环境的影响。</w:t>
      </w:r>
    </w:p>
    <w:p>
      <w:pPr>
        <w:spacing w:beforeLines="50"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smallCaps/>
          <w:color w:val="auto"/>
          <w:sz w:val="24"/>
        </w:rPr>
        <w:t>由以上分析可见，拟建项目所采取的环保工程措施在取得较好的环境效益的同时，社会效益和综合效益也是显著的。</w:t>
      </w:r>
    </w:p>
    <w:bookmarkEnd w:id="410"/>
    <w:bookmarkEnd w:id="411"/>
    <w:bookmarkEnd w:id="412"/>
    <w:bookmarkEnd w:id="413"/>
    <w:bookmarkEnd w:id="414"/>
    <w:bookmarkEnd w:id="415"/>
    <w:bookmarkEnd w:id="425"/>
    <w:bookmarkEnd w:id="426"/>
    <w:bookmarkEnd w:id="427"/>
    <w:p>
      <w:pPr>
        <w:spacing w:beforeLines="50" w:line="480" w:lineRule="exact"/>
        <w:ind w:firstLine="480" w:firstLineChars="200"/>
        <w:rPr>
          <w:rFonts w:hint="default" w:ascii="Times New Roman" w:hAnsi="Times New Roman" w:eastAsia="宋体" w:cs="Times New Roman"/>
          <w:color w:val="auto"/>
          <w:sz w:val="24"/>
        </w:rPr>
        <w:sectPr>
          <w:headerReference r:id="rId17" w:type="default"/>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bookmarkEnd w:id="378"/>
    <w:p>
      <w:pPr>
        <w:pStyle w:val="346"/>
        <w:spacing w:beforeLines="50" w:line="360" w:lineRule="auto"/>
        <w:rPr>
          <w:rFonts w:hint="default" w:ascii="Times New Roman" w:hAnsi="Times New Roman" w:eastAsia="宋体" w:cs="Times New Roman"/>
          <w:color w:val="auto"/>
        </w:rPr>
      </w:pPr>
      <w:bookmarkStart w:id="454" w:name="_Toc400617606"/>
      <w:bookmarkStart w:id="455" w:name="_Toc97526718"/>
      <w:bookmarkStart w:id="456" w:name="_Toc162668676"/>
      <w:bookmarkStart w:id="457" w:name="_Toc355284971"/>
      <w:bookmarkStart w:id="458" w:name="_Toc29909"/>
      <w:bookmarkStart w:id="459" w:name="_Toc476225092"/>
      <w:r>
        <w:rPr>
          <w:rFonts w:hint="default" w:ascii="Times New Roman" w:hAnsi="Times New Roman" w:eastAsia="宋体" w:cs="Times New Roman"/>
          <w:color w:val="auto"/>
        </w:rPr>
        <w:t>9环境管理</w:t>
      </w:r>
      <w:bookmarkEnd w:id="454"/>
      <w:bookmarkEnd w:id="455"/>
      <w:bookmarkEnd w:id="456"/>
      <w:bookmarkEnd w:id="457"/>
      <w:r>
        <w:rPr>
          <w:rFonts w:hint="default" w:ascii="Times New Roman" w:hAnsi="Times New Roman" w:eastAsia="宋体" w:cs="Times New Roman"/>
          <w:color w:val="auto"/>
        </w:rPr>
        <w:t>与环境监测</w:t>
      </w:r>
      <w:bookmarkEnd w:id="458"/>
      <w:bookmarkEnd w:id="459"/>
    </w:p>
    <w:p>
      <w:pPr>
        <w:spacing w:line="360" w:lineRule="auto"/>
        <w:ind w:firstLine="480" w:firstLineChars="200"/>
        <w:rPr>
          <w:rFonts w:hint="default" w:ascii="Times New Roman" w:hAnsi="Times New Roman" w:eastAsia="宋体" w:cs="Times New Roman"/>
          <w:color w:val="auto"/>
          <w:sz w:val="24"/>
        </w:rPr>
      </w:pPr>
      <w:bookmarkStart w:id="460" w:name="_Toc476225098"/>
      <w:r>
        <w:rPr>
          <w:rFonts w:hint="default" w:ascii="Times New Roman" w:hAnsi="Times New Roman" w:eastAsia="宋体" w:cs="Times New Roman"/>
          <w:color w:val="auto"/>
          <w:sz w:val="24"/>
        </w:rPr>
        <w:t>健全有效的环境管理是搞好环境保护工作的基础。环境管理的目的是应用环境科学的理论和实践，对损害或破坏环境质量的人及其活动施加影响，以协调发展与环境保护之间的关系。因此，为确保本项目在建设期、运营期各阶段执行并遵守有关环保法规，建设单位必须对环境管理工作予以重视，以确保各项治理措施正常有效地运行。拟建项目在建设和营运过程中应与周围单位建立良好的联系，对受影响较大的单位应给予适当补偿。对投诉反映特别强烈的问题应予积极处理，或更严格地限制作业时间。</w:t>
      </w:r>
    </w:p>
    <w:p>
      <w:pPr>
        <w:pStyle w:val="4"/>
        <w:spacing w:line="360" w:lineRule="auto"/>
        <w:rPr>
          <w:rFonts w:hint="default" w:ascii="Times New Roman" w:hAnsi="Times New Roman" w:eastAsia="宋体" w:cs="Times New Roman"/>
          <w:color w:val="auto"/>
          <w:sz w:val="28"/>
          <w:szCs w:val="28"/>
        </w:rPr>
      </w:pPr>
      <w:bookmarkStart w:id="461" w:name="_Toc524081485"/>
      <w:bookmarkStart w:id="462" w:name="_Toc12683"/>
      <w:bookmarkStart w:id="463" w:name="_Toc16295"/>
      <w:r>
        <w:rPr>
          <w:rFonts w:hint="default" w:ascii="Times New Roman" w:hAnsi="Times New Roman" w:eastAsia="宋体" w:cs="Times New Roman"/>
          <w:color w:val="auto"/>
          <w:sz w:val="28"/>
          <w:szCs w:val="28"/>
        </w:rPr>
        <w:t>9.1</w:t>
      </w:r>
      <w:bookmarkEnd w:id="461"/>
      <w:r>
        <w:rPr>
          <w:rFonts w:hint="default" w:ascii="Times New Roman" w:hAnsi="Times New Roman" w:eastAsia="宋体" w:cs="Times New Roman"/>
          <w:color w:val="auto"/>
          <w:sz w:val="28"/>
          <w:szCs w:val="28"/>
        </w:rPr>
        <w:t>环境管理</w:t>
      </w:r>
      <w:bookmarkEnd w:id="462"/>
      <w:bookmarkEnd w:id="463"/>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建设单位应按省、市环保局的要求加强对企业的环境管理，要建立健全企业的环保监督、管理制度。</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环境管理机构</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为了做好生产全过程的环境保护工作，减轻本项目外排污染物对环境的影响程度，建议建设单位设立内部环境保护管理机构，专人负责环境保护工作，实行定岗定员，岗位责任制，负责各生产环节的环境保护管理，保证环保设施的正常运行。</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环境保护管理机构(或环境保护责任人)应明确如下责任：</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保持与环境保护主管部门的密切联系，及时了解国家、地方对本项目的有关环境。保护的法律、法规和其它要求，及时向环境保护主管部门反映与项目有关污染因素、存在的问题、采取的污染控制对策等环境保护方面的内容，听取环境保护主管部门的意见。</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(2)及时将国家、地方与本项目环境保护有关的法律、法规和其它要求向单位负责人汇报，及时向本单位有关机构、人员进行通报，组织职工进行环境保护方面的教育、培训，提高环保意识。</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(3)负责制定、监督实施本单位的有关环境保护管理规章制度，负责实施污染控制措施、管理污染治理设施，并进行详细的记录，以备检查。</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按本报告提出的各项环境保护措施，编制详细的环境保护措施落实计划，明确各污染源位置、环境影响、环境保护措施、落实责任机构(人)等，并将该环境保护计划以书面形式发放给相关人员，以便于各项措施的有效落实。</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环保管理制度的建立</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①建立环境管理体系</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按照国际标准的要求建立环境管理体系，以便全面系统的对污染物进行控制，进一步提高能源资源的利用率，及时了解有关环保法律法规及其他要求，更好地遵守法律法规及各项制度。</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②污染处理设施的管理制度</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单位法人要确保污染治理设施能长期、稳定、有效地运行，不得擅自拆除或者闲置污染处理设施，不得故意不正常使用污染处理设施。污染处理设施的管理必须与生产经营活动一起纳入企业日常管理工作的范畴，落实责任人、操作人员、维修人员、运行经费、设备的备品备件、化学药品和其他原辅材料。同时要建立岗位责任制、制定操作规程、建立管理台帐。</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③奖惩制度</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建设单位应设置环境保护奖惩制度，对爱护环保设施，节能降耗，改善环境者实行奖励；对不按环保要求管理，造成环保设施损坏、环境污染和资历源、能源浪费者予以处罚。</w:t>
      </w:r>
    </w:p>
    <w:p>
      <w:pPr>
        <w:spacing w:line="360" w:lineRule="auto"/>
        <w:ind w:firstLine="444" w:firstLineChars="185"/>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强化环境监督管理措施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应使用污水压力管，雨污分流，在废水总排放口(接管口)应安装废水截流闸门、废水流量计，严禁事故性排放；在雨水排放口应安装截流装置。</w:t>
      </w:r>
    </w:p>
    <w:p>
      <w:pPr>
        <w:pStyle w:val="4"/>
        <w:spacing w:line="360" w:lineRule="auto"/>
        <w:rPr>
          <w:rFonts w:hint="default" w:ascii="Times New Roman" w:hAnsi="Times New Roman" w:eastAsia="宋体" w:cs="Times New Roman"/>
          <w:color w:val="auto"/>
          <w:sz w:val="28"/>
          <w:szCs w:val="28"/>
        </w:rPr>
      </w:pPr>
      <w:bookmarkStart w:id="464" w:name="_Toc2518"/>
      <w:bookmarkStart w:id="465" w:name="_Toc524081486"/>
      <w:bookmarkStart w:id="466" w:name="_Toc22179"/>
      <w:r>
        <w:rPr>
          <w:rFonts w:hint="default" w:ascii="Times New Roman" w:hAnsi="Times New Roman" w:eastAsia="宋体" w:cs="Times New Roman"/>
          <w:color w:val="auto"/>
          <w:sz w:val="28"/>
          <w:szCs w:val="28"/>
        </w:rPr>
        <w:t>9.2排污口规范化设置</w:t>
      </w:r>
      <w:bookmarkEnd w:id="464"/>
      <w:bookmarkEnd w:id="465"/>
      <w:bookmarkEnd w:id="466"/>
    </w:p>
    <w:p>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按照《</w:t>
      </w:r>
      <w:r>
        <w:rPr>
          <w:rFonts w:hint="default" w:ascii="Times New Roman" w:hAnsi="Times New Roman" w:eastAsia="宋体" w:cs="Times New Roman"/>
          <w:bCs/>
          <w:color w:val="auto"/>
          <w:sz w:val="24"/>
        </w:rPr>
        <w:t>国家环境保护总局关于修改开展排放口规范化整治工作的通知的决定</w:t>
      </w:r>
      <w:r>
        <w:rPr>
          <w:rFonts w:hint="default" w:ascii="Times New Roman" w:hAnsi="Times New Roman" w:eastAsia="宋体" w:cs="Times New Roman"/>
          <w:color w:val="auto"/>
          <w:sz w:val="24"/>
        </w:rPr>
        <w:t>》(2006年6月5日，</w:t>
      </w:r>
      <w:r>
        <w:rPr>
          <w:rFonts w:hint="default" w:ascii="Times New Roman" w:hAnsi="Times New Roman" w:eastAsia="宋体" w:cs="Times New Roman"/>
          <w:bCs/>
          <w:color w:val="auto"/>
          <w:sz w:val="24"/>
        </w:rPr>
        <w:t>国家环境保护总局令第33号</w:t>
      </w:r>
      <w:r>
        <w:rPr>
          <w:rFonts w:hint="default" w:ascii="Times New Roman" w:hAnsi="Times New Roman" w:eastAsia="宋体" w:cs="Times New Roman"/>
          <w:color w:val="auto"/>
          <w:sz w:val="24"/>
        </w:rPr>
        <w:t>)，本项目车间排气筒、固废暂存场</w:t>
      </w:r>
      <w:r>
        <w:rPr>
          <w:rFonts w:hint="default" w:ascii="Times New Roman" w:hAnsi="Times New Roman" w:eastAsia="宋体" w:cs="Times New Roman"/>
          <w:color w:val="auto"/>
          <w:sz w:val="24"/>
          <w:lang w:eastAsia="zh-CN"/>
        </w:rPr>
        <w:t>、危废暂存间</w:t>
      </w:r>
      <w:r>
        <w:rPr>
          <w:rFonts w:hint="default" w:ascii="Times New Roman" w:hAnsi="Times New Roman" w:eastAsia="宋体" w:cs="Times New Roman"/>
          <w:color w:val="auto"/>
          <w:sz w:val="24"/>
        </w:rPr>
        <w:t>必须进行规范化设置，应在车间排气筒、固废暂存场</w:t>
      </w:r>
      <w:r>
        <w:rPr>
          <w:rFonts w:hint="default" w:ascii="Times New Roman" w:hAnsi="Times New Roman" w:eastAsia="宋体" w:cs="Times New Roman"/>
          <w:color w:val="auto"/>
          <w:sz w:val="24"/>
          <w:lang w:eastAsia="zh-CN"/>
        </w:rPr>
        <w:t>、危废暂存间</w:t>
      </w:r>
      <w:r>
        <w:rPr>
          <w:rFonts w:hint="default" w:ascii="Times New Roman" w:hAnsi="Times New Roman" w:eastAsia="宋体" w:cs="Times New Roman"/>
          <w:color w:val="auto"/>
          <w:sz w:val="24"/>
        </w:rPr>
        <w:t>挂牌标识，做到各个排污口(源)的环保标志明显，便于企业管理和公众监督。规范化整治具体如下：</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（1）必须符合国家标准《环境保护图形标志》(GB15562.1-1995)规定的排放口标志牌，排放口标志牌由国家环境保护总局统一定点监制，有专用的防伪标志。</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（2）项目建成后，生产线中废气排气筒均应设置便于采样、监测的采样口和采样监测平台。</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3</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标志牌设置设置在采样、监测点附近且醒目处，并能长久保留。可根据情况分别选择设置立式或平面固定式标志牌，在地面设置标志牌上缘距离地面2米。</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4</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标志牌辅助标志上需要填写的栏目，应由环境保护部门统一组织填写，要求字迹工整，字的颜色与标志牌颜色总体协调。</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5</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企业应按照环境监测管理规定和技术规范的要求，设计、建设、维护永久性采样口和采样测试平台。</w:t>
      </w:r>
    </w:p>
    <w:p>
      <w:pPr>
        <w:pStyle w:val="150"/>
        <w:spacing w:beforeLines="50" w:line="480" w:lineRule="exact"/>
        <w:ind w:firstLine="0" w:firstLineChars="0"/>
        <w:rPr>
          <w:rFonts w:hint="default" w:ascii="Times New Roman" w:hAnsi="Times New Roman" w:eastAsia="宋体" w:cs="Times New Roman"/>
          <w:color w:val="auto"/>
          <w:kern w:val="2"/>
          <w:szCs w:val="22"/>
          <w:lang w:val="en-US" w:eastAsia="zh-CN"/>
        </w:rPr>
      </w:pPr>
      <w:r>
        <w:rPr>
          <w:rFonts w:hint="default" w:ascii="Times New Roman" w:hAnsi="Times New Roman" w:eastAsia="宋体" w:cs="Times New Roman"/>
          <w:color w:val="auto"/>
          <w:kern w:val="2"/>
          <w:szCs w:val="22"/>
          <w:lang w:val="en-US" w:eastAsia="zh-CN"/>
        </w:rPr>
        <w:t>表9.2-1                   各排污口环境保护图形标志</w:t>
      </w:r>
    </w:p>
    <w:tbl>
      <w:tblPr>
        <w:tblStyle w:val="51"/>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66"/>
        <w:gridCol w:w="1817"/>
        <w:gridCol w:w="2087"/>
        <w:gridCol w:w="1625"/>
        <w:gridCol w:w="298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766" w:type="dxa"/>
            <w:tcBorders>
              <w:top w:val="single" w:color="auto" w:sz="12" w:space="0"/>
              <w:left w:val="nil"/>
              <w:bottom w:val="single" w:color="auto" w:sz="6" w:space="0"/>
              <w:right w:val="single" w:color="auto" w:sz="6" w:space="0"/>
              <w:tl2br w:val="nil"/>
              <w:tr2bl w:val="nil"/>
            </w:tcBorders>
            <w:noWrap w:val="0"/>
            <w:vAlign w:val="center"/>
          </w:tcPr>
          <w:p>
            <w:pPr>
              <w:pStyle w:val="505"/>
              <w:rPr>
                <w:rFonts w:hint="default" w:ascii="Times New Roman" w:hAnsi="Times New Roman" w:eastAsia="宋体" w:cs="Times New Roman"/>
                <w:b/>
                <w:bCs/>
                <w:color w:val="auto"/>
                <w:sz w:val="21"/>
                <w:szCs w:val="28"/>
              </w:rPr>
            </w:pPr>
            <w:bookmarkStart w:id="467" w:name="_Toc20869"/>
            <w:bookmarkStart w:id="468" w:name="_Toc7484"/>
            <w:bookmarkStart w:id="469" w:name="_Toc524081487"/>
            <w:r>
              <w:rPr>
                <w:rFonts w:hint="default" w:ascii="Times New Roman" w:hAnsi="Times New Roman" w:eastAsia="宋体" w:cs="Times New Roman"/>
                <w:b/>
                <w:bCs/>
                <w:color w:val="auto"/>
                <w:sz w:val="21"/>
                <w:szCs w:val="28"/>
              </w:rPr>
              <w:t>序号</w:t>
            </w:r>
          </w:p>
        </w:tc>
        <w:tc>
          <w:tcPr>
            <w:tcW w:w="1817" w:type="dxa"/>
            <w:tcBorders>
              <w:top w:val="single" w:color="auto" w:sz="12" w:space="0"/>
              <w:left w:val="single" w:color="auto" w:sz="6" w:space="0"/>
              <w:bottom w:val="single" w:color="auto" w:sz="6" w:space="0"/>
              <w:right w:val="single" w:color="auto" w:sz="6" w:space="0"/>
              <w:tl2br w:val="nil"/>
              <w:tr2bl w:val="nil"/>
            </w:tcBorders>
            <w:noWrap w:val="0"/>
            <w:vAlign w:val="center"/>
          </w:tcPr>
          <w:p>
            <w:pPr>
              <w:pStyle w:val="505"/>
              <w:rPr>
                <w:rFonts w:hint="default" w:ascii="Times New Roman" w:hAnsi="Times New Roman" w:eastAsia="宋体" w:cs="Times New Roman"/>
                <w:b/>
                <w:bCs/>
                <w:color w:val="auto"/>
                <w:sz w:val="21"/>
                <w:szCs w:val="28"/>
              </w:rPr>
            </w:pPr>
            <w:r>
              <w:rPr>
                <w:rFonts w:hint="default" w:ascii="Times New Roman" w:hAnsi="Times New Roman" w:eastAsia="宋体" w:cs="Times New Roman"/>
                <w:b/>
                <w:bCs/>
                <w:color w:val="auto"/>
                <w:sz w:val="21"/>
                <w:szCs w:val="28"/>
              </w:rPr>
              <w:t>提示图形符号</w:t>
            </w:r>
          </w:p>
        </w:tc>
        <w:tc>
          <w:tcPr>
            <w:tcW w:w="2087" w:type="dxa"/>
            <w:tcBorders>
              <w:top w:val="single" w:color="auto" w:sz="12" w:space="0"/>
              <w:left w:val="single" w:color="auto" w:sz="6" w:space="0"/>
              <w:bottom w:val="single" w:color="auto" w:sz="6" w:space="0"/>
              <w:right w:val="single" w:color="auto" w:sz="6" w:space="0"/>
              <w:tl2br w:val="nil"/>
              <w:tr2bl w:val="nil"/>
            </w:tcBorders>
            <w:noWrap w:val="0"/>
            <w:vAlign w:val="center"/>
          </w:tcPr>
          <w:p>
            <w:pPr>
              <w:pStyle w:val="505"/>
              <w:rPr>
                <w:rFonts w:hint="default" w:ascii="Times New Roman" w:hAnsi="Times New Roman" w:eastAsia="宋体" w:cs="Times New Roman"/>
                <w:b/>
                <w:bCs/>
                <w:color w:val="auto"/>
                <w:sz w:val="21"/>
                <w:szCs w:val="28"/>
              </w:rPr>
            </w:pPr>
            <w:r>
              <w:rPr>
                <w:rFonts w:hint="default" w:ascii="Times New Roman" w:hAnsi="Times New Roman" w:eastAsia="宋体" w:cs="Times New Roman"/>
                <w:b/>
                <w:bCs/>
                <w:color w:val="auto"/>
                <w:sz w:val="21"/>
                <w:szCs w:val="28"/>
              </w:rPr>
              <w:t>警告图形符号</w:t>
            </w:r>
          </w:p>
        </w:tc>
        <w:tc>
          <w:tcPr>
            <w:tcW w:w="1625" w:type="dxa"/>
            <w:tcBorders>
              <w:top w:val="single" w:color="auto" w:sz="12" w:space="0"/>
              <w:left w:val="single" w:color="auto" w:sz="6" w:space="0"/>
              <w:bottom w:val="single" w:color="auto" w:sz="6" w:space="0"/>
              <w:right w:val="single" w:color="auto" w:sz="6" w:space="0"/>
              <w:tl2br w:val="nil"/>
              <w:tr2bl w:val="nil"/>
            </w:tcBorders>
            <w:noWrap w:val="0"/>
            <w:vAlign w:val="center"/>
          </w:tcPr>
          <w:p>
            <w:pPr>
              <w:pStyle w:val="505"/>
              <w:rPr>
                <w:rFonts w:hint="default" w:ascii="Times New Roman" w:hAnsi="Times New Roman" w:eastAsia="宋体" w:cs="Times New Roman"/>
                <w:b/>
                <w:bCs/>
                <w:color w:val="auto"/>
                <w:sz w:val="21"/>
                <w:szCs w:val="28"/>
              </w:rPr>
            </w:pPr>
            <w:r>
              <w:rPr>
                <w:rFonts w:hint="default" w:ascii="Times New Roman" w:hAnsi="Times New Roman" w:eastAsia="宋体" w:cs="Times New Roman"/>
                <w:b/>
                <w:bCs/>
                <w:color w:val="auto"/>
                <w:sz w:val="21"/>
                <w:szCs w:val="28"/>
              </w:rPr>
              <w:t>名称</w:t>
            </w:r>
          </w:p>
        </w:tc>
        <w:tc>
          <w:tcPr>
            <w:tcW w:w="2990" w:type="dxa"/>
            <w:tcBorders>
              <w:top w:val="single" w:color="auto" w:sz="12" w:space="0"/>
              <w:left w:val="single" w:color="auto" w:sz="6" w:space="0"/>
              <w:bottom w:val="single" w:color="auto" w:sz="6" w:space="0"/>
              <w:right w:val="nil"/>
              <w:tl2br w:val="nil"/>
              <w:tr2bl w:val="nil"/>
            </w:tcBorders>
            <w:noWrap w:val="0"/>
            <w:vAlign w:val="center"/>
          </w:tcPr>
          <w:p>
            <w:pPr>
              <w:pStyle w:val="505"/>
              <w:rPr>
                <w:rFonts w:hint="default" w:ascii="Times New Roman" w:hAnsi="Times New Roman" w:eastAsia="宋体" w:cs="Times New Roman"/>
                <w:b/>
                <w:bCs/>
                <w:color w:val="auto"/>
                <w:sz w:val="21"/>
                <w:szCs w:val="28"/>
              </w:rPr>
            </w:pPr>
            <w:r>
              <w:rPr>
                <w:rFonts w:hint="default" w:ascii="Times New Roman" w:hAnsi="Times New Roman" w:eastAsia="宋体" w:cs="Times New Roman"/>
                <w:b/>
                <w:bCs/>
                <w:color w:val="auto"/>
                <w:sz w:val="21"/>
                <w:szCs w:val="28"/>
              </w:rPr>
              <w:t>功能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66" w:type="dxa"/>
            <w:tcBorders>
              <w:top w:val="single" w:color="auto" w:sz="6" w:space="0"/>
              <w:left w:val="nil"/>
              <w:bottom w:val="single" w:color="auto" w:sz="6" w:space="0"/>
              <w:right w:val="single" w:color="auto" w:sz="6" w:space="0"/>
              <w:tl2br w:val="nil"/>
              <w:tr2bl w:val="nil"/>
            </w:tcBorders>
            <w:noWrap w:val="0"/>
            <w:vAlign w:val="center"/>
          </w:tcPr>
          <w:p>
            <w:pPr>
              <w:pStyle w:val="527"/>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1</w:t>
            </w:r>
          </w:p>
        </w:tc>
        <w:tc>
          <w:tcPr>
            <w:tcW w:w="1817" w:type="dxa"/>
            <w:tcBorders>
              <w:top w:val="single" w:color="auto" w:sz="6" w:space="0"/>
              <w:left w:val="single" w:color="auto" w:sz="6" w:space="0"/>
              <w:bottom w:val="single" w:color="auto" w:sz="6" w:space="0"/>
              <w:right w:val="single" w:color="auto" w:sz="6" w:space="0"/>
              <w:tl2br w:val="nil"/>
              <w:tr2bl w:val="nil"/>
            </w:tcBorders>
            <w:noWrap w:val="0"/>
            <w:vAlign w:val="center"/>
          </w:tcPr>
          <w:p>
            <w:pPr>
              <w:pStyle w:val="527"/>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drawing>
                <wp:inline distT="0" distB="0" distL="114300" distR="114300">
                  <wp:extent cx="629285" cy="624205"/>
                  <wp:effectExtent l="0" t="0" r="10795" b="635"/>
                  <wp:docPr id="14" name="图片 22" descr="说明: 说明: 1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2" descr="说明: 说明: 13003"/>
                          <pic:cNvPicPr>
                            <a:picLocks noChangeAspect="1"/>
                          </pic:cNvPicPr>
                        </pic:nvPicPr>
                        <pic:blipFill>
                          <a:blip r:embed="rId114"/>
                          <a:stretch>
                            <a:fillRect/>
                          </a:stretch>
                        </pic:blipFill>
                        <pic:spPr>
                          <a:xfrm>
                            <a:off x="0" y="0"/>
                            <a:ext cx="629285" cy="624205"/>
                          </a:xfrm>
                          <a:prstGeom prst="rect">
                            <a:avLst/>
                          </a:prstGeom>
                          <a:noFill/>
                          <a:ln>
                            <a:noFill/>
                          </a:ln>
                        </pic:spPr>
                      </pic:pic>
                    </a:graphicData>
                  </a:graphic>
                </wp:inline>
              </w:drawing>
            </w:r>
          </w:p>
        </w:tc>
        <w:tc>
          <w:tcPr>
            <w:tcW w:w="2087" w:type="dxa"/>
            <w:tcBorders>
              <w:top w:val="single" w:color="auto" w:sz="6" w:space="0"/>
              <w:left w:val="single" w:color="auto" w:sz="6" w:space="0"/>
              <w:bottom w:val="single" w:color="auto" w:sz="6" w:space="0"/>
              <w:right w:val="single" w:color="auto" w:sz="6" w:space="0"/>
              <w:tl2br w:val="nil"/>
              <w:tr2bl w:val="nil"/>
            </w:tcBorders>
            <w:noWrap w:val="0"/>
            <w:vAlign w:val="center"/>
          </w:tcPr>
          <w:p>
            <w:pPr>
              <w:pStyle w:val="527"/>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drawing>
                <wp:inline distT="0" distB="0" distL="114300" distR="114300">
                  <wp:extent cx="711200" cy="685800"/>
                  <wp:effectExtent l="0" t="0" r="5080" b="0"/>
                  <wp:docPr id="45" name="图片 23" descr="说明: 说明: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3" descr="说明: 说明: 4"/>
                          <pic:cNvPicPr>
                            <a:picLocks noChangeAspect="1"/>
                          </pic:cNvPicPr>
                        </pic:nvPicPr>
                        <pic:blipFill>
                          <a:blip r:embed="rId115"/>
                          <a:stretch>
                            <a:fillRect/>
                          </a:stretch>
                        </pic:blipFill>
                        <pic:spPr>
                          <a:xfrm>
                            <a:off x="0" y="0"/>
                            <a:ext cx="711200" cy="685800"/>
                          </a:xfrm>
                          <a:prstGeom prst="rect">
                            <a:avLst/>
                          </a:prstGeom>
                          <a:noFill/>
                          <a:ln>
                            <a:noFill/>
                          </a:ln>
                        </pic:spPr>
                      </pic:pic>
                    </a:graphicData>
                  </a:graphic>
                </wp:inline>
              </w:drawing>
            </w:r>
          </w:p>
        </w:tc>
        <w:tc>
          <w:tcPr>
            <w:tcW w:w="1625" w:type="dxa"/>
            <w:tcBorders>
              <w:top w:val="single" w:color="auto" w:sz="6" w:space="0"/>
              <w:left w:val="single" w:color="auto" w:sz="6" w:space="0"/>
              <w:bottom w:val="single" w:color="auto" w:sz="6" w:space="0"/>
              <w:right w:val="single" w:color="auto" w:sz="6" w:space="0"/>
              <w:tl2br w:val="nil"/>
              <w:tr2bl w:val="nil"/>
            </w:tcBorders>
            <w:noWrap w:val="0"/>
            <w:vAlign w:val="center"/>
          </w:tcPr>
          <w:p>
            <w:pPr>
              <w:pStyle w:val="527"/>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废气排放口</w:t>
            </w:r>
          </w:p>
        </w:tc>
        <w:tc>
          <w:tcPr>
            <w:tcW w:w="2990" w:type="dxa"/>
            <w:tcBorders>
              <w:top w:val="single" w:color="auto" w:sz="6" w:space="0"/>
              <w:left w:val="single" w:color="auto" w:sz="6" w:space="0"/>
              <w:bottom w:val="single" w:color="auto" w:sz="6" w:space="0"/>
              <w:right w:val="nil"/>
              <w:tl2br w:val="nil"/>
              <w:tr2bl w:val="nil"/>
            </w:tcBorders>
            <w:noWrap w:val="0"/>
            <w:vAlign w:val="center"/>
          </w:tcPr>
          <w:p>
            <w:pPr>
              <w:pStyle w:val="527"/>
              <w:rPr>
                <w:rFonts w:hint="default" w:ascii="Times New Roman" w:hAnsi="Times New Roman" w:eastAsia="宋体" w:cs="Times New Roman"/>
                <w:color w:val="auto"/>
                <w:sz w:val="21"/>
                <w:szCs w:val="24"/>
              </w:rPr>
            </w:pPr>
            <w:r>
              <w:rPr>
                <w:rFonts w:hint="default" w:ascii="Times New Roman" w:hAnsi="Times New Roman" w:eastAsia="宋体" w:cs="Times New Roman"/>
                <w:color w:val="auto"/>
                <w:sz w:val="21"/>
                <w:szCs w:val="24"/>
              </w:rPr>
              <w:t>表示废气向大气环境排放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66" w:type="dxa"/>
            <w:tcBorders>
              <w:top w:val="single" w:color="auto" w:sz="6" w:space="0"/>
              <w:left w:val="nil"/>
              <w:bottom w:val="single" w:color="auto" w:sz="4" w:space="0"/>
              <w:right w:val="single" w:color="auto" w:sz="6" w:space="0"/>
              <w:tl2br w:val="nil"/>
              <w:tr2bl w:val="nil"/>
            </w:tcBorders>
            <w:noWrap w:val="0"/>
            <w:vAlign w:val="center"/>
          </w:tcPr>
          <w:p>
            <w:pPr>
              <w:pStyle w:val="505"/>
              <w:rPr>
                <w:rFonts w:hint="default" w:ascii="Times New Roman" w:hAnsi="Times New Roman" w:eastAsia="宋体" w:cs="Times New Roman"/>
                <w:color w:val="auto"/>
                <w:sz w:val="21"/>
                <w:szCs w:val="28"/>
                <w:lang w:val="en-US" w:eastAsia="zh-CN"/>
              </w:rPr>
            </w:pPr>
            <w:r>
              <w:rPr>
                <w:rFonts w:hint="default" w:ascii="Times New Roman" w:hAnsi="Times New Roman" w:eastAsia="宋体" w:cs="Times New Roman"/>
                <w:color w:val="auto"/>
                <w:sz w:val="21"/>
                <w:szCs w:val="28"/>
                <w:lang w:val="en-US" w:eastAsia="zh-CN"/>
              </w:rPr>
              <w:t>2</w:t>
            </w:r>
          </w:p>
        </w:tc>
        <w:tc>
          <w:tcPr>
            <w:tcW w:w="1817" w:type="dxa"/>
            <w:tcBorders>
              <w:top w:val="single" w:color="auto" w:sz="6" w:space="0"/>
              <w:left w:val="single" w:color="auto" w:sz="6" w:space="0"/>
              <w:bottom w:val="single" w:color="auto" w:sz="4" w:space="0"/>
              <w:right w:val="single" w:color="auto" w:sz="6" w:space="0"/>
              <w:tl2br w:val="nil"/>
              <w:tr2bl w:val="nil"/>
            </w:tcBorders>
            <w:noWrap w:val="0"/>
            <w:vAlign w:val="center"/>
          </w:tcPr>
          <w:p>
            <w:pPr>
              <w:pStyle w:val="505"/>
              <w:rPr>
                <w:rFonts w:hint="default" w:ascii="Times New Roman" w:hAnsi="Times New Roman" w:eastAsia="宋体" w:cs="Times New Roman"/>
                <w:color w:val="auto"/>
                <w:sz w:val="21"/>
                <w:szCs w:val="28"/>
              </w:rPr>
            </w:pPr>
            <w:r>
              <w:rPr>
                <w:rFonts w:hint="default" w:ascii="Times New Roman" w:hAnsi="Times New Roman" w:eastAsia="宋体" w:cs="Times New Roman"/>
                <w:color w:val="auto"/>
                <w:sz w:val="21"/>
                <w:szCs w:val="28"/>
              </w:rPr>
              <w:drawing>
                <wp:inline distT="0" distB="0" distL="114300" distR="114300">
                  <wp:extent cx="706120" cy="716280"/>
                  <wp:effectExtent l="0" t="0" r="10160" b="0"/>
                  <wp:docPr id="6" name="图片 26" descr="说明: 说明: 1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6" descr="说明: 说明: 14001"/>
                          <pic:cNvPicPr>
                            <a:picLocks noChangeAspect="1"/>
                          </pic:cNvPicPr>
                        </pic:nvPicPr>
                        <pic:blipFill>
                          <a:blip r:embed="rId116"/>
                          <a:stretch>
                            <a:fillRect/>
                          </a:stretch>
                        </pic:blipFill>
                        <pic:spPr>
                          <a:xfrm>
                            <a:off x="0" y="0"/>
                            <a:ext cx="706120" cy="716280"/>
                          </a:xfrm>
                          <a:prstGeom prst="rect">
                            <a:avLst/>
                          </a:prstGeom>
                          <a:noFill/>
                          <a:ln>
                            <a:noFill/>
                          </a:ln>
                        </pic:spPr>
                      </pic:pic>
                    </a:graphicData>
                  </a:graphic>
                </wp:inline>
              </w:drawing>
            </w:r>
          </w:p>
        </w:tc>
        <w:tc>
          <w:tcPr>
            <w:tcW w:w="2087" w:type="dxa"/>
            <w:tcBorders>
              <w:top w:val="single" w:color="auto" w:sz="6" w:space="0"/>
              <w:left w:val="single" w:color="auto" w:sz="6" w:space="0"/>
              <w:bottom w:val="single" w:color="auto" w:sz="4" w:space="0"/>
              <w:right w:val="single" w:color="auto" w:sz="6" w:space="0"/>
              <w:tl2br w:val="nil"/>
              <w:tr2bl w:val="nil"/>
            </w:tcBorders>
            <w:noWrap w:val="0"/>
            <w:vAlign w:val="center"/>
          </w:tcPr>
          <w:p>
            <w:pPr>
              <w:pStyle w:val="505"/>
              <w:rPr>
                <w:rFonts w:hint="default" w:ascii="Times New Roman" w:hAnsi="Times New Roman" w:eastAsia="宋体" w:cs="Times New Roman"/>
                <w:color w:val="auto"/>
                <w:sz w:val="21"/>
                <w:szCs w:val="28"/>
              </w:rPr>
            </w:pPr>
            <w:r>
              <w:rPr>
                <w:rFonts w:hint="default" w:ascii="Times New Roman" w:hAnsi="Times New Roman" w:eastAsia="宋体" w:cs="Times New Roman"/>
                <w:color w:val="auto"/>
                <w:sz w:val="21"/>
                <w:szCs w:val="28"/>
              </w:rPr>
              <w:drawing>
                <wp:inline distT="0" distB="0" distL="114300" distR="114300">
                  <wp:extent cx="714375" cy="661035"/>
                  <wp:effectExtent l="0" t="0" r="1905" b="9525"/>
                  <wp:docPr id="67" name="图片 27" descr="说明: 说明: 1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7" descr="说明: 说明: 14002"/>
                          <pic:cNvPicPr>
                            <a:picLocks noChangeAspect="1"/>
                          </pic:cNvPicPr>
                        </pic:nvPicPr>
                        <pic:blipFill>
                          <a:blip r:embed="rId117"/>
                          <a:stretch>
                            <a:fillRect/>
                          </a:stretch>
                        </pic:blipFill>
                        <pic:spPr>
                          <a:xfrm>
                            <a:off x="0" y="0"/>
                            <a:ext cx="714375" cy="661035"/>
                          </a:xfrm>
                          <a:prstGeom prst="rect">
                            <a:avLst/>
                          </a:prstGeom>
                          <a:noFill/>
                          <a:ln>
                            <a:noFill/>
                          </a:ln>
                        </pic:spPr>
                      </pic:pic>
                    </a:graphicData>
                  </a:graphic>
                </wp:inline>
              </w:drawing>
            </w:r>
          </w:p>
        </w:tc>
        <w:tc>
          <w:tcPr>
            <w:tcW w:w="1625" w:type="dxa"/>
            <w:tcBorders>
              <w:top w:val="single" w:color="auto" w:sz="6" w:space="0"/>
              <w:left w:val="single" w:color="auto" w:sz="6" w:space="0"/>
              <w:bottom w:val="single" w:color="auto" w:sz="4" w:space="0"/>
              <w:right w:val="single" w:color="auto" w:sz="6" w:space="0"/>
              <w:tl2br w:val="nil"/>
              <w:tr2bl w:val="nil"/>
            </w:tcBorders>
            <w:noWrap w:val="0"/>
            <w:vAlign w:val="center"/>
          </w:tcPr>
          <w:p>
            <w:pPr>
              <w:pStyle w:val="505"/>
              <w:rPr>
                <w:rFonts w:hint="default" w:ascii="Times New Roman" w:hAnsi="Times New Roman" w:eastAsia="宋体" w:cs="Times New Roman"/>
                <w:color w:val="auto"/>
                <w:sz w:val="21"/>
                <w:szCs w:val="28"/>
                <w:highlight w:val="yellow"/>
              </w:rPr>
            </w:pPr>
            <w:r>
              <w:rPr>
                <w:rFonts w:hint="default" w:ascii="Times New Roman" w:hAnsi="Times New Roman" w:eastAsia="宋体" w:cs="Times New Roman"/>
                <w:color w:val="auto"/>
                <w:sz w:val="21"/>
                <w:szCs w:val="28"/>
              </w:rPr>
              <w:t>固体废物</w:t>
            </w:r>
          </w:p>
        </w:tc>
        <w:tc>
          <w:tcPr>
            <w:tcW w:w="2990" w:type="dxa"/>
            <w:tcBorders>
              <w:top w:val="single" w:color="auto" w:sz="6" w:space="0"/>
              <w:left w:val="single" w:color="auto" w:sz="6" w:space="0"/>
              <w:bottom w:val="single" w:color="auto" w:sz="4" w:space="0"/>
              <w:right w:val="nil"/>
              <w:tl2br w:val="nil"/>
              <w:tr2bl w:val="nil"/>
            </w:tcBorders>
            <w:noWrap w:val="0"/>
            <w:vAlign w:val="center"/>
          </w:tcPr>
          <w:p>
            <w:pPr>
              <w:pStyle w:val="505"/>
              <w:rPr>
                <w:rFonts w:hint="default" w:ascii="Times New Roman" w:hAnsi="Times New Roman" w:eastAsia="宋体" w:cs="Times New Roman"/>
                <w:color w:val="auto"/>
                <w:sz w:val="21"/>
                <w:szCs w:val="28"/>
                <w:highlight w:val="yellow"/>
              </w:rPr>
            </w:pPr>
            <w:r>
              <w:rPr>
                <w:rFonts w:hint="default" w:ascii="Times New Roman" w:hAnsi="Times New Roman" w:eastAsia="宋体" w:cs="Times New Roman"/>
                <w:color w:val="auto"/>
                <w:sz w:val="21"/>
                <w:szCs w:val="28"/>
              </w:rPr>
              <w:t>表示固体废物贮存、处置场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66" w:type="dxa"/>
            <w:tcBorders>
              <w:top w:val="single" w:color="auto" w:sz="4" w:space="0"/>
              <w:left w:val="nil"/>
              <w:bottom w:val="single" w:color="auto" w:sz="12" w:space="0"/>
              <w:right w:val="single" w:color="auto" w:sz="6" w:space="0"/>
              <w:tl2br w:val="nil"/>
              <w:tr2bl w:val="nil"/>
            </w:tcBorders>
            <w:noWrap w:val="0"/>
            <w:vAlign w:val="center"/>
          </w:tcPr>
          <w:p>
            <w:pPr>
              <w:pStyle w:val="505"/>
              <w:rPr>
                <w:rFonts w:hint="default" w:ascii="Times New Roman" w:hAnsi="Times New Roman" w:eastAsia="宋体" w:cs="Times New Roman"/>
                <w:color w:val="auto"/>
                <w:sz w:val="21"/>
                <w:szCs w:val="28"/>
                <w:lang w:eastAsia="zh-CN"/>
              </w:rPr>
            </w:pPr>
            <w:r>
              <w:rPr>
                <w:rFonts w:hint="default" w:ascii="Times New Roman" w:hAnsi="Times New Roman" w:eastAsia="宋体" w:cs="Times New Roman"/>
                <w:color w:val="auto"/>
                <w:sz w:val="21"/>
                <w:szCs w:val="28"/>
                <w:lang w:val="en-US" w:eastAsia="zh-CN"/>
              </w:rPr>
              <w:t>3</w:t>
            </w:r>
          </w:p>
        </w:tc>
        <w:tc>
          <w:tcPr>
            <w:tcW w:w="1817" w:type="dxa"/>
            <w:tcBorders>
              <w:top w:val="single" w:color="auto" w:sz="4" w:space="0"/>
              <w:left w:val="single" w:color="auto" w:sz="6" w:space="0"/>
              <w:bottom w:val="single" w:color="auto" w:sz="12" w:space="0"/>
              <w:right w:val="single" w:color="auto" w:sz="6" w:space="0"/>
              <w:tl2br w:val="nil"/>
              <w:tr2bl w:val="nil"/>
            </w:tcBorders>
            <w:noWrap w:val="0"/>
            <w:vAlign w:val="center"/>
          </w:tcPr>
          <w:p>
            <w:pPr>
              <w:pStyle w:val="505"/>
              <w:rPr>
                <w:rFonts w:hint="default" w:ascii="Times New Roman" w:hAnsi="Times New Roman" w:eastAsia="宋体" w:cs="Times New Roman"/>
                <w:color w:val="auto"/>
                <w:sz w:val="21"/>
                <w:szCs w:val="28"/>
              </w:rPr>
            </w:pPr>
          </w:p>
        </w:tc>
        <w:tc>
          <w:tcPr>
            <w:tcW w:w="2087" w:type="dxa"/>
            <w:tcBorders>
              <w:top w:val="single" w:color="auto" w:sz="4" w:space="0"/>
              <w:left w:val="single" w:color="auto" w:sz="6" w:space="0"/>
              <w:bottom w:val="single" w:color="auto" w:sz="12" w:space="0"/>
              <w:right w:val="single" w:color="auto" w:sz="6" w:space="0"/>
              <w:tl2br w:val="nil"/>
              <w:tr2bl w:val="nil"/>
            </w:tcBorders>
            <w:noWrap w:val="0"/>
            <w:vAlign w:val="center"/>
          </w:tcPr>
          <w:p>
            <w:pPr>
              <w:pStyle w:val="505"/>
              <w:rPr>
                <w:rFonts w:hint="default" w:ascii="Times New Roman" w:hAnsi="Times New Roman" w:eastAsia="宋体" w:cs="Times New Roman"/>
                <w:color w:val="auto"/>
                <w:sz w:val="21"/>
                <w:szCs w:val="28"/>
              </w:rPr>
            </w:pPr>
            <w:r>
              <w:rPr>
                <w:rFonts w:hint="default" w:ascii="Times New Roman" w:hAnsi="Times New Roman" w:eastAsia="宋体" w:cs="Times New Roman"/>
                <w:color w:val="auto"/>
                <w:sz w:val="21"/>
                <w:szCs w:val="28"/>
              </w:rPr>
              <w:drawing>
                <wp:inline distT="0" distB="0" distL="114300" distR="114300">
                  <wp:extent cx="810260" cy="673100"/>
                  <wp:effectExtent l="0" t="0" r="12700" b="12700"/>
                  <wp:docPr id="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8"/>
                          <pic:cNvPicPr>
                            <a:picLocks noChangeAspect="1"/>
                          </pic:cNvPicPr>
                        </pic:nvPicPr>
                        <pic:blipFill>
                          <a:blip r:embed="rId118"/>
                          <a:stretch>
                            <a:fillRect/>
                          </a:stretch>
                        </pic:blipFill>
                        <pic:spPr>
                          <a:xfrm>
                            <a:off x="0" y="0"/>
                            <a:ext cx="810260" cy="673100"/>
                          </a:xfrm>
                          <a:prstGeom prst="rect">
                            <a:avLst/>
                          </a:prstGeom>
                          <a:noFill/>
                          <a:ln>
                            <a:noFill/>
                          </a:ln>
                        </pic:spPr>
                      </pic:pic>
                    </a:graphicData>
                  </a:graphic>
                </wp:inline>
              </w:drawing>
            </w:r>
          </w:p>
        </w:tc>
        <w:tc>
          <w:tcPr>
            <w:tcW w:w="1625" w:type="dxa"/>
            <w:tcBorders>
              <w:top w:val="single" w:color="auto" w:sz="4" w:space="0"/>
              <w:left w:val="single" w:color="auto" w:sz="6" w:space="0"/>
              <w:bottom w:val="single" w:color="auto" w:sz="12" w:space="0"/>
              <w:right w:val="single" w:color="auto" w:sz="6" w:space="0"/>
              <w:tl2br w:val="nil"/>
              <w:tr2bl w:val="nil"/>
            </w:tcBorders>
            <w:noWrap w:val="0"/>
            <w:vAlign w:val="center"/>
          </w:tcPr>
          <w:p>
            <w:pPr>
              <w:pStyle w:val="505"/>
              <w:rPr>
                <w:rFonts w:hint="default" w:ascii="Times New Roman" w:hAnsi="Times New Roman" w:eastAsia="宋体" w:cs="Times New Roman"/>
                <w:color w:val="auto"/>
                <w:sz w:val="21"/>
                <w:szCs w:val="28"/>
              </w:rPr>
            </w:pPr>
            <w:r>
              <w:rPr>
                <w:rFonts w:hint="default" w:ascii="Times New Roman" w:hAnsi="Times New Roman" w:eastAsia="宋体" w:cs="Times New Roman"/>
                <w:color w:val="auto"/>
                <w:sz w:val="21"/>
                <w:szCs w:val="28"/>
              </w:rPr>
              <w:t>危险废物</w:t>
            </w:r>
          </w:p>
        </w:tc>
        <w:tc>
          <w:tcPr>
            <w:tcW w:w="2990" w:type="dxa"/>
            <w:tcBorders>
              <w:top w:val="single" w:color="auto" w:sz="4" w:space="0"/>
              <w:left w:val="single" w:color="auto" w:sz="6" w:space="0"/>
              <w:bottom w:val="single" w:color="auto" w:sz="12" w:space="0"/>
              <w:right w:val="nil"/>
              <w:tl2br w:val="nil"/>
              <w:tr2bl w:val="nil"/>
            </w:tcBorders>
            <w:noWrap w:val="0"/>
            <w:vAlign w:val="center"/>
          </w:tcPr>
          <w:p>
            <w:pPr>
              <w:pStyle w:val="505"/>
              <w:rPr>
                <w:rFonts w:hint="default" w:ascii="Times New Roman" w:hAnsi="Times New Roman" w:eastAsia="宋体" w:cs="Times New Roman"/>
                <w:color w:val="auto"/>
                <w:sz w:val="21"/>
                <w:szCs w:val="28"/>
              </w:rPr>
            </w:pPr>
            <w:r>
              <w:rPr>
                <w:rFonts w:hint="default" w:ascii="Times New Roman" w:hAnsi="Times New Roman" w:eastAsia="宋体" w:cs="Times New Roman"/>
                <w:color w:val="auto"/>
                <w:sz w:val="21"/>
                <w:szCs w:val="28"/>
              </w:rPr>
              <w:t>表示危险废物贮存、处置场</w:t>
            </w:r>
          </w:p>
        </w:tc>
      </w:tr>
    </w:tbl>
    <w:p>
      <w:pPr>
        <w:pStyle w:val="4"/>
        <w:spacing w:line="360" w:lineRule="auto"/>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sz w:val="28"/>
          <w:szCs w:val="28"/>
        </w:rPr>
        <w:t>9.3环境监测机构及职责</w:t>
      </w:r>
      <w:bookmarkEnd w:id="467"/>
      <w:bookmarkEnd w:id="468"/>
      <w:bookmarkEnd w:id="469"/>
    </w:p>
    <w:p>
      <w:pPr>
        <w:pStyle w:val="523"/>
        <w:adjustRightInd w:val="0"/>
        <w:snapToGrid/>
        <w:ind w:firstLine="482"/>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环境监测机构应是国家明文规定的有资质监测机构，按就近、就便的原则，首选环境监测站。对本项目环境监测站的职责主要有：</w:t>
      </w:r>
    </w:p>
    <w:p>
      <w:pPr>
        <w:pStyle w:val="523"/>
        <w:adjustRightInd w:val="0"/>
        <w:snapToGrid/>
        <w:ind w:firstLine="482"/>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测试、收集环境状况基本资料；</w:t>
      </w:r>
    </w:p>
    <w:p>
      <w:pPr>
        <w:pStyle w:val="523"/>
        <w:adjustRightInd w:val="0"/>
        <w:snapToGrid/>
        <w:ind w:firstLine="482"/>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对环保设施运行状况进行监测；</w:t>
      </w:r>
    </w:p>
    <w:p>
      <w:pPr>
        <w:pStyle w:val="523"/>
        <w:adjustRightInd w:val="0"/>
        <w:snapToGrid/>
        <w:ind w:firstLine="482"/>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整理、统计分析监测结果，上报环保局，归口管理。</w:t>
      </w:r>
    </w:p>
    <w:p>
      <w:pPr>
        <w:pStyle w:val="4"/>
        <w:spacing w:line="360" w:lineRule="auto"/>
        <w:rPr>
          <w:rFonts w:hint="default" w:ascii="Times New Roman" w:hAnsi="Times New Roman" w:eastAsia="宋体" w:cs="Times New Roman"/>
          <w:color w:val="auto"/>
          <w:sz w:val="28"/>
          <w:szCs w:val="28"/>
        </w:rPr>
      </w:pPr>
      <w:bookmarkStart w:id="470" w:name="_Toc7139"/>
      <w:bookmarkStart w:id="471" w:name="_Toc28368"/>
      <w:bookmarkStart w:id="472" w:name="_Toc524081488"/>
      <w:r>
        <w:rPr>
          <w:rFonts w:hint="default" w:ascii="Times New Roman" w:hAnsi="Times New Roman" w:eastAsia="宋体" w:cs="Times New Roman"/>
          <w:color w:val="auto"/>
          <w:sz w:val="28"/>
          <w:szCs w:val="28"/>
        </w:rPr>
        <w:t>9.4环境监测计划</w:t>
      </w:r>
      <w:bookmarkEnd w:id="470"/>
      <w:bookmarkEnd w:id="471"/>
      <w:bookmarkEnd w:id="472"/>
    </w:p>
    <w:p>
      <w:pPr>
        <w:pStyle w:val="16"/>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根据《排污单位自行监测技术指南——总则》（HJ819-2017）</w:t>
      </w:r>
      <w:r>
        <w:rPr>
          <w:rFonts w:hint="default" w:ascii="Times New Roman" w:hAnsi="Times New Roman" w:eastAsia="宋体" w:cs="Times New Roman"/>
          <w:color w:val="auto"/>
          <w:sz w:val="24"/>
          <w:lang w:val="en-US" w:eastAsia="zh-CN"/>
        </w:rPr>
        <w:t>，本项目</w:t>
      </w:r>
      <w:r>
        <w:rPr>
          <w:rFonts w:hint="default" w:ascii="Times New Roman" w:hAnsi="Times New Roman" w:eastAsia="宋体" w:cs="Times New Roman"/>
          <w:color w:val="auto"/>
          <w:sz w:val="24"/>
        </w:rPr>
        <w:t>营运期的常规监测主要是对建设项目污染源的监测。环境监测以大气环境为主，对</w:t>
      </w:r>
      <w:r>
        <w:rPr>
          <w:rFonts w:hint="default" w:ascii="Times New Roman" w:hAnsi="Times New Roman" w:eastAsia="宋体" w:cs="Times New Roman"/>
          <w:color w:val="auto"/>
          <w:sz w:val="24"/>
          <w:lang w:eastAsia="zh-CN"/>
        </w:rPr>
        <w:t>废气</w:t>
      </w:r>
      <w:r>
        <w:rPr>
          <w:rFonts w:hint="default" w:ascii="Times New Roman" w:hAnsi="Times New Roman" w:eastAsia="宋体" w:cs="Times New Roman"/>
          <w:color w:val="auto"/>
          <w:sz w:val="24"/>
        </w:rPr>
        <w:t>排放口定期监测和厂界污染物浓度定期监测。</w:t>
      </w:r>
    </w:p>
    <w:p>
      <w:pPr>
        <w:pStyle w:val="16"/>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①废气监测项目及频率</w:t>
      </w:r>
    </w:p>
    <w:p>
      <w:pPr>
        <w:pStyle w:val="16"/>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监测点位：各排气筒废气排口和厂界无组织排放浓度。</w:t>
      </w:r>
    </w:p>
    <w:p>
      <w:pPr>
        <w:pStyle w:val="16"/>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监测频次：每半年度监测1次。</w:t>
      </w:r>
    </w:p>
    <w:p>
      <w:pPr>
        <w:pStyle w:val="16"/>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监测项目：</w:t>
      </w:r>
    </w:p>
    <w:p>
      <w:pPr>
        <w:pStyle w:val="16"/>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a、有组织排放：</w:t>
      </w:r>
    </w:p>
    <w:p>
      <w:pPr>
        <w:pStyle w:val="16"/>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val="en-US" w:eastAsia="zh-CN"/>
        </w:rPr>
        <w:t>P1排放口：颗粒物</w:t>
      </w:r>
    </w:p>
    <w:p>
      <w:pPr>
        <w:pStyle w:val="16"/>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b、厂界无组织废气监测项目：</w:t>
      </w:r>
      <w:r>
        <w:rPr>
          <w:rFonts w:hint="default" w:ascii="Times New Roman" w:hAnsi="Times New Roman" w:eastAsia="宋体" w:cs="Times New Roman"/>
          <w:color w:val="auto"/>
          <w:sz w:val="24"/>
          <w:lang w:val="en-US" w:eastAsia="zh-CN"/>
        </w:rPr>
        <w:t>颗粒物</w:t>
      </w:r>
      <w:r>
        <w:rPr>
          <w:rFonts w:hint="default" w:ascii="Times New Roman" w:hAnsi="Times New Roman" w:eastAsia="宋体" w:cs="Times New Roman"/>
          <w:color w:val="auto"/>
          <w:sz w:val="24"/>
        </w:rPr>
        <w:t>。</w:t>
      </w:r>
    </w:p>
    <w:p>
      <w:pPr>
        <w:pStyle w:val="16"/>
        <w:keepNext w:val="0"/>
        <w:keepLines w:val="0"/>
        <w:pageBreakBefore w:val="0"/>
        <w:widowControl w:val="0"/>
        <w:kinsoku/>
        <w:wordWrap/>
        <w:overflowPunct/>
        <w:topLinePunct w:val="0"/>
        <w:autoSpaceDE/>
        <w:autoSpaceDN/>
        <w:bidi w:val="0"/>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②</w:t>
      </w:r>
      <w:r>
        <w:rPr>
          <w:rFonts w:hint="default" w:ascii="Times New Roman" w:hAnsi="Times New Roman" w:eastAsia="宋体" w:cs="Times New Roman"/>
          <w:color w:val="auto"/>
          <w:sz w:val="24"/>
          <w:szCs w:val="24"/>
          <w:lang w:val="en-US" w:eastAsia="zh-CN"/>
        </w:rPr>
        <w:t>地下水</w:t>
      </w:r>
      <w:r>
        <w:rPr>
          <w:rFonts w:hint="default" w:ascii="Times New Roman" w:hAnsi="Times New Roman" w:eastAsia="宋体" w:cs="Times New Roman"/>
          <w:color w:val="auto"/>
          <w:sz w:val="24"/>
          <w:szCs w:val="24"/>
        </w:rPr>
        <w:t>监测项目及频率</w:t>
      </w:r>
    </w:p>
    <w:p>
      <w:pPr>
        <w:pStyle w:val="107"/>
        <w:keepNext w:val="0"/>
        <w:keepLines w:val="0"/>
        <w:pageBreakBefore w:val="0"/>
        <w:widowControl w:val="0"/>
        <w:kinsoku/>
        <w:wordWrap/>
        <w:overflowPunct/>
        <w:topLinePunct w:val="0"/>
        <w:autoSpaceDE/>
        <w:autoSpaceDN/>
        <w:bidi w:val="0"/>
        <w:snapToGrid/>
        <w:ind w:firstLine="48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监测点位：</w:t>
      </w:r>
      <w:r>
        <w:rPr>
          <w:rFonts w:hint="default" w:ascii="Times New Roman" w:hAnsi="Times New Roman" w:eastAsia="宋体" w:cs="Times New Roman"/>
          <w:color w:val="auto"/>
          <w:sz w:val="24"/>
          <w:szCs w:val="24"/>
          <w:lang w:eastAsia="zh-CN"/>
        </w:rPr>
        <w:t>项目</w:t>
      </w:r>
      <w:r>
        <w:rPr>
          <w:rFonts w:hint="default" w:ascii="Times New Roman" w:hAnsi="Times New Roman" w:eastAsia="宋体" w:cs="Times New Roman"/>
          <w:color w:val="auto"/>
          <w:sz w:val="24"/>
          <w:szCs w:val="24"/>
        </w:rPr>
        <w:t>拟布设</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个跟踪监测点，建设项目上下游各1个，</w:t>
      </w:r>
      <w:r>
        <w:rPr>
          <w:rFonts w:hint="default" w:ascii="Times New Roman" w:hAnsi="Times New Roman" w:eastAsia="宋体" w:cs="Times New Roman"/>
          <w:color w:val="auto"/>
          <w:sz w:val="24"/>
          <w:szCs w:val="24"/>
          <w:lang w:eastAsia="zh-CN"/>
        </w:rPr>
        <w:t>破碎车间</w:t>
      </w:r>
      <w:r>
        <w:rPr>
          <w:rFonts w:hint="default" w:ascii="Times New Roman" w:hAnsi="Times New Roman" w:eastAsia="宋体" w:cs="Times New Roman"/>
          <w:color w:val="auto"/>
          <w:sz w:val="24"/>
          <w:szCs w:val="24"/>
        </w:rPr>
        <w:t>及</w:t>
      </w:r>
      <w:r>
        <w:rPr>
          <w:rFonts w:hint="default" w:ascii="Times New Roman" w:hAnsi="Times New Roman" w:eastAsia="宋体" w:cs="Times New Roman"/>
          <w:color w:val="auto"/>
          <w:sz w:val="24"/>
          <w:szCs w:val="24"/>
          <w:lang w:eastAsia="zh-CN"/>
        </w:rPr>
        <w:t>尾矿仓</w:t>
      </w:r>
      <w:r>
        <w:rPr>
          <w:rFonts w:hint="default" w:ascii="Times New Roman" w:hAnsi="Times New Roman" w:eastAsia="宋体" w:cs="Times New Roman"/>
          <w:color w:val="auto"/>
          <w:sz w:val="24"/>
          <w:szCs w:val="24"/>
        </w:rPr>
        <w:t>下游1个。上游点位为背景值监测点，下游为地下水污染扩散监测点，</w:t>
      </w:r>
      <w:r>
        <w:rPr>
          <w:rFonts w:hint="default" w:ascii="Times New Roman" w:hAnsi="Times New Roman" w:eastAsia="宋体" w:cs="Times New Roman"/>
          <w:color w:val="auto"/>
          <w:sz w:val="24"/>
          <w:szCs w:val="24"/>
          <w:lang w:eastAsia="zh-CN"/>
        </w:rPr>
        <w:t>破碎车间</w:t>
      </w:r>
      <w:r>
        <w:rPr>
          <w:rFonts w:hint="default" w:ascii="Times New Roman" w:hAnsi="Times New Roman" w:eastAsia="宋体" w:cs="Times New Roman"/>
          <w:color w:val="auto"/>
          <w:sz w:val="24"/>
          <w:szCs w:val="24"/>
        </w:rPr>
        <w:t>及</w:t>
      </w:r>
      <w:r>
        <w:rPr>
          <w:rFonts w:hint="default" w:ascii="Times New Roman" w:hAnsi="Times New Roman" w:eastAsia="宋体" w:cs="Times New Roman"/>
          <w:color w:val="auto"/>
          <w:sz w:val="24"/>
          <w:szCs w:val="24"/>
          <w:lang w:eastAsia="zh-CN"/>
        </w:rPr>
        <w:t>尾矿仓</w:t>
      </w:r>
      <w:r>
        <w:rPr>
          <w:rFonts w:hint="default" w:ascii="Times New Roman" w:hAnsi="Times New Roman" w:eastAsia="宋体" w:cs="Times New Roman"/>
          <w:color w:val="auto"/>
          <w:sz w:val="24"/>
          <w:szCs w:val="24"/>
        </w:rPr>
        <w:t>为污染源监控点。</w:t>
      </w:r>
    </w:p>
    <w:p>
      <w:pPr>
        <w:pStyle w:val="107"/>
        <w:keepNext w:val="0"/>
        <w:keepLines w:val="0"/>
        <w:pageBreakBefore w:val="0"/>
        <w:widowControl w:val="0"/>
        <w:kinsoku/>
        <w:wordWrap/>
        <w:overflowPunct/>
        <w:topLinePunct w:val="0"/>
        <w:autoSpaceDE/>
        <w:autoSpaceDN/>
        <w:bidi w:val="0"/>
        <w:snapToGrid/>
        <w:ind w:firstLine="48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监测层位及井深：第四系潜水含水层，井深5-10m左右。</w:t>
      </w:r>
    </w:p>
    <w:p>
      <w:pPr>
        <w:pStyle w:val="107"/>
        <w:keepNext w:val="0"/>
        <w:keepLines w:val="0"/>
        <w:pageBreakBefore w:val="0"/>
        <w:widowControl w:val="0"/>
        <w:kinsoku/>
        <w:wordWrap/>
        <w:overflowPunct/>
        <w:topLinePunct w:val="0"/>
        <w:autoSpaceDE/>
        <w:autoSpaceDN/>
        <w:bidi w:val="0"/>
        <w:snapToGrid/>
        <w:ind w:firstLine="48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监测频次：根据地下水《地下水环境监测技术规范》（HJ/T164-2004），在正常状况下，上游监测井每年枯水期应监测一次；下游监测井应每年逢单月监测一次，全年六次。发生事故后应加密监测，直到污染消除。</w:t>
      </w:r>
    </w:p>
    <w:p>
      <w:pPr>
        <w:pStyle w:val="16"/>
        <w:keepNext w:val="0"/>
        <w:keepLines w:val="0"/>
        <w:pageBreakBefore w:val="0"/>
        <w:widowControl w:val="0"/>
        <w:kinsoku/>
        <w:wordWrap/>
        <w:overflowPunct/>
        <w:topLinePunct w:val="0"/>
        <w:autoSpaceDE/>
        <w:autoSpaceDN/>
        <w:bidi w:val="0"/>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监测项目：根据工程分析，污染源产生的污水特征，确定地下水监测项目为：pH、总硬度、溶解性总固体、硫酸盐、硫化物、氯化物、氟化物、耗氧量、氨氮、亚硝酸盐、硝酸盐、六价铬、汞、砷、镉、铅、铁、锰、锌、铜、石油类，共21项，同时监测地下水位、水温。水质标准执行《地下水质量标准》（GB/T14848-94）</w:t>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 3 \* ROMAN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III</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t>类标准</w:t>
      </w:r>
      <w:r>
        <w:rPr>
          <w:rFonts w:hint="default" w:ascii="Times New Roman" w:hAnsi="Times New Roman" w:eastAsia="宋体" w:cs="Times New Roman"/>
          <w:color w:val="auto"/>
          <w:sz w:val="24"/>
          <w:szCs w:val="24"/>
          <w:lang w:val="en-US" w:eastAsia="zh-CN"/>
        </w:rPr>
        <w:t>。</w:t>
      </w:r>
    </w:p>
    <w:p>
      <w:pPr>
        <w:pStyle w:val="16"/>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③厂界噪声</w:t>
      </w:r>
    </w:p>
    <w:p>
      <w:pPr>
        <w:pStyle w:val="16"/>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监测点位：在厂区边界外1m 噪声厂界四周分别布设4个点。</w:t>
      </w:r>
    </w:p>
    <w:p>
      <w:pPr>
        <w:pStyle w:val="16"/>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监测频次：每半年度监测1次（昼、夜各一次）。</w:t>
      </w:r>
    </w:p>
    <w:p>
      <w:pPr>
        <w:pStyle w:val="16"/>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监测因子：Leq(A)。</w:t>
      </w:r>
    </w:p>
    <w:p>
      <w:pPr>
        <w:pStyle w:val="16"/>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④</w:t>
      </w:r>
      <w:r>
        <w:rPr>
          <w:rFonts w:hint="default" w:ascii="Times New Roman" w:hAnsi="Times New Roman" w:eastAsia="宋体" w:cs="Times New Roman"/>
          <w:color w:val="auto"/>
          <w:sz w:val="24"/>
          <w:lang w:val="en-US" w:eastAsia="zh-CN"/>
        </w:rPr>
        <w:t>土壤</w:t>
      </w:r>
    </w:p>
    <w:p>
      <w:pPr>
        <w:pStyle w:val="16"/>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监测点位：在</w:t>
      </w:r>
      <w:r>
        <w:rPr>
          <w:rFonts w:hint="default" w:ascii="Times New Roman" w:hAnsi="Times New Roman" w:eastAsia="宋体" w:cs="Times New Roman"/>
          <w:color w:val="auto"/>
          <w:sz w:val="24"/>
          <w:lang w:val="en-US" w:eastAsia="zh-CN"/>
        </w:rPr>
        <w:t>厂界常年主导风向下风向300m设一点</w:t>
      </w:r>
      <w:r>
        <w:rPr>
          <w:rFonts w:hint="default" w:ascii="Times New Roman" w:hAnsi="Times New Roman" w:eastAsia="宋体" w:cs="Times New Roman"/>
          <w:color w:val="auto"/>
          <w:sz w:val="24"/>
        </w:rPr>
        <w:t>。</w:t>
      </w:r>
    </w:p>
    <w:p>
      <w:pPr>
        <w:pStyle w:val="16"/>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监测频次：每</w:t>
      </w:r>
      <w:r>
        <w:rPr>
          <w:rFonts w:hint="default" w:ascii="Times New Roman" w:hAnsi="Times New Roman" w:eastAsia="宋体" w:cs="Times New Roman"/>
          <w:color w:val="auto"/>
          <w:sz w:val="24"/>
          <w:lang w:val="en-US" w:eastAsia="zh-CN"/>
        </w:rPr>
        <w:t>五</w:t>
      </w:r>
      <w:r>
        <w:rPr>
          <w:rFonts w:hint="default" w:ascii="Times New Roman" w:hAnsi="Times New Roman" w:eastAsia="宋体" w:cs="Times New Roman"/>
          <w:color w:val="auto"/>
          <w:sz w:val="24"/>
        </w:rPr>
        <w:t>年度监测1次。</w:t>
      </w:r>
    </w:p>
    <w:p>
      <w:pPr>
        <w:pStyle w:val="16"/>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监测因子：45项基本因子</w:t>
      </w:r>
      <w:r>
        <w:rPr>
          <w:rFonts w:hint="default" w:ascii="Times New Roman" w:hAnsi="Times New Roman" w:eastAsia="宋体" w:cs="Times New Roman"/>
          <w:color w:val="auto"/>
          <w:sz w:val="24"/>
          <w:lang w:val="en-US" w:eastAsia="zh-CN"/>
        </w:rPr>
        <w:t>+石油烃</w:t>
      </w:r>
      <w:r>
        <w:rPr>
          <w:rFonts w:hint="default" w:ascii="Times New Roman" w:hAnsi="Times New Roman" w:eastAsia="宋体" w:cs="Times New Roman"/>
          <w:color w:val="auto"/>
          <w:sz w:val="24"/>
        </w:rPr>
        <w:t>。</w:t>
      </w:r>
    </w:p>
    <w:p>
      <w:pPr>
        <w:pStyle w:val="150"/>
        <w:spacing w:beforeLines="50" w:line="480" w:lineRule="exact"/>
        <w:ind w:firstLine="0" w:firstLineChars="0"/>
        <w:rPr>
          <w:rFonts w:hint="default" w:ascii="Times New Roman" w:hAnsi="Times New Roman" w:eastAsia="宋体" w:cs="Times New Roman"/>
          <w:color w:val="auto"/>
          <w:kern w:val="2"/>
          <w:szCs w:val="22"/>
          <w:lang w:val="en-US" w:eastAsia="zh-CN"/>
        </w:rPr>
      </w:pPr>
      <w:r>
        <w:rPr>
          <w:rFonts w:hint="default" w:ascii="Times New Roman" w:hAnsi="Times New Roman" w:eastAsia="宋体" w:cs="Times New Roman"/>
          <w:color w:val="auto"/>
          <w:kern w:val="2"/>
          <w:szCs w:val="22"/>
          <w:lang w:val="en-US" w:eastAsia="zh-CN"/>
        </w:rPr>
        <w:t>表9.4-1                      项目环境监测计划</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4"/>
        <w:gridCol w:w="760"/>
        <w:gridCol w:w="920"/>
        <w:gridCol w:w="1240"/>
        <w:gridCol w:w="2460"/>
        <w:gridCol w:w="325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dxa"/>
            <w:noWrap w:val="0"/>
            <w:vAlign w:val="center"/>
          </w:tcPr>
          <w:p>
            <w:pPr>
              <w:pStyle w:val="16"/>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编号</w:t>
            </w:r>
          </w:p>
        </w:tc>
        <w:tc>
          <w:tcPr>
            <w:tcW w:w="760" w:type="dxa"/>
            <w:noWrap w:val="0"/>
            <w:vAlign w:val="center"/>
          </w:tcPr>
          <w:p>
            <w:pPr>
              <w:pStyle w:val="16"/>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类别</w:t>
            </w:r>
          </w:p>
        </w:tc>
        <w:tc>
          <w:tcPr>
            <w:tcW w:w="2160" w:type="dxa"/>
            <w:gridSpan w:val="2"/>
            <w:noWrap w:val="0"/>
            <w:vAlign w:val="center"/>
          </w:tcPr>
          <w:p>
            <w:pPr>
              <w:pStyle w:val="16"/>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监测点位</w:t>
            </w:r>
          </w:p>
        </w:tc>
        <w:tc>
          <w:tcPr>
            <w:tcW w:w="2460" w:type="dxa"/>
            <w:noWrap w:val="0"/>
            <w:vAlign w:val="center"/>
          </w:tcPr>
          <w:p>
            <w:pPr>
              <w:pStyle w:val="16"/>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监测项目</w:t>
            </w:r>
          </w:p>
        </w:tc>
        <w:tc>
          <w:tcPr>
            <w:tcW w:w="3253" w:type="dxa"/>
            <w:noWrap w:val="0"/>
            <w:vAlign w:val="center"/>
          </w:tcPr>
          <w:p>
            <w:pPr>
              <w:pStyle w:val="16"/>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监测频率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dxa"/>
            <w:vMerge w:val="restart"/>
            <w:noWrap w:val="0"/>
            <w:vAlign w:val="center"/>
          </w:tcPr>
          <w:p>
            <w:pPr>
              <w:pStyle w:val="16"/>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1</w:t>
            </w:r>
          </w:p>
        </w:tc>
        <w:tc>
          <w:tcPr>
            <w:tcW w:w="760" w:type="dxa"/>
            <w:vMerge w:val="restart"/>
            <w:noWrap w:val="0"/>
            <w:vAlign w:val="center"/>
          </w:tcPr>
          <w:p>
            <w:pPr>
              <w:pStyle w:val="16"/>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废气</w:t>
            </w:r>
          </w:p>
        </w:tc>
        <w:tc>
          <w:tcPr>
            <w:tcW w:w="920" w:type="dxa"/>
            <w:noWrap w:val="0"/>
            <w:vAlign w:val="center"/>
          </w:tcPr>
          <w:p>
            <w:pPr>
              <w:pStyle w:val="16"/>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有组织</w:t>
            </w:r>
          </w:p>
        </w:tc>
        <w:tc>
          <w:tcPr>
            <w:tcW w:w="1240" w:type="dxa"/>
            <w:noWrap w:val="0"/>
            <w:vAlign w:val="center"/>
          </w:tcPr>
          <w:p>
            <w:pPr>
              <w:pStyle w:val="16"/>
              <w:ind w:firstLine="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rPr>
              <w:t>P</w:t>
            </w:r>
            <w:r>
              <w:rPr>
                <w:rFonts w:hint="default" w:ascii="Times New Roman" w:hAnsi="Times New Roman" w:eastAsia="宋体" w:cs="Times New Roman"/>
                <w:bCs/>
                <w:color w:val="auto"/>
                <w:szCs w:val="21"/>
                <w:lang w:val="en-US" w:eastAsia="zh-CN"/>
              </w:rPr>
              <w:t>1</w:t>
            </w:r>
          </w:p>
        </w:tc>
        <w:tc>
          <w:tcPr>
            <w:tcW w:w="2460" w:type="dxa"/>
            <w:noWrap w:val="0"/>
            <w:vAlign w:val="center"/>
          </w:tcPr>
          <w:p>
            <w:pPr>
              <w:pStyle w:val="16"/>
              <w:ind w:firstLine="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rPr>
              <w:t>颗粒物</w:t>
            </w:r>
          </w:p>
        </w:tc>
        <w:tc>
          <w:tcPr>
            <w:tcW w:w="3253" w:type="dxa"/>
            <w:vMerge w:val="restart"/>
            <w:noWrap w:val="0"/>
            <w:vAlign w:val="center"/>
          </w:tcPr>
          <w:p>
            <w:pPr>
              <w:pStyle w:val="16"/>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1次/半年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dxa"/>
            <w:vMerge w:val="continue"/>
            <w:noWrap w:val="0"/>
            <w:vAlign w:val="center"/>
          </w:tcPr>
          <w:p>
            <w:pPr>
              <w:pStyle w:val="16"/>
              <w:ind w:firstLine="0"/>
              <w:jc w:val="center"/>
              <w:rPr>
                <w:rFonts w:hint="default" w:ascii="Times New Roman" w:hAnsi="Times New Roman" w:eastAsia="宋体" w:cs="Times New Roman"/>
                <w:bCs/>
                <w:color w:val="auto"/>
                <w:szCs w:val="21"/>
              </w:rPr>
            </w:pPr>
          </w:p>
        </w:tc>
        <w:tc>
          <w:tcPr>
            <w:tcW w:w="760" w:type="dxa"/>
            <w:vMerge w:val="continue"/>
            <w:noWrap w:val="0"/>
            <w:vAlign w:val="center"/>
          </w:tcPr>
          <w:p>
            <w:pPr>
              <w:pStyle w:val="16"/>
              <w:ind w:firstLine="0"/>
              <w:jc w:val="center"/>
              <w:rPr>
                <w:rFonts w:hint="default" w:ascii="Times New Roman" w:hAnsi="Times New Roman" w:eastAsia="宋体" w:cs="Times New Roman"/>
                <w:bCs/>
                <w:color w:val="auto"/>
                <w:szCs w:val="21"/>
              </w:rPr>
            </w:pPr>
          </w:p>
        </w:tc>
        <w:tc>
          <w:tcPr>
            <w:tcW w:w="920" w:type="dxa"/>
            <w:noWrap w:val="0"/>
            <w:vAlign w:val="center"/>
          </w:tcPr>
          <w:p>
            <w:pPr>
              <w:pStyle w:val="16"/>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无组织</w:t>
            </w:r>
          </w:p>
        </w:tc>
        <w:tc>
          <w:tcPr>
            <w:tcW w:w="1240" w:type="dxa"/>
            <w:noWrap w:val="0"/>
            <w:vAlign w:val="center"/>
          </w:tcPr>
          <w:p>
            <w:pPr>
              <w:pStyle w:val="16"/>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厂界</w:t>
            </w:r>
          </w:p>
        </w:tc>
        <w:tc>
          <w:tcPr>
            <w:tcW w:w="2460" w:type="dxa"/>
            <w:noWrap w:val="0"/>
            <w:vAlign w:val="center"/>
          </w:tcPr>
          <w:p>
            <w:pPr>
              <w:pStyle w:val="16"/>
              <w:ind w:firstLine="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rPr>
              <w:t>颗粒物</w:t>
            </w:r>
          </w:p>
        </w:tc>
        <w:tc>
          <w:tcPr>
            <w:tcW w:w="3253" w:type="dxa"/>
            <w:vMerge w:val="continue"/>
            <w:noWrap w:val="0"/>
            <w:vAlign w:val="center"/>
          </w:tcPr>
          <w:p>
            <w:pPr>
              <w:pStyle w:val="16"/>
              <w:ind w:firstLine="0"/>
              <w:jc w:val="center"/>
              <w:rPr>
                <w:rFonts w:hint="default" w:ascii="Times New Roman" w:hAnsi="Times New Roman" w:eastAsia="宋体" w:cs="Times New Roman"/>
                <w:bCs/>
                <w:color w:val="auto"/>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dxa"/>
            <w:noWrap w:val="0"/>
            <w:vAlign w:val="center"/>
          </w:tcPr>
          <w:p>
            <w:pPr>
              <w:pStyle w:val="16"/>
              <w:ind w:firstLine="0"/>
              <w:jc w:val="center"/>
              <w:rPr>
                <w:rFonts w:hint="default" w:ascii="Times New Roman" w:hAnsi="Times New Roman" w:eastAsia="宋体" w:cs="Times New Roman"/>
                <w:bCs/>
                <w:color w:val="auto"/>
                <w:szCs w:val="21"/>
                <w:lang w:eastAsia="zh-CN"/>
              </w:rPr>
            </w:pPr>
            <w:r>
              <w:rPr>
                <w:rFonts w:hint="default" w:ascii="Times New Roman" w:hAnsi="Times New Roman" w:eastAsia="宋体" w:cs="Times New Roman"/>
                <w:bCs/>
                <w:color w:val="auto"/>
                <w:szCs w:val="21"/>
                <w:lang w:val="en-US" w:eastAsia="zh-CN"/>
              </w:rPr>
              <w:t>2</w:t>
            </w:r>
          </w:p>
        </w:tc>
        <w:tc>
          <w:tcPr>
            <w:tcW w:w="760" w:type="dxa"/>
            <w:noWrap w:val="0"/>
            <w:vAlign w:val="center"/>
          </w:tcPr>
          <w:p>
            <w:pPr>
              <w:pStyle w:val="16"/>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噪声</w:t>
            </w:r>
          </w:p>
        </w:tc>
        <w:tc>
          <w:tcPr>
            <w:tcW w:w="2160" w:type="dxa"/>
            <w:gridSpan w:val="2"/>
            <w:noWrap w:val="0"/>
            <w:vAlign w:val="center"/>
          </w:tcPr>
          <w:p>
            <w:pPr>
              <w:pStyle w:val="16"/>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厂区边界外1m噪声</w:t>
            </w:r>
          </w:p>
        </w:tc>
        <w:tc>
          <w:tcPr>
            <w:tcW w:w="2460" w:type="dxa"/>
            <w:noWrap w:val="0"/>
            <w:vAlign w:val="center"/>
          </w:tcPr>
          <w:p>
            <w:pPr>
              <w:pStyle w:val="16"/>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厂界等效噪声级Leq</w:t>
            </w:r>
          </w:p>
        </w:tc>
        <w:tc>
          <w:tcPr>
            <w:tcW w:w="3253" w:type="dxa"/>
            <w:noWrap w:val="0"/>
            <w:vAlign w:val="center"/>
          </w:tcPr>
          <w:p>
            <w:pPr>
              <w:pStyle w:val="16"/>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1次/半年（</w:t>
            </w:r>
            <w:r>
              <w:rPr>
                <w:rFonts w:hint="default" w:ascii="Times New Roman" w:hAnsi="Times New Roman" w:eastAsia="宋体" w:cs="Times New Roman"/>
                <w:color w:val="auto"/>
                <w:szCs w:val="21"/>
              </w:rPr>
              <w:t>昼、夜各一次</w:t>
            </w:r>
            <w:r>
              <w:rPr>
                <w:rFonts w:hint="default" w:ascii="Times New Roman" w:hAnsi="Times New Roman" w:eastAsia="宋体" w:cs="Times New Roman"/>
                <w:bCs/>
                <w:color w:val="auto"/>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dxa"/>
            <w:noWrap w:val="0"/>
            <w:vAlign w:val="center"/>
          </w:tcPr>
          <w:p>
            <w:pPr>
              <w:pStyle w:val="16"/>
              <w:ind w:firstLine="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3</w:t>
            </w:r>
          </w:p>
        </w:tc>
        <w:tc>
          <w:tcPr>
            <w:tcW w:w="760" w:type="dxa"/>
            <w:noWrap w:val="0"/>
            <w:vAlign w:val="center"/>
          </w:tcPr>
          <w:p>
            <w:pPr>
              <w:pStyle w:val="16"/>
              <w:ind w:firstLine="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土壤</w:t>
            </w:r>
          </w:p>
        </w:tc>
        <w:tc>
          <w:tcPr>
            <w:tcW w:w="2160" w:type="dxa"/>
            <w:gridSpan w:val="2"/>
            <w:noWrap w:val="0"/>
            <w:vAlign w:val="center"/>
          </w:tcPr>
          <w:p>
            <w:pPr>
              <w:pStyle w:val="16"/>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color w:val="auto"/>
                <w:sz w:val="21"/>
                <w:szCs w:val="21"/>
                <w:lang w:val="en-US" w:eastAsia="zh-CN"/>
              </w:rPr>
              <w:t>厂界常年主导风向下风向300m设一点</w:t>
            </w:r>
          </w:p>
        </w:tc>
        <w:tc>
          <w:tcPr>
            <w:tcW w:w="2460" w:type="dxa"/>
            <w:noWrap w:val="0"/>
            <w:vAlign w:val="center"/>
          </w:tcPr>
          <w:p>
            <w:pPr>
              <w:pStyle w:val="16"/>
              <w:ind w:firstLine="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45项基本因子+石油烃</w:t>
            </w:r>
          </w:p>
        </w:tc>
        <w:tc>
          <w:tcPr>
            <w:tcW w:w="3253" w:type="dxa"/>
            <w:noWrap w:val="0"/>
            <w:vAlign w:val="center"/>
          </w:tcPr>
          <w:p>
            <w:pPr>
              <w:pStyle w:val="16"/>
              <w:ind w:firstLine="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5次/年</w:t>
            </w:r>
          </w:p>
        </w:tc>
      </w:tr>
    </w:tbl>
    <w:p>
      <w:pPr>
        <w:pStyle w:val="150"/>
        <w:spacing w:beforeLines="50" w:line="480" w:lineRule="exact"/>
        <w:ind w:firstLine="0" w:firstLineChars="0"/>
        <w:rPr>
          <w:rFonts w:hint="default" w:ascii="Times New Roman" w:hAnsi="Times New Roman" w:eastAsia="宋体" w:cs="Times New Roman"/>
          <w:color w:val="auto"/>
          <w:kern w:val="2"/>
          <w:szCs w:val="22"/>
          <w:lang w:val="en-US" w:eastAsia="zh-CN"/>
        </w:rPr>
      </w:pPr>
      <w:r>
        <w:rPr>
          <w:rFonts w:hint="default" w:ascii="Times New Roman" w:hAnsi="Times New Roman" w:eastAsia="宋体" w:cs="Times New Roman"/>
          <w:color w:val="auto"/>
          <w:kern w:val="2"/>
          <w:szCs w:val="22"/>
          <w:lang w:val="en-US" w:eastAsia="zh-CN"/>
        </w:rPr>
        <w:t>表9.4-2                    地下水跟踪监测计划表</w:t>
      </w:r>
    </w:p>
    <w:tbl>
      <w:tblPr>
        <w:tblStyle w:val="51"/>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190"/>
        <w:gridCol w:w="1381"/>
        <w:gridCol w:w="764"/>
        <w:gridCol w:w="834"/>
        <w:gridCol w:w="1535"/>
        <w:gridCol w:w="766"/>
        <w:gridCol w:w="1381"/>
        <w:gridCol w:w="143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64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功能</w:t>
            </w:r>
          </w:p>
        </w:tc>
        <w:tc>
          <w:tcPr>
            <w:tcW w:w="74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点位</w:t>
            </w:r>
          </w:p>
        </w:tc>
        <w:tc>
          <w:tcPr>
            <w:tcW w:w="41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孔号</w:t>
            </w:r>
          </w:p>
        </w:tc>
        <w:tc>
          <w:tcPr>
            <w:tcW w:w="449"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孔深</w:t>
            </w:r>
          </w:p>
        </w:tc>
        <w:tc>
          <w:tcPr>
            <w:tcW w:w="826"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监测项目</w:t>
            </w:r>
          </w:p>
        </w:tc>
        <w:tc>
          <w:tcPr>
            <w:tcW w:w="41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监测层位</w:t>
            </w:r>
          </w:p>
        </w:tc>
        <w:tc>
          <w:tcPr>
            <w:tcW w:w="74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频率</w:t>
            </w:r>
          </w:p>
        </w:tc>
        <w:tc>
          <w:tcPr>
            <w:tcW w:w="77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单位</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64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上游背景值监测点</w:t>
            </w:r>
          </w:p>
        </w:tc>
        <w:tc>
          <w:tcPr>
            <w:tcW w:w="74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厂区西北侧</w:t>
            </w:r>
          </w:p>
        </w:tc>
        <w:tc>
          <w:tcPr>
            <w:tcW w:w="41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49"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5-10m</w:t>
            </w:r>
          </w:p>
        </w:tc>
        <w:tc>
          <w:tcPr>
            <w:tcW w:w="826"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pH、总硬度、溶解性总固体、硫酸盐、硫化物、氯化物、氟化物、耗氧量、氨氮、亚硝酸盐、硝酸盐、六价铬、汞、砷、镉、铅、铁、锰、锌、铜、石油类，共21项</w:t>
            </w:r>
          </w:p>
        </w:tc>
        <w:tc>
          <w:tcPr>
            <w:tcW w:w="412"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潜水</w:t>
            </w:r>
          </w:p>
        </w:tc>
        <w:tc>
          <w:tcPr>
            <w:tcW w:w="74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每年枯水期</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一次</w:t>
            </w:r>
          </w:p>
        </w:tc>
        <w:tc>
          <w:tcPr>
            <w:tcW w:w="773"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设立地下水跟踪监测小组，专人负责监测。</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641"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污染监控点</w:t>
            </w:r>
          </w:p>
        </w:tc>
        <w:tc>
          <w:tcPr>
            <w:tcW w:w="74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破碎车间</w:t>
            </w:r>
          </w:p>
        </w:tc>
        <w:tc>
          <w:tcPr>
            <w:tcW w:w="41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449"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c>
          <w:tcPr>
            <w:tcW w:w="826"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c>
          <w:tcPr>
            <w:tcW w:w="743"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逢单月监测一次，全年六次</w:t>
            </w:r>
          </w:p>
        </w:tc>
        <w:tc>
          <w:tcPr>
            <w:tcW w:w="773"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641"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c>
          <w:tcPr>
            <w:tcW w:w="74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尾矿仓</w:t>
            </w:r>
          </w:p>
        </w:tc>
        <w:tc>
          <w:tcPr>
            <w:tcW w:w="41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449"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c>
          <w:tcPr>
            <w:tcW w:w="826"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c>
          <w:tcPr>
            <w:tcW w:w="743"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c>
          <w:tcPr>
            <w:tcW w:w="773"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64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下游污染扩散监测点</w:t>
            </w:r>
          </w:p>
        </w:tc>
        <w:tc>
          <w:tcPr>
            <w:tcW w:w="743"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厂区东南侧</w:t>
            </w:r>
          </w:p>
        </w:tc>
        <w:tc>
          <w:tcPr>
            <w:tcW w:w="411"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449"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c>
          <w:tcPr>
            <w:tcW w:w="826"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c>
          <w:tcPr>
            <w:tcW w:w="41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c>
          <w:tcPr>
            <w:tcW w:w="743"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c>
          <w:tcPr>
            <w:tcW w:w="773"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rPr>
            </w:pPr>
          </w:p>
        </w:tc>
      </w:tr>
    </w:tbl>
    <w:p>
      <w:pPr>
        <w:pStyle w:val="16"/>
        <w:spacing w:line="360" w:lineRule="auto"/>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根据《排污单位自行监测技术指南 总则》（HJ819-2017）标准及上表监测方案，排污单位应在生产运营阶段对上述废气和厂界噪声等污染源开展监测及环境质量监测。企业可根据自身条件和能力，利用自有人员、场所和设备开展自行监测，按照规定设置满足开展监测所需要的监测设施，所设废水排放口，废气（采样）监测平台、监测断面和监测孔的设置应符合监测规范要求。监测平台应便于开展监测活动，能保证监测人员的安全，废水排放口应安装自动测流设施并开展流量自动监测。</w:t>
      </w:r>
    </w:p>
    <w:p>
      <w:pPr>
        <w:pStyle w:val="16"/>
        <w:spacing w:line="360" w:lineRule="auto"/>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若不具备监测条件时，则将委托其它有资质监测单位进行监测，监测结果以报表形式上报当地环境保护主管部门。</w:t>
      </w:r>
    </w:p>
    <w:p>
      <w:pPr>
        <w:pStyle w:val="16"/>
        <w:spacing w:line="360" w:lineRule="auto"/>
        <w:ind w:firstLine="480" w:firstLineChars="200"/>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地下水跟踪监测点位图见图9.4-1。</w:t>
      </w:r>
    </w:p>
    <w:p>
      <w:pPr>
        <w:pStyle w:val="4"/>
        <w:spacing w:line="360" w:lineRule="auto"/>
        <w:rPr>
          <w:rFonts w:hint="default" w:ascii="Times New Roman" w:hAnsi="Times New Roman" w:eastAsia="宋体" w:cs="Times New Roman"/>
          <w:color w:val="auto"/>
          <w:sz w:val="28"/>
          <w:szCs w:val="28"/>
          <w:lang w:val="en-US" w:eastAsia="zh-CN"/>
        </w:rPr>
      </w:pPr>
      <w:bookmarkStart w:id="473" w:name="_Toc17610"/>
      <w:bookmarkStart w:id="474" w:name="_Toc3156"/>
      <w:r>
        <w:rPr>
          <w:rFonts w:hint="default" w:ascii="Times New Roman" w:hAnsi="Times New Roman" w:eastAsia="宋体" w:cs="Times New Roman"/>
          <w:color w:val="auto"/>
          <w:sz w:val="28"/>
          <w:szCs w:val="28"/>
          <w:lang w:val="en-US" w:eastAsia="zh-CN"/>
        </w:rPr>
        <w:t>9.5污染物排放清单</w:t>
      </w:r>
      <w:bookmarkEnd w:id="473"/>
      <w:bookmarkEnd w:id="474"/>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本项目污染物排放清单见表9.5-1。</w:t>
      </w:r>
    </w:p>
    <w:p>
      <w:pPr>
        <w:rPr>
          <w:rFonts w:hint="default" w:ascii="Times New Roman" w:hAnsi="Times New Roman" w:eastAsia="宋体" w:cs="Times New Roman"/>
          <w:color w:val="auto"/>
          <w:lang w:val="en-US" w:eastAsia="zh-CN"/>
        </w:rPr>
      </w:pPr>
    </w:p>
    <w:p>
      <w:pPr>
        <w:pStyle w:val="150"/>
        <w:spacing w:beforeLines="50" w:line="480" w:lineRule="exact"/>
        <w:ind w:firstLine="0" w:firstLineChars="0"/>
        <w:rPr>
          <w:rFonts w:hint="default" w:ascii="Times New Roman" w:hAnsi="Times New Roman" w:eastAsia="宋体" w:cs="Times New Roman"/>
          <w:color w:val="auto"/>
          <w:kern w:val="2"/>
          <w:szCs w:val="22"/>
          <w:lang w:val="en-US" w:eastAsia="zh-CN"/>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p>
      <w:pPr>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color w:val="auto"/>
          <w:sz w:val="24"/>
        </w:rPr>
        <w:pict>
          <v:rect id="_x0000_s2822" o:spid="_x0000_s2822" o:spt="1" style="position:absolute;left:0pt;margin-left:265.7pt;margin-top:464.95pt;height:10pt;width:10.5pt;z-index:251728896;v-text-anchor:middle;mso-width-relative:page;mso-height-relative:page;" fillcolor="#376092" filled="t" stroked="t" coordsize="21600,21600" o:gfxdata="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IO3o8fZAAAACwEAAA8AAAAA&#10;AAAAAQAgAAAAIgAAAGRycy9kb3ducmV2LnhtbFBLAQIUABQAAAAIAIdO4kDHQa6ehQIAACMFAAAO&#10;AAAAAAAAAAEAIAAAACgBAABkcnMvZTJvRG9jLnhtbFBLBQYAAAAABgAGAFkBAAAfBgAAAAA=&#10;">
            <v:path/>
            <v:fill on="t" focussize="0,0"/>
            <v:stroke weight="2pt" color="#385D8A" joinstyle="round"/>
            <v:imagedata o:title=""/>
            <o:lock v:ext="edit" aspectratio="f"/>
          </v:rect>
        </w:pict>
      </w:r>
      <w:r>
        <w:rPr>
          <w:rFonts w:hint="default" w:ascii="Times New Roman" w:hAnsi="Times New Roman" w:eastAsia="宋体" w:cs="Times New Roman"/>
          <w:color w:val="auto"/>
          <w:sz w:val="24"/>
        </w:rPr>
        <w:pict>
          <v:rect id="矩形 38" o:spid="_x0000_s2823" o:spt="1" style="position:absolute;left:0pt;margin-left:247.3pt;margin-top:74.95pt;height:10pt;width:10.5pt;z-index:251729920;v-text-anchor:middle;mso-width-relative:page;mso-height-relative:page;" fillcolor="#376092" filled="t" stroked="t" coordsize="21600,21600" o:gfxdata="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TKxNZdgAAAALAQAADwAAAAAA&#10;AAABACAAAAAiAAAAZHJzL2Rvd25yZXYueG1sUEsBAhQAFAAAAAgAh07iQFBW53SFAgAAIQUAAA4A&#10;AAAAAAAAAQAgAAAAJwEAAGRycy9lMm9Eb2MueG1sUEsFBgAAAAAGAAYAWQEAAB4GAAAAAA==&#10;">
            <v:path/>
            <v:fill on="t" focussize="0,0"/>
            <v:stroke weight="2pt" color="#385D8A" joinstyle="round"/>
            <v:imagedata o:title=""/>
            <o:lock v:ext="edit" aspectratio="f"/>
          </v:rect>
        </w:pict>
      </w:r>
      <w:r>
        <w:rPr>
          <w:rFonts w:hint="default" w:ascii="Times New Roman" w:hAnsi="Times New Roman" w:eastAsia="宋体" w:cs="Times New Roman"/>
          <w:color w:val="auto"/>
          <w:sz w:val="24"/>
        </w:rPr>
        <w:pict>
          <v:rect id="矩形 99" o:spid="_x0000_s2821" o:spt="1" style="position:absolute;left:0pt;margin-left:206.9pt;margin-top:166.65pt;height:10pt;width:10.5pt;z-index:251726848;v-text-anchor:middle;mso-width-relative:page;mso-height-relative:page;" fillcolor="#376092" filled="t" stroked="t" coordsize="21600,21600" o:gfxdata="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GTo3Y3a&#10;AAAACwEAAA8AAAAAAAAAAQAgAAAAIgAAAGRycy9kb3ducmV2LnhtbFBLAQIUABQAAAAIAIdO4kDn&#10;/Rg4kAIAAC0FAAAOAAAAAAAAAAEAIAAAACkBAABkcnMvZTJvRG9jLnhtbFBLBQYAAAAABgAGAFkB&#10;AAArBgAAAAA=&#10;">
            <v:path/>
            <v:fill on="t" focussize="0,0"/>
            <v:stroke weight="2pt" color="#385D8A" joinstyle="round"/>
            <v:imagedata o:title=""/>
            <o:lock v:ext="edit" aspectratio="f"/>
          </v:rect>
        </w:pict>
      </w:r>
      <w:r>
        <w:rPr>
          <w:rFonts w:hint="default" w:ascii="Times New Roman" w:hAnsi="Times New Roman" w:eastAsia="宋体" w:cs="Times New Roman"/>
          <w:color w:val="auto"/>
          <w:sz w:val="24"/>
        </w:rPr>
        <w:pict>
          <v:rect id="矩形 107" o:spid="_x0000_s2824" o:spt="1" style="position:absolute;left:0pt;margin-left:323.2pt;margin-top:256.35pt;height:10pt;width:10.5pt;z-index:251727872;v-text-anchor:middle;mso-width-relative:page;mso-height-relative:page;" fillcolor="#376092" filled="t" stroked="t" coordsize="21600,21600" o:gfxdata="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T9czR9oAAAALAQAADwAA&#10;AAAAAAABACAAAAAiAAAAZHJzL2Rvd25yZXYueG1sUEsBAhQAFAAAAAgAh07iQHbSUkKGAgAAIwUA&#10;AA4AAAAAAAAAAQAgAAAAKQEAAGRycy9lMm9Eb2MueG1sUEsFBgAAAAAGAAYAWQEAACEGAAAAAA==&#10;">
            <v:path/>
            <v:fill on="t" focussize="0,0"/>
            <v:stroke weight="2pt" color="#385D8A" joinstyle="round"/>
            <v:imagedata o:title=""/>
            <o:lock v:ext="edit" aspectratio="f"/>
          </v:rect>
        </w:pict>
      </w:r>
      <w:r>
        <w:rPr>
          <w:rFonts w:hint="default" w:ascii="Times New Roman" w:hAnsi="Times New Roman" w:eastAsia="宋体" w:cs="Times New Roman"/>
          <w:color w:val="auto"/>
          <w:sz w:val="24"/>
        </w:rPr>
        <w:pict>
          <v:rect id="_x0000_s2820" o:spid="_x0000_s2820" o:spt="1" style="position:absolute;left:0pt;margin-left:334.35pt;margin-top:510.95pt;height:51.5pt;width:106.75pt;z-index:251730944;v-text-anchor:middle;mso-width-relative:page;mso-height-relative:page;" fillcolor="#FFFFFF" filled="t" stroked="t" coordsize="21600,21600" o:gfxdata="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CH8YTG2gAAAAwBAAAP&#10;AAAAAAAAAAEAIAAAACIAAABkcnMvZG93bnJldi54bWxQSwECFAAUAAAACACHTuJAK+BNAIgCAAAY&#10;BQAADgAAAAAAAAABACAAAAApAQAAZHJzL2Uyb0RvYy54bWxQSwUGAAAAAAYABgBZAQAAIwYAAAAA&#10;">
            <v:path/>
            <v:fill on="t" color2="#FFFFFF" focussize="0,0"/>
            <v:stroke weight="2pt" color="#385D8A" joinstyle="round"/>
            <v:imagedata o:title=""/>
            <o:lock v:ext="edit" aspectratio="f"/>
            <v:textbox>
              <w:txbxContent>
                <w:p>
                  <w:pPr>
                    <w:jc w:val="center"/>
                    <w:rPr>
                      <w:rFonts w:hint="eastAsia"/>
                      <w:color w:val="000000" w:themeColor="text1"/>
                      <w:lang w:val="en-US" w:eastAsia="zh-CN"/>
                    </w:rPr>
                  </w:pPr>
                  <w:r>
                    <w:rPr>
                      <w:rFonts w:hint="eastAsia"/>
                      <w:color w:val="000000" w:themeColor="text1"/>
                      <w:lang w:val="en-US" w:eastAsia="zh-CN"/>
                    </w:rPr>
                    <w:t>图例</w:t>
                  </w:r>
                </w:p>
                <w:p>
                  <w:pPr>
                    <w:pStyle w:val="61"/>
                    <w:rPr>
                      <w:rFonts w:hint="eastAsia"/>
                      <w:color w:val="000000" w:themeColor="text1"/>
                      <w:lang w:val="en-US" w:eastAsia="zh-CN"/>
                    </w:rPr>
                  </w:pPr>
                  <w:r>
                    <w:rPr>
                      <w:rFonts w:hint="eastAsia"/>
                      <w:lang w:val="en-US" w:eastAsia="zh-CN"/>
                    </w:rPr>
                    <w:t xml:space="preserve">  </w:t>
                  </w:r>
                  <w:r>
                    <w:rPr>
                      <w:rFonts w:hint="eastAsia"/>
                      <w:color w:val="000000" w:themeColor="text1"/>
                      <w:lang w:val="en-US" w:eastAsia="zh-CN"/>
                    </w:rPr>
                    <w:t>地下水监测井</w:t>
                  </w:r>
                </w:p>
                <w:p>
                  <w:pPr>
                    <w:rPr>
                      <w:rFonts w:hint="default"/>
                      <w:lang w:val="en-US" w:eastAsia="zh-CN"/>
                    </w:rPr>
                  </w:pPr>
                  <w:r>
                    <w:rPr>
                      <w:rFonts w:hint="eastAsia"/>
                      <w:color w:val="000000" w:themeColor="text1"/>
                      <w:lang w:val="en-US" w:eastAsia="zh-CN"/>
                    </w:rPr>
                    <w:t xml:space="preserve">  </w:t>
                  </w:r>
                </w:p>
              </w:txbxContent>
            </v:textbox>
          </v:rect>
        </w:pict>
      </w:r>
      <w:r>
        <w:rPr>
          <w:rFonts w:hint="default" w:ascii="Times New Roman" w:hAnsi="Times New Roman" w:eastAsia="宋体" w:cs="Times New Roman"/>
          <w:lang w:val="en-US" w:eastAsia="zh-CN"/>
        </w:rPr>
        <w:drawing>
          <wp:inline distT="0" distB="0" distL="114300" distR="114300">
            <wp:extent cx="5812790" cy="6567805"/>
            <wp:effectExtent l="0" t="0" r="8890" b="635"/>
            <wp:docPr id="96" name="图片 96" descr="16388519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1638851993(1)"/>
                    <pic:cNvPicPr>
                      <a:picLocks noChangeAspect="1"/>
                    </pic:cNvPicPr>
                  </pic:nvPicPr>
                  <pic:blipFill>
                    <a:blip r:embed="rId119"/>
                    <a:stretch>
                      <a:fillRect/>
                    </a:stretch>
                  </pic:blipFill>
                  <pic:spPr>
                    <a:xfrm>
                      <a:off x="0" y="0"/>
                      <a:ext cx="5812790" cy="6567805"/>
                    </a:xfrm>
                    <a:prstGeom prst="rect">
                      <a:avLst/>
                    </a:prstGeom>
                  </pic:spPr>
                </pic:pic>
              </a:graphicData>
            </a:graphic>
          </wp:inline>
        </w:drawing>
      </w:r>
    </w:p>
    <w:p>
      <w:pPr>
        <w:pStyle w:val="150"/>
        <w:spacing w:beforeLines="50" w:line="480" w:lineRule="exact"/>
        <w:ind w:firstLine="0" w:firstLineChars="0"/>
        <w:rPr>
          <w:rFonts w:hint="default" w:ascii="Times New Roman" w:hAnsi="Times New Roman" w:eastAsia="宋体" w:cs="Times New Roman"/>
          <w:color w:val="auto"/>
          <w:kern w:val="2"/>
          <w:szCs w:val="22"/>
          <w:lang w:val="en-US" w:eastAsia="zh-CN"/>
        </w:rPr>
      </w:pPr>
      <w:r>
        <w:rPr>
          <w:rFonts w:hint="default" w:ascii="Times New Roman" w:hAnsi="Times New Roman" w:eastAsia="宋体" w:cs="Times New Roman"/>
          <w:color w:val="auto"/>
          <w:sz w:val="24"/>
        </w:rPr>
        <w:pict>
          <v:rect id="矩形 97" o:spid="_x0000_s2826" o:spt="1" style="position:absolute;left:0pt;margin-left:338.2pt;margin-top:14.85pt;height:13pt;width:10.5pt;z-index:251731968;v-text-anchor:middle;mso-width-relative:page;mso-height-relative:page;" fillcolor="#4F81BD" filled="t" stroked="t" coordsize="21600,21600" o:gfxdata="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BzM39o2gAAAAwBAAAPAAAA&#10;AAAAAAEAIAAAACIAAABkcnMvZG93bnJldi54bWxQSwECFAAUAAAACACHTuJA88BN94UCAAALBQAA&#10;DgAAAAAAAAABACAAAAApAQAAZHJzL2Uyb0RvYy54bWxQSwUGAAAAAAYABgBZAQAAIAYAAAAA&#10;">
            <v:path/>
            <v:fill on="t" focussize="0,0"/>
            <v:stroke weight="2pt" color="#385D8A" joinstyle="round"/>
            <v:imagedata o:title=""/>
            <o:lock v:ext="edit" aspectratio="f"/>
          </v:rect>
        </w:pict>
      </w:r>
    </w:p>
    <w:p>
      <w:pPr>
        <w:jc w:val="center"/>
        <w:rPr>
          <w:rFonts w:hint="default" w:ascii="Times New Roman" w:hAnsi="Times New Roman" w:eastAsia="宋体" w:cs="Times New Roman"/>
          <w:b/>
          <w:bCs/>
          <w:color w:val="auto"/>
          <w:sz w:val="24"/>
          <w:szCs w:val="24"/>
          <w:highlight w:val="none"/>
          <w:lang w:val="en-US" w:eastAsia="zh-CN"/>
        </w:rPr>
      </w:pPr>
    </w:p>
    <w:p>
      <w:pPr>
        <w:jc w:val="center"/>
        <w:rPr>
          <w:rFonts w:hint="default" w:ascii="Times New Roman" w:hAnsi="Times New Roman" w:eastAsia="宋体" w:cs="Times New Roman"/>
          <w:b/>
          <w:bCs/>
          <w:color w:val="auto"/>
          <w:sz w:val="24"/>
          <w:szCs w:val="24"/>
          <w:highlight w:val="none"/>
          <w:lang w:val="en-US" w:eastAsia="zh-CN"/>
        </w:rPr>
      </w:pPr>
    </w:p>
    <w:p>
      <w:pPr>
        <w:jc w:val="center"/>
        <w:rPr>
          <w:rFonts w:hint="default" w:ascii="Times New Roman" w:hAnsi="Times New Roman" w:eastAsia="宋体" w:cs="Times New Roman"/>
          <w:b/>
          <w:bCs/>
          <w:color w:val="auto"/>
          <w:sz w:val="24"/>
          <w:szCs w:val="24"/>
          <w:highlight w:val="none"/>
          <w:lang w:val="en-US" w:eastAsia="zh-CN"/>
        </w:rPr>
      </w:pPr>
    </w:p>
    <w:p>
      <w:pPr>
        <w:jc w:val="center"/>
        <w:rPr>
          <w:rFonts w:hint="default" w:ascii="Times New Roman" w:hAnsi="Times New Roman" w:eastAsia="宋体" w:cs="Times New Roman"/>
          <w:b/>
          <w:bCs/>
          <w:color w:val="auto"/>
          <w:sz w:val="24"/>
          <w:szCs w:val="24"/>
          <w:highlight w:val="none"/>
          <w:lang w:val="en-US" w:eastAsia="zh-CN"/>
        </w:rPr>
      </w:pPr>
    </w:p>
    <w:p>
      <w:pPr>
        <w:jc w:val="center"/>
        <w:rPr>
          <w:rFonts w:hint="default" w:ascii="Times New Roman" w:hAnsi="Times New Roman" w:eastAsia="宋体" w:cs="Times New Roman"/>
          <w:b/>
          <w:bCs/>
          <w:color w:val="auto"/>
          <w:sz w:val="24"/>
          <w:szCs w:val="24"/>
          <w:highlight w:val="none"/>
          <w:lang w:val="en-US" w:eastAsia="zh-CN"/>
        </w:rPr>
      </w:pPr>
    </w:p>
    <w:p>
      <w:pPr>
        <w:jc w:val="center"/>
        <w:rPr>
          <w:rFonts w:hint="default" w:ascii="Times New Roman" w:hAnsi="Times New Roman" w:eastAsia="宋体" w:cs="Times New Roman"/>
          <w:b/>
          <w:bCs/>
          <w:color w:val="auto"/>
          <w:sz w:val="24"/>
          <w:szCs w:val="24"/>
          <w:highlight w:val="none"/>
          <w:lang w:val="en-US" w:eastAsia="zh-CN"/>
        </w:rPr>
      </w:pPr>
    </w:p>
    <w:p>
      <w:pPr>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图9.4-1  地下水跟踪监测点位图</w:t>
      </w:r>
    </w:p>
    <w:p>
      <w:pPr>
        <w:bidi w:val="0"/>
        <w:rPr>
          <w:rFonts w:hint="default" w:ascii="Times New Roman" w:hAnsi="Times New Roman" w:eastAsia="宋体" w:cs="Times New Roman"/>
          <w:lang w:val="en-US" w:eastAsia="zh-CN"/>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p>
      <w:pPr>
        <w:pStyle w:val="150"/>
        <w:spacing w:beforeLines="50" w:line="480" w:lineRule="exact"/>
        <w:ind w:firstLine="0" w:firstLineChars="0"/>
        <w:rPr>
          <w:rFonts w:hint="default" w:ascii="Times New Roman" w:hAnsi="Times New Roman" w:eastAsia="宋体" w:cs="Times New Roman"/>
          <w:color w:val="auto"/>
          <w:kern w:val="2"/>
          <w:szCs w:val="22"/>
          <w:lang w:val="en-US" w:eastAsia="zh-CN"/>
        </w:rPr>
      </w:pPr>
      <w:r>
        <w:rPr>
          <w:rFonts w:hint="default" w:ascii="Times New Roman" w:hAnsi="Times New Roman" w:eastAsia="宋体" w:cs="Times New Roman"/>
          <w:color w:val="auto"/>
          <w:kern w:val="2"/>
          <w:szCs w:val="22"/>
          <w:lang w:val="en-US" w:eastAsia="zh-CN"/>
        </w:rPr>
        <w:t>表9.5-1                                         污染物排放清单</w:t>
      </w:r>
    </w:p>
    <w:tbl>
      <w:tblPr>
        <w:tblStyle w:val="5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9"/>
        <w:gridCol w:w="1060"/>
        <w:gridCol w:w="1040"/>
        <w:gridCol w:w="1040"/>
        <w:gridCol w:w="1060"/>
        <w:gridCol w:w="1040"/>
        <w:gridCol w:w="980"/>
        <w:gridCol w:w="1280"/>
        <w:gridCol w:w="1119"/>
        <w:gridCol w:w="1161"/>
        <w:gridCol w:w="1040"/>
        <w:gridCol w:w="25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9" w:type="dxa"/>
            <w:tcBorders>
              <w:left w:val="nil"/>
              <w:bottom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环境要素</w:t>
            </w:r>
          </w:p>
        </w:tc>
        <w:tc>
          <w:tcPr>
            <w:tcW w:w="2100" w:type="dxa"/>
            <w:gridSpan w:val="2"/>
            <w:tcBorders>
              <w:bottom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污染源</w:t>
            </w:r>
          </w:p>
        </w:tc>
        <w:tc>
          <w:tcPr>
            <w:tcW w:w="1040" w:type="dxa"/>
            <w:tcBorders>
              <w:bottom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污染特征</w:t>
            </w:r>
          </w:p>
        </w:tc>
        <w:tc>
          <w:tcPr>
            <w:tcW w:w="1060" w:type="dxa"/>
            <w:tcBorders>
              <w:bottom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产生浓度mg/m</w:t>
            </w:r>
            <w:r>
              <w:rPr>
                <w:rFonts w:hint="default" w:ascii="Times New Roman" w:hAnsi="Times New Roman" w:eastAsia="宋体" w:cs="Times New Roman"/>
                <w:bCs/>
                <w:color w:val="auto"/>
                <w:sz w:val="21"/>
                <w:szCs w:val="21"/>
                <w:vertAlign w:val="superscript"/>
                <w:lang w:val="en-US" w:eastAsia="zh-CN"/>
              </w:rPr>
              <w:t>3</w:t>
            </w:r>
          </w:p>
        </w:tc>
        <w:tc>
          <w:tcPr>
            <w:tcW w:w="1040" w:type="dxa"/>
            <w:tcBorders>
              <w:bottom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产生速率kg/h</w:t>
            </w:r>
          </w:p>
        </w:tc>
        <w:tc>
          <w:tcPr>
            <w:tcW w:w="980" w:type="dxa"/>
            <w:tcBorders>
              <w:bottom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产生量</w:t>
            </w:r>
          </w:p>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t/a</w:t>
            </w:r>
          </w:p>
        </w:tc>
        <w:tc>
          <w:tcPr>
            <w:tcW w:w="1280" w:type="dxa"/>
            <w:tcBorders>
              <w:bottom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污染防治措施</w:t>
            </w:r>
          </w:p>
        </w:tc>
        <w:tc>
          <w:tcPr>
            <w:tcW w:w="1120" w:type="dxa"/>
            <w:tcBorders>
              <w:bottom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排放浓度mg/m</w:t>
            </w:r>
            <w:r>
              <w:rPr>
                <w:rFonts w:hint="default" w:ascii="Times New Roman" w:hAnsi="Times New Roman" w:eastAsia="宋体" w:cs="Times New Roman"/>
                <w:bCs/>
                <w:color w:val="auto"/>
                <w:sz w:val="21"/>
                <w:szCs w:val="21"/>
                <w:vertAlign w:val="superscript"/>
                <w:lang w:val="en-US" w:eastAsia="zh-CN"/>
              </w:rPr>
              <w:t>3</w:t>
            </w:r>
          </w:p>
        </w:tc>
        <w:tc>
          <w:tcPr>
            <w:tcW w:w="1160" w:type="dxa"/>
            <w:tcBorders>
              <w:bottom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排放速率</w:t>
            </w:r>
          </w:p>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kg/h</w:t>
            </w:r>
          </w:p>
        </w:tc>
        <w:tc>
          <w:tcPr>
            <w:tcW w:w="1040" w:type="dxa"/>
            <w:tcBorders>
              <w:bottom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排放量t/a</w:t>
            </w:r>
          </w:p>
        </w:tc>
        <w:tc>
          <w:tcPr>
            <w:tcW w:w="2536" w:type="dxa"/>
            <w:tcBorders>
              <w:bottom w:val="single" w:color="auto" w:sz="4" w:space="0"/>
              <w:righ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9" w:type="dxa"/>
            <w:vMerge w:val="restart"/>
            <w:tcBorders>
              <w:top w:val="single" w:color="auto" w:sz="4" w:space="0"/>
              <w:lef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大气污染物</w:t>
            </w:r>
          </w:p>
        </w:tc>
        <w:tc>
          <w:tcPr>
            <w:tcW w:w="1060" w:type="dxa"/>
            <w:tcBorders>
              <w:top w:val="single" w:color="auto" w:sz="4" w:space="0"/>
              <w:bottom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破碎车间</w:t>
            </w:r>
          </w:p>
        </w:tc>
        <w:tc>
          <w:tcPr>
            <w:tcW w:w="1040" w:type="dxa"/>
            <w:tcBorders>
              <w:top w:val="single" w:color="auto" w:sz="4" w:space="0"/>
              <w:bottom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kern w:val="0"/>
                <w:szCs w:val="21"/>
                <w:lang w:val="en-US" w:eastAsia="zh-CN"/>
              </w:rPr>
              <w:t>颗粒物</w:t>
            </w:r>
          </w:p>
        </w:tc>
        <w:tc>
          <w:tcPr>
            <w:tcW w:w="1040" w:type="dxa"/>
            <w:tcBorders>
              <w:top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有组织排放</w:t>
            </w:r>
          </w:p>
        </w:tc>
        <w:tc>
          <w:tcPr>
            <w:tcW w:w="1060" w:type="dxa"/>
            <w:tcBorders>
              <w:top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167.15</w:t>
            </w:r>
          </w:p>
        </w:tc>
        <w:tc>
          <w:tcPr>
            <w:tcW w:w="1040" w:type="dxa"/>
            <w:tcBorders>
              <w:top w:val="single" w:color="auto" w:sz="4" w:space="0"/>
              <w:bottom w:val="single" w:color="auto" w:sz="4" w:space="0"/>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33.43</w:t>
            </w:r>
          </w:p>
        </w:tc>
        <w:tc>
          <w:tcPr>
            <w:tcW w:w="980" w:type="dxa"/>
            <w:tcBorders>
              <w:top w:val="single" w:color="auto" w:sz="4" w:space="0"/>
              <w:bottom w:val="single" w:color="auto" w:sz="4" w:space="0"/>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i w:val="0"/>
                <w:iCs w:val="0"/>
                <w:color w:val="auto"/>
                <w:sz w:val="21"/>
                <w:szCs w:val="21"/>
                <w:lang w:val="en-US" w:eastAsia="zh-CN"/>
              </w:rPr>
            </w:pPr>
            <w:r>
              <w:rPr>
                <w:rFonts w:hint="default" w:ascii="Times New Roman" w:hAnsi="Times New Roman" w:eastAsia="宋体" w:cs="Times New Roman"/>
                <w:b w:val="0"/>
                <w:bCs/>
                <w:i w:val="0"/>
                <w:iCs w:val="0"/>
                <w:color w:val="auto"/>
                <w:sz w:val="21"/>
                <w:szCs w:val="21"/>
                <w:lang w:val="en-US" w:eastAsia="zh-CN"/>
              </w:rPr>
              <w:t>240.73</w:t>
            </w:r>
          </w:p>
        </w:tc>
        <w:tc>
          <w:tcPr>
            <w:tcW w:w="1280" w:type="dxa"/>
            <w:tcBorders>
              <w:top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布袋除尘器</w:t>
            </w:r>
          </w:p>
        </w:tc>
        <w:tc>
          <w:tcPr>
            <w:tcW w:w="1120" w:type="dxa"/>
            <w:tcBorders>
              <w:top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1.655</w:t>
            </w:r>
          </w:p>
        </w:tc>
        <w:tc>
          <w:tcPr>
            <w:tcW w:w="1160" w:type="dxa"/>
            <w:tcBorders>
              <w:top w:val="single" w:color="auto" w:sz="4" w:space="0"/>
              <w:bottom w:val="single" w:color="auto" w:sz="4" w:space="0"/>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0.331</w:t>
            </w:r>
          </w:p>
        </w:tc>
        <w:tc>
          <w:tcPr>
            <w:tcW w:w="1040" w:type="dxa"/>
            <w:tcBorders>
              <w:top w:val="single" w:color="auto" w:sz="4" w:space="0"/>
              <w:bottom w:val="single" w:color="auto" w:sz="4" w:space="0"/>
            </w:tcBorders>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2.38</w:t>
            </w:r>
          </w:p>
        </w:tc>
        <w:tc>
          <w:tcPr>
            <w:tcW w:w="2536" w:type="dxa"/>
            <w:vMerge w:val="restart"/>
            <w:tcBorders>
              <w:top w:val="single" w:color="auto" w:sz="4" w:space="0"/>
              <w:righ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《铁矿采选工业污染物排放标准》（GB28661-2012）中表6大气污染物特别排放限值及表7无组织排放浓度限值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9" w:type="dxa"/>
            <w:vMerge w:val="continue"/>
            <w:tcBorders>
              <w:lef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p>
        </w:tc>
        <w:tc>
          <w:tcPr>
            <w:tcW w:w="106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破碎车间</w:t>
            </w:r>
          </w:p>
        </w:tc>
        <w:tc>
          <w:tcPr>
            <w:tcW w:w="1040" w:type="dxa"/>
            <w:tcBorders>
              <w:top w:val="single" w:color="auto" w:sz="4" w:space="0"/>
              <w:bottom w:val="single" w:color="auto" w:sz="4" w:space="0"/>
            </w:tcBorders>
            <w:noWrap w:val="0"/>
            <w:vAlign w:val="center"/>
          </w:tcPr>
          <w:p>
            <w:pPr>
              <w:jc w:val="center"/>
              <w:rPr>
                <w:rFonts w:hint="default" w:ascii="Times New Roman" w:hAnsi="Times New Roman" w:eastAsia="宋体" w:cs="Times New Roman"/>
                <w:bCs/>
                <w:color w:val="auto"/>
                <w:kern w:val="0"/>
                <w:szCs w:val="21"/>
                <w:lang w:val="en-US" w:eastAsia="zh-CN"/>
              </w:rPr>
            </w:pPr>
            <w:r>
              <w:rPr>
                <w:rFonts w:hint="default" w:ascii="Times New Roman" w:hAnsi="Times New Roman" w:eastAsia="宋体" w:cs="Times New Roman"/>
                <w:bCs/>
                <w:color w:val="auto"/>
                <w:kern w:val="0"/>
                <w:szCs w:val="21"/>
                <w:lang w:val="en-US" w:eastAsia="zh-CN"/>
              </w:rPr>
              <w:t>颗粒物</w:t>
            </w:r>
          </w:p>
        </w:tc>
        <w:tc>
          <w:tcPr>
            <w:tcW w:w="1040" w:type="dxa"/>
            <w:vMerge w:val="restart"/>
            <w:noWrap w:val="0"/>
            <w:vAlign w:val="center"/>
          </w:tcPr>
          <w:p>
            <w:pPr>
              <w:pStyle w:val="61"/>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无组织排放</w:t>
            </w:r>
          </w:p>
        </w:tc>
        <w:tc>
          <w:tcPr>
            <w:tcW w:w="1060" w:type="dxa"/>
            <w:noWrap w:val="0"/>
            <w:vAlign w:val="center"/>
          </w:tcPr>
          <w:p>
            <w:pPr>
              <w:pStyle w:val="61"/>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w:t>
            </w:r>
          </w:p>
        </w:tc>
        <w:tc>
          <w:tcPr>
            <w:tcW w:w="104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0.33</w:t>
            </w:r>
          </w:p>
        </w:tc>
        <w:tc>
          <w:tcPr>
            <w:tcW w:w="98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2.376</w:t>
            </w:r>
          </w:p>
        </w:tc>
        <w:tc>
          <w:tcPr>
            <w:tcW w:w="1280" w:type="dxa"/>
            <w:vMerge w:val="restart"/>
            <w:tcBorders>
              <w:top w:val="single" w:color="auto" w:sz="4" w:space="0"/>
            </w:tcBorders>
            <w:noWrap w:val="0"/>
            <w:vAlign w:val="center"/>
          </w:tcPr>
          <w:p>
            <w:pPr>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厂房密闭、洒水逸尘</w:t>
            </w:r>
          </w:p>
        </w:tc>
        <w:tc>
          <w:tcPr>
            <w:tcW w:w="112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w:t>
            </w:r>
          </w:p>
        </w:tc>
        <w:tc>
          <w:tcPr>
            <w:tcW w:w="116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0.033</w:t>
            </w:r>
          </w:p>
        </w:tc>
        <w:tc>
          <w:tcPr>
            <w:tcW w:w="104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0.238</w:t>
            </w:r>
          </w:p>
        </w:tc>
        <w:tc>
          <w:tcPr>
            <w:tcW w:w="2536" w:type="dxa"/>
            <w:vMerge w:val="continue"/>
            <w:tcBorders>
              <w:righ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9" w:type="dxa"/>
            <w:vMerge w:val="continue"/>
            <w:tcBorders>
              <w:lef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p>
        </w:tc>
        <w:tc>
          <w:tcPr>
            <w:tcW w:w="106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卸料粉尘</w:t>
            </w:r>
          </w:p>
        </w:tc>
        <w:tc>
          <w:tcPr>
            <w:tcW w:w="1040" w:type="dxa"/>
            <w:tcBorders>
              <w:top w:val="single" w:color="auto" w:sz="4" w:space="0"/>
              <w:bottom w:val="single" w:color="auto" w:sz="4" w:space="0"/>
            </w:tcBorders>
            <w:noWrap w:val="0"/>
            <w:vAlign w:val="center"/>
          </w:tcPr>
          <w:p>
            <w:pPr>
              <w:jc w:val="center"/>
              <w:rPr>
                <w:rFonts w:hint="default" w:ascii="Times New Roman" w:hAnsi="Times New Roman" w:eastAsia="宋体" w:cs="Times New Roman"/>
                <w:bCs/>
                <w:color w:val="auto"/>
                <w:kern w:val="0"/>
                <w:szCs w:val="21"/>
                <w:lang w:val="en-US" w:eastAsia="zh-CN"/>
              </w:rPr>
            </w:pPr>
            <w:r>
              <w:rPr>
                <w:rFonts w:hint="default" w:ascii="Times New Roman" w:hAnsi="Times New Roman" w:eastAsia="宋体" w:cs="Times New Roman"/>
                <w:bCs/>
                <w:color w:val="auto"/>
                <w:kern w:val="0"/>
                <w:szCs w:val="21"/>
                <w:lang w:val="en-US" w:eastAsia="zh-CN"/>
              </w:rPr>
              <w:t>颗粒物</w:t>
            </w:r>
          </w:p>
        </w:tc>
        <w:tc>
          <w:tcPr>
            <w:tcW w:w="1040" w:type="dxa"/>
            <w:vMerge w:val="continue"/>
            <w:noWrap w:val="0"/>
            <w:vAlign w:val="center"/>
          </w:tcPr>
          <w:p>
            <w:pPr>
              <w:pStyle w:val="61"/>
              <w:jc w:val="center"/>
              <w:rPr>
                <w:rFonts w:hint="default" w:ascii="Times New Roman" w:hAnsi="Times New Roman" w:eastAsia="宋体" w:cs="Times New Roman"/>
                <w:bCs/>
                <w:color w:val="auto"/>
                <w:sz w:val="21"/>
                <w:szCs w:val="21"/>
                <w:vertAlign w:val="baseline"/>
                <w:lang w:val="en-US" w:eastAsia="zh-CN"/>
              </w:rPr>
            </w:pPr>
          </w:p>
        </w:tc>
        <w:tc>
          <w:tcPr>
            <w:tcW w:w="1060" w:type="dxa"/>
            <w:noWrap w:val="0"/>
            <w:vAlign w:val="center"/>
          </w:tcPr>
          <w:p>
            <w:pPr>
              <w:pStyle w:val="61"/>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w:t>
            </w:r>
          </w:p>
        </w:tc>
        <w:tc>
          <w:tcPr>
            <w:tcW w:w="104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1.4</w:t>
            </w:r>
          </w:p>
        </w:tc>
        <w:tc>
          <w:tcPr>
            <w:tcW w:w="98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10.4</w:t>
            </w:r>
          </w:p>
        </w:tc>
        <w:tc>
          <w:tcPr>
            <w:tcW w:w="1280" w:type="dxa"/>
            <w:vMerge w:val="continue"/>
            <w:noWrap w:val="0"/>
            <w:vAlign w:val="center"/>
          </w:tcPr>
          <w:p>
            <w:pPr>
              <w:jc w:val="center"/>
              <w:rPr>
                <w:rFonts w:hint="default" w:ascii="Times New Roman" w:hAnsi="Times New Roman" w:eastAsia="宋体" w:cs="Times New Roman"/>
                <w:bCs/>
                <w:color w:val="auto"/>
                <w:kern w:val="0"/>
                <w:sz w:val="21"/>
                <w:szCs w:val="21"/>
                <w:lang w:val="en-US" w:eastAsia="zh-CN" w:bidi="ar-SA"/>
              </w:rPr>
            </w:pPr>
          </w:p>
        </w:tc>
        <w:tc>
          <w:tcPr>
            <w:tcW w:w="112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w:t>
            </w:r>
          </w:p>
        </w:tc>
        <w:tc>
          <w:tcPr>
            <w:tcW w:w="116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0.14</w:t>
            </w:r>
          </w:p>
        </w:tc>
        <w:tc>
          <w:tcPr>
            <w:tcW w:w="104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1.04</w:t>
            </w:r>
          </w:p>
        </w:tc>
        <w:tc>
          <w:tcPr>
            <w:tcW w:w="2536" w:type="dxa"/>
            <w:vMerge w:val="continue"/>
            <w:tcBorders>
              <w:righ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9" w:type="dxa"/>
            <w:vMerge w:val="continue"/>
            <w:tcBorders>
              <w:lef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p>
        </w:tc>
        <w:tc>
          <w:tcPr>
            <w:tcW w:w="106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堆存粉尘</w:t>
            </w:r>
          </w:p>
        </w:tc>
        <w:tc>
          <w:tcPr>
            <w:tcW w:w="1040" w:type="dxa"/>
            <w:tcBorders>
              <w:top w:val="single" w:color="auto" w:sz="4" w:space="0"/>
              <w:bottom w:val="single" w:color="auto" w:sz="4" w:space="0"/>
            </w:tcBorders>
            <w:noWrap w:val="0"/>
            <w:vAlign w:val="center"/>
          </w:tcPr>
          <w:p>
            <w:pPr>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Cs w:val="21"/>
                <w:lang w:val="en-US" w:eastAsia="zh-CN"/>
              </w:rPr>
              <w:t>颗粒物</w:t>
            </w:r>
          </w:p>
        </w:tc>
        <w:tc>
          <w:tcPr>
            <w:tcW w:w="1040" w:type="dxa"/>
            <w:vMerge w:val="continue"/>
            <w:noWrap w:val="0"/>
            <w:vAlign w:val="center"/>
          </w:tcPr>
          <w:p>
            <w:pPr>
              <w:pStyle w:val="61"/>
              <w:jc w:val="center"/>
              <w:rPr>
                <w:rFonts w:hint="default" w:ascii="Times New Roman" w:hAnsi="Times New Roman" w:eastAsia="宋体" w:cs="Times New Roman"/>
                <w:bCs/>
                <w:color w:val="auto"/>
                <w:kern w:val="2"/>
                <w:sz w:val="21"/>
                <w:szCs w:val="21"/>
                <w:vertAlign w:val="baseline"/>
                <w:lang w:val="en-US" w:eastAsia="zh-CN" w:bidi="ar-SA"/>
              </w:rPr>
            </w:pPr>
          </w:p>
        </w:tc>
        <w:tc>
          <w:tcPr>
            <w:tcW w:w="1060" w:type="dxa"/>
            <w:noWrap w:val="0"/>
            <w:vAlign w:val="center"/>
          </w:tcPr>
          <w:p>
            <w:pPr>
              <w:pStyle w:val="61"/>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w:t>
            </w:r>
          </w:p>
        </w:tc>
        <w:tc>
          <w:tcPr>
            <w:tcW w:w="104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1.6</w:t>
            </w:r>
          </w:p>
        </w:tc>
        <w:tc>
          <w:tcPr>
            <w:tcW w:w="98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11.2</w:t>
            </w:r>
          </w:p>
        </w:tc>
        <w:tc>
          <w:tcPr>
            <w:tcW w:w="1280" w:type="dxa"/>
            <w:vMerge w:val="continue"/>
            <w:tcBorders>
              <w:bottom w:val="single" w:color="auto" w:sz="4" w:space="0"/>
            </w:tcBorders>
            <w:noWrap w:val="0"/>
            <w:vAlign w:val="center"/>
          </w:tcPr>
          <w:p>
            <w:pPr>
              <w:jc w:val="center"/>
              <w:rPr>
                <w:rFonts w:hint="default" w:ascii="Times New Roman" w:hAnsi="Times New Roman" w:eastAsia="宋体" w:cs="Times New Roman"/>
                <w:bCs/>
                <w:color w:val="auto"/>
                <w:kern w:val="0"/>
                <w:sz w:val="21"/>
                <w:szCs w:val="21"/>
                <w:lang w:val="en-US" w:eastAsia="zh-CN" w:bidi="ar-SA"/>
              </w:rPr>
            </w:pPr>
          </w:p>
        </w:tc>
        <w:tc>
          <w:tcPr>
            <w:tcW w:w="112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w:t>
            </w:r>
          </w:p>
        </w:tc>
        <w:tc>
          <w:tcPr>
            <w:tcW w:w="116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0.16</w:t>
            </w:r>
          </w:p>
        </w:tc>
        <w:tc>
          <w:tcPr>
            <w:tcW w:w="104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1.12</w:t>
            </w:r>
          </w:p>
        </w:tc>
        <w:tc>
          <w:tcPr>
            <w:tcW w:w="2536" w:type="dxa"/>
            <w:vMerge w:val="continue"/>
            <w:tcBorders>
              <w:righ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9" w:type="dxa"/>
            <w:vMerge w:val="restart"/>
            <w:tcBorders>
              <w:lef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水污染物</w:t>
            </w:r>
          </w:p>
        </w:tc>
        <w:tc>
          <w:tcPr>
            <w:tcW w:w="1060" w:type="dxa"/>
            <w:tcBorders>
              <w:top w:val="single" w:color="auto" w:sz="4" w:space="0"/>
            </w:tcBorders>
            <w:noWrap w:val="0"/>
            <w:vAlign w:val="center"/>
          </w:tcPr>
          <w:p>
            <w:pPr>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rPr>
              <w:t>职工生活</w:t>
            </w:r>
          </w:p>
        </w:tc>
        <w:tc>
          <w:tcPr>
            <w:tcW w:w="104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color w:val="auto"/>
                <w:sz w:val="21"/>
                <w:szCs w:val="21"/>
                <w:lang w:eastAsia="zh-CN"/>
              </w:rPr>
              <w:t>生活污水</w:t>
            </w:r>
            <w:r>
              <w:rPr>
                <w:rFonts w:hint="default" w:ascii="Times New Roman" w:hAnsi="Times New Roman" w:eastAsia="宋体" w:cs="Times New Roman"/>
                <w:color w:val="auto"/>
                <w:sz w:val="21"/>
                <w:szCs w:val="21"/>
              </w:rPr>
              <w:t xml:space="preserve">  </w:t>
            </w:r>
          </w:p>
        </w:tc>
        <w:tc>
          <w:tcPr>
            <w:tcW w:w="1040" w:type="dxa"/>
            <w:noWrap w:val="0"/>
            <w:vAlign w:val="center"/>
          </w:tcPr>
          <w:p>
            <w:pPr>
              <w:pStyle w:val="61"/>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w:t>
            </w:r>
          </w:p>
        </w:tc>
        <w:tc>
          <w:tcPr>
            <w:tcW w:w="1060" w:type="dxa"/>
            <w:noWrap w:val="0"/>
            <w:vAlign w:val="center"/>
          </w:tcPr>
          <w:p>
            <w:pPr>
              <w:pStyle w:val="61"/>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w:t>
            </w:r>
          </w:p>
        </w:tc>
        <w:tc>
          <w:tcPr>
            <w:tcW w:w="104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98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144</w:t>
            </w:r>
          </w:p>
        </w:tc>
        <w:tc>
          <w:tcPr>
            <w:tcW w:w="1280" w:type="dxa"/>
            <w:tcBorders>
              <w:top w:val="single" w:color="auto" w:sz="4" w:space="0"/>
            </w:tcBorders>
            <w:noWrap w:val="0"/>
            <w:vAlign w:val="center"/>
          </w:tcPr>
          <w:p>
            <w:pPr>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旱厕</w:t>
            </w:r>
          </w:p>
        </w:tc>
        <w:tc>
          <w:tcPr>
            <w:tcW w:w="112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vertAlign w:val="baseline"/>
                <w:lang w:val="en-US" w:eastAsia="zh-CN"/>
              </w:rPr>
              <w:t>/</w:t>
            </w:r>
          </w:p>
        </w:tc>
        <w:tc>
          <w:tcPr>
            <w:tcW w:w="116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w:t>
            </w:r>
          </w:p>
        </w:tc>
        <w:tc>
          <w:tcPr>
            <w:tcW w:w="1040" w:type="dxa"/>
            <w:tcBorders>
              <w:top w:val="single" w:color="auto" w:sz="4" w:space="0"/>
              <w:bottom w:val="single" w:color="auto" w:sz="4" w:space="0"/>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w:t>
            </w:r>
          </w:p>
        </w:tc>
        <w:tc>
          <w:tcPr>
            <w:tcW w:w="2536" w:type="dxa"/>
            <w:tcBorders>
              <w:top w:val="single" w:color="auto" w:sz="4" w:space="0"/>
              <w:righ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9" w:type="dxa"/>
            <w:vMerge w:val="continue"/>
            <w:tcBorders>
              <w:lef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p>
        </w:tc>
        <w:tc>
          <w:tcPr>
            <w:tcW w:w="1060" w:type="dxa"/>
            <w:tcBorders>
              <w:bottom w:val="single" w:color="auto" w:sz="4" w:space="0"/>
            </w:tcBorders>
            <w:noWrap w:val="0"/>
            <w:vAlign w:val="center"/>
          </w:tcPr>
          <w:p>
            <w:pPr>
              <w:jc w:val="center"/>
              <w:rPr>
                <w:rFonts w:hint="default" w:ascii="Times New Roman" w:hAnsi="Times New Roman" w:eastAsia="宋体" w:cs="Times New Roman"/>
                <w:bCs/>
                <w:color w:val="auto"/>
                <w:kern w:val="0"/>
                <w:sz w:val="21"/>
                <w:szCs w:val="21"/>
                <w:lang w:val="en-US" w:eastAsia="zh-CN"/>
              </w:rPr>
            </w:pPr>
            <w:r>
              <w:rPr>
                <w:rFonts w:hint="default" w:ascii="Times New Roman" w:hAnsi="Times New Roman" w:eastAsia="宋体" w:cs="Times New Roman"/>
                <w:bCs/>
                <w:color w:val="auto"/>
                <w:kern w:val="0"/>
                <w:sz w:val="21"/>
                <w:szCs w:val="21"/>
                <w:lang w:val="en-US" w:eastAsia="zh-CN"/>
              </w:rPr>
              <w:t>选矿</w:t>
            </w:r>
          </w:p>
        </w:tc>
        <w:tc>
          <w:tcPr>
            <w:tcW w:w="104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选矿废水</w:t>
            </w:r>
          </w:p>
        </w:tc>
        <w:tc>
          <w:tcPr>
            <w:tcW w:w="1040" w:type="dxa"/>
            <w:noWrap w:val="0"/>
            <w:vAlign w:val="center"/>
          </w:tcPr>
          <w:p>
            <w:pPr>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w:t>
            </w:r>
          </w:p>
        </w:tc>
        <w:tc>
          <w:tcPr>
            <w:tcW w:w="1060" w:type="dxa"/>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04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98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145485</w:t>
            </w:r>
          </w:p>
        </w:tc>
        <w:tc>
          <w:tcPr>
            <w:tcW w:w="1280" w:type="dxa"/>
            <w:tcBorders>
              <w:bottom w:val="single" w:color="auto" w:sz="4" w:space="0"/>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回用于生产</w:t>
            </w:r>
          </w:p>
        </w:tc>
        <w:tc>
          <w:tcPr>
            <w:tcW w:w="112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6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w:t>
            </w:r>
          </w:p>
        </w:tc>
        <w:tc>
          <w:tcPr>
            <w:tcW w:w="1040" w:type="dxa"/>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2536" w:type="dxa"/>
            <w:tcBorders>
              <w:bottom w:val="single" w:color="auto" w:sz="4" w:space="0"/>
              <w:righ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6"/>
                <w:sz w:val="21"/>
                <w:szCs w:val="21"/>
                <w:lang w:val="en-US" w:eastAsia="zh-CN"/>
              </w:rPr>
            </w:pPr>
            <w:r>
              <w:rPr>
                <w:rFonts w:hint="default" w:ascii="Times New Roman" w:hAnsi="Times New Roman" w:eastAsia="宋体" w:cs="Times New Roman"/>
                <w:color w:val="auto"/>
                <w:kern w:val="2"/>
                <w:sz w:val="21"/>
                <w:szCs w:val="21"/>
                <w:lang w:val="en-US" w:eastAsia="zh-CN" w:bidi="ar-SA"/>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9" w:type="dxa"/>
            <w:tcBorders>
              <w:lef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声环境</w:t>
            </w:r>
          </w:p>
        </w:tc>
        <w:tc>
          <w:tcPr>
            <w:tcW w:w="1060" w:type="dxa"/>
            <w:tcBorders>
              <w:top w:val="single" w:color="auto" w:sz="4" w:space="0"/>
              <w:bottom w:val="single" w:color="auto" w:sz="4" w:space="0"/>
            </w:tcBorders>
            <w:noWrap w:val="0"/>
            <w:vAlign w:val="center"/>
          </w:tcPr>
          <w:p>
            <w:pPr>
              <w:jc w:val="center"/>
              <w:rPr>
                <w:rFonts w:hint="default" w:ascii="Times New Roman" w:hAnsi="Times New Roman" w:eastAsia="宋体" w:cs="Times New Roman"/>
                <w:bCs/>
                <w:color w:val="auto"/>
                <w:kern w:val="0"/>
                <w:sz w:val="21"/>
                <w:szCs w:val="21"/>
                <w:lang w:val="en-US" w:eastAsia="zh-CN"/>
              </w:rPr>
            </w:pPr>
            <w:r>
              <w:rPr>
                <w:rFonts w:hint="default" w:ascii="Times New Roman" w:hAnsi="Times New Roman" w:eastAsia="宋体" w:cs="Times New Roman"/>
                <w:bCs/>
                <w:color w:val="auto"/>
                <w:kern w:val="0"/>
                <w:sz w:val="21"/>
                <w:szCs w:val="21"/>
                <w:lang w:val="en-US" w:eastAsia="zh-CN"/>
              </w:rPr>
              <w:t>设备噪声</w:t>
            </w:r>
          </w:p>
        </w:tc>
        <w:tc>
          <w:tcPr>
            <w:tcW w:w="1040" w:type="dxa"/>
            <w:tcBorders>
              <w:top w:val="single" w:color="auto" w:sz="4" w:space="0"/>
              <w:bottom w:val="single" w:color="auto" w:sz="4" w:space="0"/>
            </w:tcBorders>
            <w:noWrap w:val="0"/>
            <w:vAlign w:val="center"/>
          </w:tcPr>
          <w:p>
            <w:pPr>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等效 A 声级</w:t>
            </w:r>
          </w:p>
        </w:tc>
        <w:tc>
          <w:tcPr>
            <w:tcW w:w="2100" w:type="dxa"/>
            <w:gridSpan w:val="2"/>
            <w:noWrap w:val="0"/>
            <w:vAlign w:val="center"/>
          </w:tcPr>
          <w:p>
            <w:pPr>
              <w:pStyle w:val="61"/>
              <w:jc w:val="center"/>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连续性</w:t>
            </w:r>
          </w:p>
        </w:tc>
        <w:tc>
          <w:tcPr>
            <w:tcW w:w="2020" w:type="dxa"/>
            <w:gridSpan w:val="2"/>
            <w:tcBorders>
              <w:top w:val="single" w:color="auto" w:sz="4" w:space="0"/>
              <w:bottom w:val="single" w:color="auto" w:sz="4" w:space="0"/>
            </w:tcBorders>
            <w:noWrap w:val="0"/>
            <w:vAlign w:val="center"/>
          </w:tcPr>
          <w:p>
            <w:pPr>
              <w:pStyle w:val="61"/>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75-105dB（A) </w:t>
            </w:r>
          </w:p>
        </w:tc>
        <w:tc>
          <w:tcPr>
            <w:tcW w:w="1280" w:type="dxa"/>
            <w:tcBorders>
              <w:top w:val="single" w:color="auto" w:sz="4" w:space="0"/>
              <w:bottom w:val="single" w:color="auto" w:sz="4" w:space="0"/>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隔声减振措施</w:t>
            </w:r>
          </w:p>
        </w:tc>
        <w:tc>
          <w:tcPr>
            <w:tcW w:w="1120" w:type="dxa"/>
            <w:tcBorders>
              <w:top w:val="single" w:color="auto" w:sz="4" w:space="0"/>
              <w:bottom w:val="single" w:color="auto" w:sz="4" w:space="0"/>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2200" w:type="dxa"/>
            <w:gridSpan w:val="2"/>
            <w:tcBorders>
              <w:top w:val="single" w:color="auto" w:sz="4" w:space="0"/>
              <w:bottom w:val="single" w:color="auto" w:sz="4" w:space="0"/>
            </w:tcBorders>
            <w:noWrap w:val="0"/>
            <w:vAlign w:val="center"/>
          </w:tcPr>
          <w:p>
            <w:pPr>
              <w:jc w:val="center"/>
              <w:rPr>
                <w:rFonts w:hint="default" w:ascii="Times New Roman" w:hAnsi="Times New Roman" w:eastAsia="宋体" w:cs="Times New Roman"/>
                <w:bCs/>
                <w:color w:val="auto"/>
                <w:kern w:val="0"/>
                <w:sz w:val="21"/>
                <w:szCs w:val="21"/>
                <w:lang w:val="en-US" w:eastAsia="zh-CN"/>
              </w:rPr>
            </w:pPr>
            <w:r>
              <w:rPr>
                <w:rFonts w:hint="default" w:ascii="Times New Roman" w:hAnsi="Times New Roman" w:eastAsia="宋体" w:cs="Times New Roman"/>
                <w:bCs/>
                <w:color w:val="auto"/>
                <w:kern w:val="0"/>
                <w:sz w:val="21"/>
                <w:szCs w:val="21"/>
                <w:lang w:val="en-US" w:eastAsia="zh-CN"/>
              </w:rPr>
              <w:t>达标排放</w:t>
            </w:r>
          </w:p>
        </w:tc>
        <w:tc>
          <w:tcPr>
            <w:tcW w:w="2536" w:type="dxa"/>
            <w:tcBorders>
              <w:top w:val="single" w:color="auto" w:sz="4" w:space="0"/>
              <w:bottom w:val="single" w:color="auto" w:sz="4" w:space="0"/>
              <w:righ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6"/>
                <w:sz w:val="21"/>
                <w:szCs w:val="21"/>
                <w:lang w:val="en-US" w:eastAsia="zh-CN"/>
              </w:rPr>
            </w:pPr>
            <w:r>
              <w:rPr>
                <w:rFonts w:hint="default" w:ascii="Times New Roman" w:hAnsi="Times New Roman" w:eastAsia="宋体" w:cs="Times New Roman"/>
                <w:color w:val="auto"/>
                <w:kern w:val="2"/>
                <w:sz w:val="21"/>
                <w:szCs w:val="21"/>
                <w:lang w:val="en-US" w:eastAsia="zh-CN" w:bidi="ar-SA"/>
              </w:rPr>
              <w:t>《工业企业厂界环境噪声排放标准》(GB12348-2008)中1类标准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9" w:type="dxa"/>
            <w:vMerge w:val="restart"/>
            <w:tcBorders>
              <w:lef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固体废物</w:t>
            </w:r>
          </w:p>
        </w:tc>
        <w:tc>
          <w:tcPr>
            <w:tcW w:w="1060" w:type="dxa"/>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sz w:val="21"/>
                <w:szCs w:val="21"/>
              </w:rPr>
              <w:t>除尘器</w:t>
            </w:r>
          </w:p>
        </w:tc>
        <w:tc>
          <w:tcPr>
            <w:tcW w:w="1040" w:type="dxa"/>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rPr>
              <w:t>除尘灰</w:t>
            </w:r>
          </w:p>
        </w:tc>
        <w:tc>
          <w:tcPr>
            <w:tcW w:w="2100" w:type="dxa"/>
            <w:gridSpan w:val="2"/>
            <w:vMerge w:val="restart"/>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一般工业固体废物</w:t>
            </w:r>
          </w:p>
        </w:tc>
        <w:tc>
          <w:tcPr>
            <w:tcW w:w="2020" w:type="dxa"/>
            <w:gridSpan w:val="2"/>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235.93</w:t>
            </w:r>
          </w:p>
        </w:tc>
        <w:tc>
          <w:tcPr>
            <w:tcW w:w="1280" w:type="dxa"/>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color w:val="auto"/>
              </w:rPr>
              <w:t>进入选矿工艺，不外排</w:t>
            </w:r>
          </w:p>
        </w:tc>
        <w:tc>
          <w:tcPr>
            <w:tcW w:w="1120" w:type="dxa"/>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2200" w:type="dxa"/>
            <w:gridSpan w:val="2"/>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Cs w:val="21"/>
              </w:rPr>
              <w:t>0</w:t>
            </w:r>
          </w:p>
        </w:tc>
        <w:tc>
          <w:tcPr>
            <w:tcW w:w="2536" w:type="dxa"/>
            <w:vMerge w:val="restart"/>
            <w:tcBorders>
              <w:top w:val="single" w:color="auto" w:sz="4" w:space="0"/>
              <w:righ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6"/>
                <w:sz w:val="21"/>
                <w:szCs w:val="21"/>
                <w:lang w:val="en-US" w:eastAsia="zh-CN"/>
              </w:rPr>
            </w:pPr>
            <w:r>
              <w:rPr>
                <w:rFonts w:hint="default" w:ascii="Times New Roman" w:hAnsi="Times New Roman" w:eastAsia="宋体" w:cs="Times New Roman"/>
                <w:color w:val="auto"/>
                <w:spacing w:val="6"/>
                <w:sz w:val="21"/>
                <w:szCs w:val="21"/>
                <w:lang w:val="en-US" w:eastAsia="zh-CN"/>
              </w:rPr>
              <w:t>《一般工业固体废物贮存和填埋污染控制标准》（GB18599-2020）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9" w:type="dxa"/>
            <w:vMerge w:val="continue"/>
            <w:tcBorders>
              <w:lef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p>
        </w:tc>
        <w:tc>
          <w:tcPr>
            <w:tcW w:w="1060" w:type="dxa"/>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rPr>
              <w:t>职工生活</w:t>
            </w:r>
          </w:p>
        </w:tc>
        <w:tc>
          <w:tcPr>
            <w:tcW w:w="1040" w:type="dxa"/>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rPr>
              <w:t>生活垃圾</w:t>
            </w:r>
          </w:p>
        </w:tc>
        <w:tc>
          <w:tcPr>
            <w:tcW w:w="2100" w:type="dxa"/>
            <w:gridSpan w:val="2"/>
            <w:vMerge w:val="continue"/>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vertAlign w:val="baseline"/>
                <w:lang w:val="en-US" w:eastAsia="zh-CN"/>
              </w:rPr>
            </w:pPr>
          </w:p>
        </w:tc>
        <w:tc>
          <w:tcPr>
            <w:tcW w:w="2020" w:type="dxa"/>
            <w:gridSpan w:val="2"/>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4.5</w:t>
            </w:r>
          </w:p>
        </w:tc>
        <w:tc>
          <w:tcPr>
            <w:tcW w:w="1280" w:type="dxa"/>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rPr>
              <w:t>暂存于垃圾桶内，</w:t>
            </w:r>
            <w:r>
              <w:rPr>
                <w:rFonts w:hint="default" w:ascii="Times New Roman" w:hAnsi="Times New Roman" w:eastAsia="宋体" w:cs="Times New Roman"/>
                <w:b w:val="0"/>
                <w:bCs/>
                <w:color w:val="auto"/>
                <w:sz w:val="21"/>
                <w:szCs w:val="21"/>
              </w:rPr>
              <w:t>定期送环卫部门指定地点</w:t>
            </w:r>
          </w:p>
        </w:tc>
        <w:tc>
          <w:tcPr>
            <w:tcW w:w="1120" w:type="dxa"/>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w:t>
            </w:r>
          </w:p>
        </w:tc>
        <w:tc>
          <w:tcPr>
            <w:tcW w:w="2200" w:type="dxa"/>
            <w:gridSpan w:val="2"/>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1"/>
                <w:lang w:val="en-US" w:eastAsia="zh-CN"/>
              </w:rPr>
              <w:t>0</w:t>
            </w:r>
          </w:p>
        </w:tc>
        <w:tc>
          <w:tcPr>
            <w:tcW w:w="2536" w:type="dxa"/>
            <w:vMerge w:val="continue"/>
            <w:tcBorders>
              <w:righ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6"/>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9" w:type="dxa"/>
            <w:vMerge w:val="continue"/>
            <w:tcBorders>
              <w:lef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p>
        </w:tc>
        <w:tc>
          <w:tcPr>
            <w:tcW w:w="1060" w:type="dxa"/>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生产</w:t>
            </w:r>
          </w:p>
        </w:tc>
        <w:tc>
          <w:tcPr>
            <w:tcW w:w="1040" w:type="dxa"/>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尾矿</w:t>
            </w:r>
          </w:p>
        </w:tc>
        <w:tc>
          <w:tcPr>
            <w:tcW w:w="2100" w:type="dxa"/>
            <w:gridSpan w:val="2"/>
            <w:vMerge w:val="continue"/>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vertAlign w:val="baseline"/>
                <w:lang w:val="en-US" w:eastAsia="zh-CN"/>
              </w:rPr>
            </w:pPr>
          </w:p>
        </w:tc>
        <w:tc>
          <w:tcPr>
            <w:tcW w:w="2020" w:type="dxa"/>
            <w:gridSpan w:val="2"/>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150万</w:t>
            </w:r>
          </w:p>
        </w:tc>
        <w:tc>
          <w:tcPr>
            <w:tcW w:w="1280" w:type="dxa"/>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color w:val="auto"/>
                <w:lang w:val="en-US" w:eastAsia="zh-CN"/>
              </w:rPr>
              <w:t>用于填埋历史采坑</w:t>
            </w:r>
          </w:p>
        </w:tc>
        <w:tc>
          <w:tcPr>
            <w:tcW w:w="1120" w:type="dxa"/>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lang w:val="en-US" w:eastAsia="zh-CN"/>
              </w:rPr>
              <w:t>/</w:t>
            </w:r>
          </w:p>
        </w:tc>
        <w:tc>
          <w:tcPr>
            <w:tcW w:w="2200" w:type="dxa"/>
            <w:gridSpan w:val="2"/>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0</w:t>
            </w:r>
          </w:p>
        </w:tc>
        <w:tc>
          <w:tcPr>
            <w:tcW w:w="2536" w:type="dxa"/>
            <w:vMerge w:val="continue"/>
            <w:tcBorders>
              <w:righ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6"/>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9" w:type="dxa"/>
            <w:vMerge w:val="continue"/>
            <w:tcBorders>
              <w:lef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vertAlign w:val="baseline"/>
                <w:lang w:val="en-US" w:eastAsia="zh-CN"/>
              </w:rPr>
            </w:pPr>
          </w:p>
        </w:tc>
        <w:tc>
          <w:tcPr>
            <w:tcW w:w="1060" w:type="dxa"/>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生产设备</w:t>
            </w:r>
          </w:p>
        </w:tc>
        <w:tc>
          <w:tcPr>
            <w:tcW w:w="1040" w:type="dxa"/>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废机油</w:t>
            </w:r>
          </w:p>
        </w:tc>
        <w:tc>
          <w:tcPr>
            <w:tcW w:w="2100" w:type="dxa"/>
            <w:gridSpan w:val="2"/>
            <w:noWrap w:val="0"/>
            <w:vAlign w:val="center"/>
          </w:tcPr>
          <w:p>
            <w:pPr>
              <w:pStyle w:val="61"/>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危险废物</w:t>
            </w:r>
          </w:p>
        </w:tc>
        <w:tc>
          <w:tcPr>
            <w:tcW w:w="2020" w:type="dxa"/>
            <w:gridSpan w:val="2"/>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0.5</w:t>
            </w:r>
          </w:p>
        </w:tc>
        <w:tc>
          <w:tcPr>
            <w:tcW w:w="1280" w:type="dxa"/>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危废间内暂存，定期交由资质单位</w:t>
            </w:r>
          </w:p>
        </w:tc>
        <w:tc>
          <w:tcPr>
            <w:tcW w:w="1120" w:type="dxa"/>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Cs w:val="21"/>
                <w:lang w:val="en-US" w:eastAsia="zh-CN"/>
              </w:rPr>
              <w:t>/</w:t>
            </w:r>
          </w:p>
        </w:tc>
        <w:tc>
          <w:tcPr>
            <w:tcW w:w="2200" w:type="dxa"/>
            <w:gridSpan w:val="2"/>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0.5</w:t>
            </w:r>
          </w:p>
        </w:tc>
        <w:tc>
          <w:tcPr>
            <w:tcW w:w="2536" w:type="dxa"/>
            <w:tcBorders>
              <w:right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6"/>
                <w:sz w:val="21"/>
                <w:szCs w:val="21"/>
                <w:lang w:val="en-US" w:eastAsia="zh-CN"/>
              </w:rPr>
            </w:pPr>
            <w:r>
              <w:rPr>
                <w:rFonts w:hint="default" w:ascii="Times New Roman" w:hAnsi="Times New Roman" w:eastAsia="宋体" w:cs="Times New Roman"/>
                <w:color w:val="auto"/>
                <w:spacing w:val="6"/>
                <w:sz w:val="21"/>
                <w:szCs w:val="21"/>
                <w:lang w:val="en-US" w:eastAsia="zh-CN"/>
              </w:rPr>
              <w:t>《危险废物贮存污染控制标准》（GB18597-2001）及2013年修改单</w:t>
            </w:r>
          </w:p>
        </w:tc>
      </w:tr>
    </w:tbl>
    <w:p>
      <w:pPr>
        <w:pStyle w:val="61"/>
        <w:rPr>
          <w:rFonts w:hint="default" w:ascii="Times New Roman" w:hAnsi="Times New Roman" w:eastAsia="宋体" w:cs="Times New Roman"/>
          <w:color w:val="auto"/>
          <w:lang w:eastAsia="zh-CN"/>
        </w:rPr>
      </w:pPr>
    </w:p>
    <w:p>
      <w:pPr>
        <w:pStyle w:val="150"/>
        <w:spacing w:beforeLines="50" w:line="480" w:lineRule="exact"/>
        <w:ind w:firstLine="0" w:firstLineChars="0"/>
        <w:rPr>
          <w:rFonts w:hint="default" w:ascii="Times New Roman" w:hAnsi="Times New Roman" w:eastAsia="宋体" w:cs="Times New Roman"/>
          <w:color w:val="auto"/>
          <w:kern w:val="2"/>
          <w:szCs w:val="22"/>
          <w:lang w:val="en-US" w:eastAsia="zh-CN"/>
        </w:rPr>
        <w:sectPr>
          <w:pgSz w:w="16840" w:h="11907" w:orient="landscape"/>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p>
      <w:pPr>
        <w:pStyle w:val="4"/>
        <w:spacing w:line="360" w:lineRule="auto"/>
        <w:rPr>
          <w:rFonts w:hint="default" w:ascii="Times New Roman" w:hAnsi="Times New Roman" w:eastAsia="宋体" w:cs="Times New Roman"/>
          <w:color w:val="auto"/>
          <w:sz w:val="28"/>
          <w:szCs w:val="28"/>
          <w:lang w:val="en-US" w:eastAsia="zh-CN"/>
        </w:rPr>
      </w:pPr>
      <w:bookmarkStart w:id="475" w:name="_Toc28931"/>
      <w:bookmarkStart w:id="476" w:name="_Toc29246"/>
      <w:bookmarkStart w:id="477" w:name="_Toc524081489"/>
      <w:r>
        <w:rPr>
          <w:rFonts w:hint="default" w:ascii="Times New Roman" w:hAnsi="Times New Roman" w:eastAsia="宋体" w:cs="Times New Roman"/>
          <w:color w:val="auto"/>
          <w:sz w:val="28"/>
          <w:szCs w:val="28"/>
          <w:lang w:val="en-US" w:eastAsia="zh-CN"/>
        </w:rPr>
        <w:t>9.6项目竣工环境保护“三同时”验收内容</w:t>
      </w:r>
      <w:bookmarkEnd w:id="475"/>
      <w:bookmarkEnd w:id="476"/>
      <w:bookmarkEnd w:id="477"/>
    </w:p>
    <w:p>
      <w:pPr>
        <w:pStyle w:val="516"/>
        <w:keepNext w:val="0"/>
        <w:keepLines w:val="0"/>
        <w:pageBreakBefore w:val="0"/>
        <w:widowControl w:val="0"/>
        <w:kinsoku/>
        <w:wordWrap/>
        <w:overflowPunct/>
        <w:topLinePunct w:val="0"/>
        <w:autoSpaceDE/>
        <w:autoSpaceDN/>
        <w:bidi w:val="0"/>
        <w:snapToGrid/>
        <w:ind w:firstLine="482"/>
        <w:textAlignment w:val="baseline"/>
        <w:rPr>
          <w:rFonts w:hint="default" w:ascii="Times New Roman" w:hAnsi="Times New Roman" w:eastAsia="宋体" w:cs="Times New Roman"/>
          <w:bCs/>
          <w:color w:val="auto"/>
          <w:szCs w:val="24"/>
        </w:rPr>
      </w:pPr>
      <w:r>
        <w:rPr>
          <w:rFonts w:hint="default" w:ascii="Times New Roman" w:hAnsi="Times New Roman" w:eastAsia="宋体" w:cs="Times New Roman"/>
          <w:bCs/>
          <w:color w:val="auto"/>
          <w:szCs w:val="24"/>
        </w:rPr>
        <w:t>根据《关于发布&lt;建设项目竣工环境保护验收暂行办法&gt;的公告》（国环规环评[2017]4号）建设项目需要配套建设噪声或者固体废物污染防治设施的，新修改的《中华人民共和国固体废物污染环境防治法》修改完成前，应依法由环境保护部门对建设项目固体废物污染防治设施进行验收。</w:t>
      </w:r>
    </w:p>
    <w:p>
      <w:pPr>
        <w:pStyle w:val="516"/>
        <w:keepNext w:val="0"/>
        <w:keepLines w:val="0"/>
        <w:pageBreakBefore w:val="0"/>
        <w:widowControl w:val="0"/>
        <w:kinsoku/>
        <w:wordWrap/>
        <w:overflowPunct/>
        <w:topLinePunct w:val="0"/>
        <w:autoSpaceDE/>
        <w:autoSpaceDN/>
        <w:bidi w:val="0"/>
        <w:adjustRightInd/>
        <w:snapToGrid/>
        <w:ind w:firstLine="482"/>
        <w:textAlignment w:val="baseline"/>
        <w:rPr>
          <w:rFonts w:hint="default" w:ascii="Times New Roman" w:hAnsi="Times New Roman" w:eastAsia="宋体" w:cs="Times New Roman"/>
          <w:color w:val="auto"/>
          <w:szCs w:val="24"/>
        </w:rPr>
      </w:pPr>
      <w:r>
        <w:rPr>
          <w:rFonts w:hint="default" w:ascii="Times New Roman" w:hAnsi="Times New Roman" w:eastAsia="宋体" w:cs="Times New Roman"/>
          <w:bCs/>
          <w:color w:val="auto"/>
          <w:szCs w:val="24"/>
        </w:rPr>
        <w:t>从2017年11月20日开始，建设单位是建设项目竣工环境保护验收的责任主体，应当按照《建设项目竣工环境保护验收暂行办法》规定的程序和标准，组织对配套建设的环境保护设施进行</w:t>
      </w:r>
      <w:r>
        <w:rPr>
          <w:rFonts w:hint="default" w:ascii="Times New Roman" w:hAnsi="Times New Roman" w:eastAsia="宋体" w:cs="Times New Roman"/>
          <w:bCs/>
          <w:color w:val="auto"/>
          <w:szCs w:val="24"/>
          <w:lang w:val="en-US" w:eastAsia="zh-CN"/>
        </w:rPr>
        <w:t>自主</w:t>
      </w:r>
      <w:r>
        <w:rPr>
          <w:rFonts w:hint="default" w:ascii="Times New Roman" w:hAnsi="Times New Roman" w:eastAsia="宋体" w:cs="Times New Roman"/>
          <w:bCs/>
          <w:color w:val="auto"/>
          <w:szCs w:val="24"/>
        </w:rPr>
        <w:t>验收，编制验收报告，公开相关信息，接受社会监督，确保建设项目需要配套建设的环境保护设施与主体工程同时投产或者使用，并对验收内容、结论和所公开信息的真实性、准确性和完整性负责，不得在验收过程中弄虚作假。</w:t>
      </w:r>
    </w:p>
    <w:p>
      <w:pPr>
        <w:pStyle w:val="516"/>
        <w:keepNext w:val="0"/>
        <w:keepLines w:val="0"/>
        <w:pageBreakBefore w:val="0"/>
        <w:widowControl w:val="0"/>
        <w:kinsoku/>
        <w:wordWrap/>
        <w:overflowPunct/>
        <w:topLinePunct w:val="0"/>
        <w:autoSpaceDE/>
        <w:autoSpaceDN/>
        <w:bidi w:val="0"/>
        <w:adjustRightInd/>
        <w:snapToGrid/>
        <w:ind w:firstLine="482"/>
        <w:textAlignment w:val="baseline"/>
        <w:rPr>
          <w:rFonts w:hint="default" w:ascii="Times New Roman" w:hAnsi="Times New Roman" w:eastAsia="宋体" w:cs="Times New Roman"/>
          <w:bCs/>
          <w:color w:val="auto"/>
          <w:szCs w:val="24"/>
        </w:rPr>
      </w:pPr>
      <w:r>
        <w:rPr>
          <w:rFonts w:hint="default" w:ascii="Times New Roman" w:hAnsi="Times New Roman" w:eastAsia="宋体" w:cs="Times New Roman"/>
          <w:bCs/>
          <w:color w:val="auto"/>
          <w:szCs w:val="24"/>
        </w:rPr>
        <w:t>环境保护设施是指防治环境污染和生态破坏以及开展环境监测所需的装置、设备和工程设施等。验收报告分为验收监测（调查）报告、验收意见和其他需要说明的事项等三项内容。</w:t>
      </w:r>
    </w:p>
    <w:p>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拟建项目环境保护验收</w:t>
      </w:r>
      <w:r>
        <w:rPr>
          <w:rFonts w:hint="default" w:ascii="Times New Roman" w:hAnsi="Times New Roman" w:eastAsia="宋体" w:cs="Times New Roman"/>
          <w:color w:val="auto"/>
          <w:sz w:val="24"/>
          <w:szCs w:val="24"/>
          <w:lang w:val="en-US" w:eastAsia="zh-CN"/>
        </w:rPr>
        <w:t>内容</w:t>
      </w:r>
      <w:r>
        <w:rPr>
          <w:rFonts w:hint="default" w:ascii="Times New Roman" w:hAnsi="Times New Roman" w:eastAsia="宋体" w:cs="Times New Roman"/>
          <w:color w:val="auto"/>
          <w:sz w:val="24"/>
          <w:szCs w:val="24"/>
        </w:rPr>
        <w:t>，见表9.</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-1。</w:t>
      </w:r>
    </w:p>
    <w:p>
      <w:pPr>
        <w:pStyle w:val="150"/>
        <w:spacing w:beforeLines="50" w:line="480" w:lineRule="exact"/>
        <w:ind w:firstLine="0" w:firstLineChars="0"/>
        <w:rPr>
          <w:rFonts w:hint="default" w:ascii="Times New Roman" w:hAnsi="Times New Roman" w:eastAsia="宋体" w:cs="Times New Roman"/>
          <w:color w:val="auto"/>
          <w:kern w:val="2"/>
          <w:szCs w:val="22"/>
          <w:lang w:val="en-US" w:eastAsia="zh-CN"/>
        </w:rPr>
      </w:pPr>
      <w:r>
        <w:rPr>
          <w:rFonts w:hint="default" w:ascii="Times New Roman" w:hAnsi="Times New Roman" w:eastAsia="宋体" w:cs="Times New Roman"/>
          <w:color w:val="auto"/>
          <w:kern w:val="2"/>
          <w:szCs w:val="22"/>
          <w:lang w:val="en-US" w:eastAsia="zh-CN"/>
        </w:rPr>
        <w:t>表9.6-1               建设项目竣工环境保护验收内容一览表</w:t>
      </w:r>
    </w:p>
    <w:tbl>
      <w:tblPr>
        <w:tblStyle w:val="5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3"/>
        <w:gridCol w:w="960"/>
        <w:gridCol w:w="973"/>
        <w:gridCol w:w="1467"/>
        <w:gridCol w:w="644"/>
        <w:gridCol w:w="1467"/>
        <w:gridCol w:w="2675"/>
        <w:gridCol w:w="42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名称</w:t>
            </w:r>
          </w:p>
        </w:tc>
        <w:tc>
          <w:tcPr>
            <w:tcW w:w="960" w:type="dxa"/>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污染源</w:t>
            </w:r>
          </w:p>
        </w:tc>
        <w:tc>
          <w:tcPr>
            <w:tcW w:w="973" w:type="dxa"/>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kern w:val="0"/>
                <w:sz w:val="21"/>
                <w:szCs w:val="21"/>
              </w:rPr>
              <w:t>污染物</w:t>
            </w:r>
          </w:p>
        </w:tc>
        <w:tc>
          <w:tcPr>
            <w:tcW w:w="1467" w:type="dxa"/>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环保设施</w:t>
            </w:r>
          </w:p>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名称</w:t>
            </w:r>
          </w:p>
        </w:tc>
        <w:tc>
          <w:tcPr>
            <w:tcW w:w="644" w:type="dxa"/>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规格</w:t>
            </w:r>
          </w:p>
        </w:tc>
        <w:tc>
          <w:tcPr>
            <w:tcW w:w="1467" w:type="dxa"/>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验收指标</w:t>
            </w:r>
          </w:p>
        </w:tc>
        <w:tc>
          <w:tcPr>
            <w:tcW w:w="2675" w:type="dxa"/>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验收标准</w:t>
            </w:r>
          </w:p>
        </w:tc>
        <w:tc>
          <w:tcPr>
            <w:tcW w:w="428" w:type="dxa"/>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进度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restar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废气</w:t>
            </w:r>
          </w:p>
        </w:tc>
        <w:tc>
          <w:tcPr>
            <w:tcW w:w="960" w:type="dxa"/>
            <w:vMerge w:val="restart"/>
            <w:noWrap w:val="0"/>
            <w:vAlign w:val="center"/>
          </w:tcPr>
          <w:p>
            <w:pPr>
              <w:adjustRightIn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eastAsia="zh-CN"/>
              </w:rPr>
              <w:t>破碎</w:t>
            </w:r>
            <w:r>
              <w:rPr>
                <w:rFonts w:hint="default" w:ascii="Times New Roman" w:hAnsi="Times New Roman" w:eastAsia="宋体" w:cs="Times New Roman"/>
                <w:b w:val="0"/>
                <w:bCs/>
                <w:color w:val="auto"/>
                <w:sz w:val="21"/>
                <w:szCs w:val="21"/>
              </w:rPr>
              <w:t>车间</w:t>
            </w:r>
          </w:p>
        </w:tc>
        <w:tc>
          <w:tcPr>
            <w:tcW w:w="973" w:type="dxa"/>
            <w:vMerge w:val="restart"/>
            <w:noWrap w:val="0"/>
            <w:vAlign w:val="center"/>
          </w:tcPr>
          <w:p>
            <w:pPr>
              <w:adjustRightInd w:val="0"/>
              <w:jc w:val="center"/>
              <w:rPr>
                <w:rFonts w:hint="default" w:ascii="Times New Roman" w:hAnsi="Times New Roman" w:eastAsia="宋体" w:cs="Times New Roman"/>
                <w:b w:val="0"/>
                <w:bCs/>
                <w:color w:val="auto"/>
                <w:kern w:val="0"/>
                <w:sz w:val="21"/>
                <w:szCs w:val="21"/>
              </w:rPr>
            </w:pPr>
            <w:r>
              <w:rPr>
                <w:rFonts w:hint="default" w:ascii="Times New Roman" w:hAnsi="Times New Roman" w:eastAsia="宋体" w:cs="Times New Roman"/>
                <w:b w:val="0"/>
                <w:bCs/>
                <w:color w:val="auto"/>
                <w:sz w:val="21"/>
                <w:szCs w:val="21"/>
              </w:rPr>
              <w:t>颗粒物</w:t>
            </w:r>
          </w:p>
        </w:tc>
        <w:tc>
          <w:tcPr>
            <w:tcW w:w="1467" w:type="dxa"/>
            <w:noWrap w:val="0"/>
            <w:vAlign w:val="center"/>
          </w:tcPr>
          <w:p>
            <w:pPr>
              <w:adjustRightIn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val="en-US" w:eastAsia="zh-CN"/>
              </w:rPr>
              <w:t>布袋</w:t>
            </w:r>
            <w:r>
              <w:rPr>
                <w:rFonts w:hint="default" w:ascii="Times New Roman" w:hAnsi="Times New Roman" w:eastAsia="宋体" w:cs="Times New Roman"/>
                <w:b w:val="0"/>
                <w:bCs/>
                <w:color w:val="auto"/>
                <w:sz w:val="21"/>
                <w:szCs w:val="21"/>
              </w:rPr>
              <w:t>除尘器</w:t>
            </w:r>
          </w:p>
        </w:tc>
        <w:tc>
          <w:tcPr>
            <w:tcW w:w="644" w:type="dxa"/>
            <w:noWrap w:val="0"/>
            <w:vAlign w:val="center"/>
          </w:tcPr>
          <w:p>
            <w:pPr>
              <w:adjustRightIn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val="en-US" w:eastAsia="zh-CN"/>
              </w:rPr>
              <w:t>1</w:t>
            </w:r>
            <w:r>
              <w:rPr>
                <w:rFonts w:hint="default" w:ascii="Times New Roman" w:hAnsi="Times New Roman" w:eastAsia="宋体" w:cs="Times New Roman"/>
                <w:b w:val="0"/>
                <w:bCs/>
                <w:color w:val="auto"/>
                <w:sz w:val="21"/>
                <w:szCs w:val="21"/>
              </w:rPr>
              <w:t>套</w:t>
            </w:r>
          </w:p>
        </w:tc>
        <w:tc>
          <w:tcPr>
            <w:tcW w:w="1467" w:type="dxa"/>
            <w:vMerge w:val="restart"/>
            <w:noWrap w:val="0"/>
            <w:vAlign w:val="center"/>
          </w:tcPr>
          <w:p>
            <w:pPr>
              <w:jc w:val="center"/>
              <w:rPr>
                <w:rFonts w:hint="default" w:ascii="Times New Roman" w:hAnsi="Times New Roman" w:eastAsia="宋体" w:cs="Times New Roman"/>
                <w:b w:val="0"/>
                <w:bCs/>
                <w:color w:val="auto"/>
                <w:sz w:val="21"/>
                <w:szCs w:val="21"/>
                <w:vertAlign w:val="superscript"/>
              </w:rPr>
            </w:pPr>
            <w:r>
              <w:rPr>
                <w:rFonts w:hint="default" w:ascii="Times New Roman" w:hAnsi="Times New Roman" w:eastAsia="宋体" w:cs="Times New Roman"/>
                <w:b w:val="0"/>
                <w:bCs/>
                <w:color w:val="auto"/>
                <w:sz w:val="21"/>
                <w:szCs w:val="21"/>
              </w:rPr>
              <w:t>颗粒物10mg/m</w:t>
            </w:r>
            <w:r>
              <w:rPr>
                <w:rFonts w:hint="default" w:ascii="Times New Roman" w:hAnsi="Times New Roman" w:eastAsia="宋体" w:cs="Times New Roman"/>
                <w:b w:val="0"/>
                <w:bCs/>
                <w:color w:val="auto"/>
                <w:sz w:val="21"/>
                <w:szCs w:val="21"/>
                <w:vertAlign w:val="superscript"/>
              </w:rPr>
              <w:t>3</w:t>
            </w:r>
          </w:p>
        </w:tc>
        <w:tc>
          <w:tcPr>
            <w:tcW w:w="2675" w:type="dxa"/>
            <w:vMerge w:val="restar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Cs/>
                <w:color w:val="auto"/>
                <w:sz w:val="21"/>
                <w:szCs w:val="21"/>
                <w:vertAlign w:val="baseline"/>
                <w:lang w:val="en-US" w:eastAsia="zh-CN"/>
              </w:rPr>
              <w:t>铁矿采选工业污染物排放标准》（GB28661-2012）中表6</w:t>
            </w:r>
          </w:p>
        </w:tc>
        <w:tc>
          <w:tcPr>
            <w:tcW w:w="428" w:type="dxa"/>
            <w:vMerge w:val="restar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与建设项目</w:t>
            </w:r>
          </w:p>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同时设计</w:t>
            </w:r>
          </w:p>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同时施工</w:t>
            </w:r>
          </w:p>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同时使用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continue"/>
            <w:noWrap w:val="0"/>
            <w:vAlign w:val="center"/>
          </w:tcPr>
          <w:p>
            <w:pPr>
              <w:jc w:val="center"/>
              <w:rPr>
                <w:rFonts w:hint="default" w:ascii="Times New Roman" w:hAnsi="Times New Roman" w:eastAsia="宋体" w:cs="Times New Roman"/>
                <w:b w:val="0"/>
                <w:bCs/>
                <w:color w:val="auto"/>
                <w:sz w:val="21"/>
                <w:szCs w:val="21"/>
              </w:rPr>
            </w:pPr>
          </w:p>
        </w:tc>
        <w:tc>
          <w:tcPr>
            <w:tcW w:w="960" w:type="dxa"/>
            <w:vMerge w:val="continue"/>
            <w:noWrap w:val="0"/>
            <w:vAlign w:val="center"/>
          </w:tcPr>
          <w:p>
            <w:pPr>
              <w:adjustRightInd w:val="0"/>
              <w:jc w:val="center"/>
              <w:rPr>
                <w:rFonts w:hint="default" w:ascii="Times New Roman" w:hAnsi="Times New Roman" w:eastAsia="宋体" w:cs="Times New Roman"/>
                <w:b w:val="0"/>
                <w:bCs/>
                <w:color w:val="auto"/>
                <w:sz w:val="21"/>
                <w:szCs w:val="21"/>
              </w:rPr>
            </w:pPr>
          </w:p>
        </w:tc>
        <w:tc>
          <w:tcPr>
            <w:tcW w:w="973" w:type="dxa"/>
            <w:vMerge w:val="continue"/>
            <w:noWrap w:val="0"/>
            <w:vAlign w:val="center"/>
          </w:tcPr>
          <w:p>
            <w:pPr>
              <w:adjustRightInd w:val="0"/>
              <w:jc w:val="center"/>
              <w:rPr>
                <w:rFonts w:hint="default" w:ascii="Times New Roman" w:hAnsi="Times New Roman" w:eastAsia="宋体" w:cs="Times New Roman"/>
                <w:b w:val="0"/>
                <w:bCs/>
                <w:color w:val="auto"/>
                <w:kern w:val="0"/>
                <w:sz w:val="21"/>
                <w:szCs w:val="21"/>
              </w:rPr>
            </w:pPr>
          </w:p>
        </w:tc>
        <w:tc>
          <w:tcPr>
            <w:tcW w:w="1467" w:type="dxa"/>
            <w:noWrap w:val="0"/>
            <w:vAlign w:val="center"/>
          </w:tcPr>
          <w:p>
            <w:pPr>
              <w:adjustRightIn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15m高排气筒</w:t>
            </w:r>
          </w:p>
        </w:tc>
        <w:tc>
          <w:tcPr>
            <w:tcW w:w="644" w:type="dxa"/>
            <w:noWrap w:val="0"/>
            <w:vAlign w:val="center"/>
          </w:tcPr>
          <w:p>
            <w:pPr>
              <w:adjustRightIn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1套</w:t>
            </w:r>
          </w:p>
        </w:tc>
        <w:tc>
          <w:tcPr>
            <w:tcW w:w="1467" w:type="dxa"/>
            <w:vMerge w:val="continue"/>
            <w:noWrap w:val="0"/>
            <w:vAlign w:val="center"/>
          </w:tcPr>
          <w:p>
            <w:pPr>
              <w:jc w:val="center"/>
              <w:rPr>
                <w:rFonts w:hint="default" w:ascii="Times New Roman" w:hAnsi="Times New Roman" w:eastAsia="宋体" w:cs="Times New Roman"/>
                <w:b w:val="0"/>
                <w:bCs/>
                <w:color w:val="auto"/>
                <w:kern w:val="0"/>
                <w:sz w:val="21"/>
                <w:szCs w:val="21"/>
              </w:rPr>
            </w:pPr>
          </w:p>
        </w:tc>
        <w:tc>
          <w:tcPr>
            <w:tcW w:w="2675" w:type="dxa"/>
            <w:vMerge w:val="continue"/>
            <w:noWrap w:val="0"/>
            <w:vAlign w:val="center"/>
          </w:tcPr>
          <w:p>
            <w:pPr>
              <w:jc w:val="center"/>
              <w:rPr>
                <w:rFonts w:hint="default" w:ascii="Times New Roman" w:hAnsi="Times New Roman" w:eastAsia="宋体" w:cs="Times New Roman"/>
                <w:b w:val="0"/>
                <w:bCs/>
                <w:color w:val="auto"/>
                <w:sz w:val="21"/>
                <w:szCs w:val="21"/>
              </w:rPr>
            </w:pPr>
          </w:p>
        </w:tc>
        <w:tc>
          <w:tcPr>
            <w:tcW w:w="428" w:type="dxa"/>
            <w:vMerge w:val="continue"/>
            <w:noWrap w:val="0"/>
            <w:vAlign w:val="center"/>
          </w:tcPr>
          <w:p>
            <w:pPr>
              <w:jc w:val="center"/>
              <w:rPr>
                <w:rFonts w:hint="default" w:ascii="Times New Roman" w:hAnsi="Times New Roman" w:eastAsia="宋体" w:cs="Times New Roman"/>
                <w:b w:val="0"/>
                <w:bCs/>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continue"/>
            <w:noWrap w:val="0"/>
            <w:vAlign w:val="center"/>
          </w:tcPr>
          <w:p>
            <w:pPr>
              <w:jc w:val="center"/>
              <w:rPr>
                <w:rFonts w:hint="default" w:ascii="Times New Roman" w:hAnsi="Times New Roman" w:eastAsia="宋体" w:cs="Times New Roman"/>
                <w:b w:val="0"/>
                <w:bCs/>
                <w:color w:val="auto"/>
                <w:sz w:val="21"/>
                <w:szCs w:val="21"/>
              </w:rPr>
            </w:pPr>
          </w:p>
        </w:tc>
        <w:tc>
          <w:tcPr>
            <w:tcW w:w="960" w:type="dxa"/>
            <w:noWrap w:val="0"/>
            <w:vAlign w:val="center"/>
          </w:tcPr>
          <w:p>
            <w:pPr>
              <w:adjustRightInd w:val="0"/>
              <w:jc w:val="center"/>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eastAsia="zh-CN"/>
              </w:rPr>
              <w:t>无组织废气</w:t>
            </w:r>
          </w:p>
        </w:tc>
        <w:tc>
          <w:tcPr>
            <w:tcW w:w="973" w:type="dxa"/>
            <w:noWrap w:val="0"/>
            <w:vAlign w:val="center"/>
          </w:tcPr>
          <w:p>
            <w:pPr>
              <w:adjustRightIn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rPr>
              <w:t>颗粒物</w:t>
            </w:r>
          </w:p>
        </w:tc>
        <w:tc>
          <w:tcPr>
            <w:tcW w:w="1467" w:type="dxa"/>
            <w:noWrap w:val="0"/>
            <w:vAlign w:val="center"/>
          </w:tcPr>
          <w:p>
            <w:pPr>
              <w:adjustRightInd w:val="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eastAsia="zh-CN"/>
              </w:rPr>
              <w:t>—</w:t>
            </w:r>
          </w:p>
        </w:tc>
        <w:tc>
          <w:tcPr>
            <w:tcW w:w="644" w:type="dxa"/>
            <w:noWrap w:val="0"/>
            <w:vAlign w:val="center"/>
          </w:tcPr>
          <w:p>
            <w:pPr>
              <w:adjustRightInd w:val="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rPr>
              <w:t>—</w:t>
            </w:r>
          </w:p>
        </w:tc>
        <w:tc>
          <w:tcPr>
            <w:tcW w:w="1467" w:type="dxa"/>
            <w:noWrap w:val="0"/>
            <w:vAlign w:val="center"/>
          </w:tcPr>
          <w:p>
            <w:pPr>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rPr>
              <w:t>颗粒物</w:t>
            </w:r>
            <w:r>
              <w:rPr>
                <w:rFonts w:hint="default" w:ascii="Times New Roman" w:hAnsi="Times New Roman" w:eastAsia="宋体" w:cs="Times New Roman"/>
                <w:b w:val="0"/>
                <w:bCs/>
                <w:color w:val="auto"/>
                <w:sz w:val="21"/>
                <w:szCs w:val="21"/>
                <w:lang w:val="en-US" w:eastAsia="zh-CN"/>
              </w:rPr>
              <w:t>1.0</w:t>
            </w:r>
            <w:r>
              <w:rPr>
                <w:rFonts w:hint="default" w:ascii="Times New Roman" w:hAnsi="Times New Roman" w:eastAsia="宋体" w:cs="Times New Roman"/>
                <w:b w:val="0"/>
                <w:bCs/>
                <w:color w:val="auto"/>
                <w:sz w:val="21"/>
                <w:szCs w:val="21"/>
              </w:rPr>
              <w:t>mg/m</w:t>
            </w:r>
            <w:r>
              <w:rPr>
                <w:rFonts w:hint="default" w:ascii="Times New Roman" w:hAnsi="Times New Roman" w:eastAsia="宋体" w:cs="Times New Roman"/>
                <w:b w:val="0"/>
                <w:bCs/>
                <w:color w:val="auto"/>
                <w:sz w:val="21"/>
                <w:szCs w:val="21"/>
                <w:vertAlign w:val="superscript"/>
              </w:rPr>
              <w:t>3</w:t>
            </w:r>
          </w:p>
        </w:tc>
        <w:tc>
          <w:tcPr>
            <w:tcW w:w="2675" w:type="dxa"/>
            <w:noWrap w:val="0"/>
            <w:vAlign w:val="center"/>
          </w:tcPr>
          <w:p>
            <w:pPr>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Cs/>
                <w:color w:val="auto"/>
                <w:sz w:val="21"/>
                <w:szCs w:val="21"/>
                <w:vertAlign w:val="baseline"/>
                <w:lang w:val="en-US" w:eastAsia="zh-CN"/>
              </w:rPr>
              <w:t>铁矿采选工业污染物排放标准》（GB28661-2012）中表7</w:t>
            </w:r>
          </w:p>
        </w:tc>
        <w:tc>
          <w:tcPr>
            <w:tcW w:w="428" w:type="dxa"/>
            <w:vMerge w:val="continue"/>
            <w:noWrap w:val="0"/>
            <w:vAlign w:val="center"/>
          </w:tcPr>
          <w:p>
            <w:pPr>
              <w:jc w:val="center"/>
              <w:rPr>
                <w:rFonts w:hint="default" w:ascii="Times New Roman" w:hAnsi="Times New Roman" w:eastAsia="宋体" w:cs="Times New Roman"/>
                <w:b w:val="0"/>
                <w:bCs/>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restar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废水</w:t>
            </w:r>
          </w:p>
        </w:tc>
        <w:tc>
          <w:tcPr>
            <w:tcW w:w="960" w:type="dxa"/>
            <w:noWrap w:val="0"/>
            <w:vAlign w:val="center"/>
          </w:tcPr>
          <w:p>
            <w:pPr>
              <w:adjustRightIn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职工生活</w:t>
            </w:r>
          </w:p>
        </w:tc>
        <w:tc>
          <w:tcPr>
            <w:tcW w:w="973" w:type="dxa"/>
            <w:noWrap w:val="0"/>
            <w:vAlign w:val="center"/>
          </w:tcPr>
          <w:p>
            <w:pPr>
              <w:adjustRightIn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生活废水</w:t>
            </w:r>
          </w:p>
        </w:tc>
        <w:tc>
          <w:tcPr>
            <w:tcW w:w="1467" w:type="dxa"/>
            <w:noWrap w:val="0"/>
            <w:vAlign w:val="center"/>
          </w:tcPr>
          <w:p>
            <w:pPr>
              <w:adjustRightInd w:val="0"/>
              <w:jc w:val="center"/>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val="en-US" w:eastAsia="zh-CN"/>
              </w:rPr>
              <w:t>防渗旱厕</w:t>
            </w:r>
          </w:p>
        </w:tc>
        <w:tc>
          <w:tcPr>
            <w:tcW w:w="644" w:type="dxa"/>
            <w:noWrap w:val="0"/>
            <w:vAlign w:val="center"/>
          </w:tcPr>
          <w:p>
            <w:pPr>
              <w:adjustRightIn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1座</w:t>
            </w:r>
          </w:p>
        </w:tc>
        <w:tc>
          <w:tcPr>
            <w:tcW w:w="1467" w:type="dxa"/>
            <w:noWrap w:val="0"/>
            <w:vAlign w:val="center"/>
          </w:tcPr>
          <w:p>
            <w:pPr>
              <w:jc w:val="center"/>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eastAsia="zh-CN"/>
              </w:rPr>
              <w:t>依托</w:t>
            </w:r>
          </w:p>
        </w:tc>
        <w:tc>
          <w:tcPr>
            <w:tcW w:w="2675" w:type="dxa"/>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pacing w:val="6"/>
                <w:sz w:val="21"/>
                <w:szCs w:val="21"/>
                <w:lang w:val="en-US" w:eastAsia="zh-CN"/>
              </w:rPr>
              <w:t>不外排</w:t>
            </w:r>
          </w:p>
        </w:tc>
        <w:tc>
          <w:tcPr>
            <w:tcW w:w="428" w:type="dxa"/>
            <w:vMerge w:val="continue"/>
            <w:noWrap w:val="0"/>
            <w:vAlign w:val="center"/>
          </w:tcPr>
          <w:p>
            <w:pPr>
              <w:jc w:val="center"/>
              <w:rPr>
                <w:rFonts w:hint="default" w:ascii="Times New Roman" w:hAnsi="Times New Roman" w:eastAsia="宋体" w:cs="Times New Roman"/>
                <w:b w:val="0"/>
                <w:bCs/>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continue"/>
            <w:noWrap w:val="0"/>
            <w:vAlign w:val="center"/>
          </w:tcPr>
          <w:p>
            <w:pPr>
              <w:jc w:val="center"/>
              <w:rPr>
                <w:rFonts w:hint="default" w:ascii="Times New Roman" w:hAnsi="Times New Roman" w:eastAsia="宋体" w:cs="Times New Roman"/>
                <w:b w:val="0"/>
                <w:bCs/>
                <w:color w:val="auto"/>
                <w:sz w:val="21"/>
                <w:szCs w:val="21"/>
              </w:rPr>
            </w:pPr>
          </w:p>
        </w:tc>
        <w:tc>
          <w:tcPr>
            <w:tcW w:w="960" w:type="dxa"/>
            <w:noWrap w:val="0"/>
            <w:vAlign w:val="center"/>
          </w:tcPr>
          <w:p>
            <w:pPr>
              <w:adjustRightIn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生产废水</w:t>
            </w:r>
          </w:p>
        </w:tc>
        <w:tc>
          <w:tcPr>
            <w:tcW w:w="973" w:type="dxa"/>
            <w:noWrap w:val="0"/>
            <w:vAlign w:val="center"/>
          </w:tcPr>
          <w:p>
            <w:pPr>
              <w:adjustRightIn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选矿废水</w:t>
            </w:r>
          </w:p>
        </w:tc>
        <w:tc>
          <w:tcPr>
            <w:tcW w:w="1467" w:type="dxa"/>
            <w:noWrap w:val="0"/>
            <w:vAlign w:val="center"/>
          </w:tcPr>
          <w:p>
            <w:pPr>
              <w:adjustRightIn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回用生产</w:t>
            </w:r>
          </w:p>
        </w:tc>
        <w:tc>
          <w:tcPr>
            <w:tcW w:w="644" w:type="dxa"/>
            <w:noWrap w:val="0"/>
            <w:vAlign w:val="center"/>
          </w:tcPr>
          <w:p>
            <w:pPr>
              <w:adjustRightIn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1座</w:t>
            </w:r>
          </w:p>
        </w:tc>
        <w:tc>
          <w:tcPr>
            <w:tcW w:w="1467" w:type="dxa"/>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eastAsia="zh-CN"/>
              </w:rPr>
              <w:t>浓密罐</w:t>
            </w:r>
          </w:p>
        </w:tc>
        <w:tc>
          <w:tcPr>
            <w:tcW w:w="2675" w:type="dxa"/>
            <w:noWrap w:val="0"/>
            <w:vAlign w:val="center"/>
          </w:tcPr>
          <w:p>
            <w:pPr>
              <w:jc w:val="center"/>
              <w:rPr>
                <w:rFonts w:hint="default" w:ascii="Times New Roman" w:hAnsi="Times New Roman" w:eastAsia="宋体" w:cs="Times New Roman"/>
                <w:b w:val="0"/>
                <w:bCs/>
                <w:color w:val="auto"/>
                <w:spacing w:val="6"/>
                <w:sz w:val="21"/>
                <w:szCs w:val="21"/>
                <w:lang w:val="en-US" w:eastAsia="zh-CN"/>
              </w:rPr>
            </w:pPr>
            <w:r>
              <w:rPr>
                <w:rFonts w:hint="default" w:ascii="Times New Roman" w:hAnsi="Times New Roman" w:eastAsia="宋体" w:cs="Times New Roman"/>
                <w:b w:val="0"/>
                <w:bCs/>
                <w:color w:val="auto"/>
                <w:spacing w:val="6"/>
                <w:sz w:val="21"/>
                <w:szCs w:val="21"/>
                <w:lang w:val="en-US" w:eastAsia="zh-CN"/>
              </w:rPr>
              <w:t>不外排</w:t>
            </w:r>
          </w:p>
        </w:tc>
        <w:tc>
          <w:tcPr>
            <w:tcW w:w="428" w:type="dxa"/>
            <w:vMerge w:val="continue"/>
            <w:noWrap w:val="0"/>
            <w:vAlign w:val="center"/>
          </w:tcPr>
          <w:p>
            <w:pPr>
              <w:jc w:val="center"/>
              <w:rPr>
                <w:rFonts w:hint="default" w:ascii="Times New Roman" w:hAnsi="Times New Roman" w:eastAsia="宋体" w:cs="Times New Roman"/>
                <w:b w:val="0"/>
                <w:bCs/>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噪声</w:t>
            </w:r>
          </w:p>
        </w:tc>
        <w:tc>
          <w:tcPr>
            <w:tcW w:w="960" w:type="dxa"/>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生产设备</w:t>
            </w:r>
          </w:p>
        </w:tc>
        <w:tc>
          <w:tcPr>
            <w:tcW w:w="973" w:type="dxa"/>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Leq(A)</w:t>
            </w:r>
          </w:p>
        </w:tc>
        <w:tc>
          <w:tcPr>
            <w:tcW w:w="2111" w:type="dxa"/>
            <w:gridSpan w:val="2"/>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产噪设备的减振、降噪措施</w:t>
            </w:r>
          </w:p>
        </w:tc>
        <w:tc>
          <w:tcPr>
            <w:tcW w:w="1467" w:type="dxa"/>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val="en-US" w:eastAsia="zh-CN"/>
              </w:rPr>
              <w:t>1</w:t>
            </w:r>
            <w:r>
              <w:rPr>
                <w:rFonts w:hint="default" w:ascii="Times New Roman" w:hAnsi="Times New Roman" w:eastAsia="宋体" w:cs="Times New Roman"/>
                <w:b w:val="0"/>
                <w:bCs/>
                <w:color w:val="auto"/>
                <w:sz w:val="21"/>
                <w:szCs w:val="21"/>
              </w:rPr>
              <w:t>类(昼间</w:t>
            </w:r>
            <w:r>
              <w:rPr>
                <w:rFonts w:hint="default" w:ascii="Times New Roman" w:hAnsi="Times New Roman" w:eastAsia="宋体" w:cs="Times New Roman"/>
                <w:b w:val="0"/>
                <w:bCs/>
                <w:color w:val="auto"/>
                <w:sz w:val="21"/>
                <w:szCs w:val="21"/>
                <w:lang w:val="en-US" w:eastAsia="zh-CN"/>
              </w:rPr>
              <w:t>55</w:t>
            </w:r>
            <w:r>
              <w:rPr>
                <w:rFonts w:hint="default" w:ascii="Times New Roman" w:hAnsi="Times New Roman" w:eastAsia="宋体" w:cs="Times New Roman"/>
                <w:b w:val="0"/>
                <w:bCs/>
                <w:color w:val="auto"/>
                <w:sz w:val="21"/>
                <w:szCs w:val="21"/>
              </w:rPr>
              <w:t>dB(A)，夜间</w:t>
            </w:r>
            <w:r>
              <w:rPr>
                <w:rFonts w:hint="default" w:ascii="Times New Roman" w:hAnsi="Times New Roman" w:eastAsia="宋体" w:cs="Times New Roman"/>
                <w:b w:val="0"/>
                <w:bCs/>
                <w:color w:val="auto"/>
                <w:sz w:val="21"/>
                <w:szCs w:val="21"/>
                <w:lang w:val="en-US" w:eastAsia="zh-CN"/>
              </w:rPr>
              <w:t>45</w:t>
            </w:r>
            <w:r>
              <w:rPr>
                <w:rFonts w:hint="default" w:ascii="Times New Roman" w:hAnsi="Times New Roman" w:eastAsia="宋体" w:cs="Times New Roman"/>
                <w:b w:val="0"/>
                <w:bCs/>
                <w:color w:val="auto"/>
                <w:sz w:val="21"/>
                <w:szCs w:val="21"/>
              </w:rPr>
              <w:t>dB(A))</w:t>
            </w:r>
          </w:p>
        </w:tc>
        <w:tc>
          <w:tcPr>
            <w:tcW w:w="2675" w:type="dxa"/>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厂界噪声符合《工业企业厂界环境噪声排放标准》(GB12348-2008)</w:t>
            </w:r>
          </w:p>
        </w:tc>
        <w:tc>
          <w:tcPr>
            <w:tcW w:w="428" w:type="dxa"/>
            <w:vMerge w:val="continue"/>
            <w:noWrap w:val="0"/>
            <w:vAlign w:val="center"/>
          </w:tcPr>
          <w:p>
            <w:pPr>
              <w:jc w:val="center"/>
              <w:rPr>
                <w:rFonts w:hint="default" w:ascii="Times New Roman" w:hAnsi="Times New Roman" w:eastAsia="宋体" w:cs="Times New Roman"/>
                <w:b w:val="0"/>
                <w:bCs/>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restar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固废</w:t>
            </w:r>
          </w:p>
        </w:tc>
        <w:tc>
          <w:tcPr>
            <w:tcW w:w="9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sz w:val="21"/>
                <w:szCs w:val="21"/>
              </w:rPr>
              <w:t>除尘器</w:t>
            </w:r>
          </w:p>
        </w:tc>
        <w:tc>
          <w:tcPr>
            <w:tcW w:w="973"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rPr>
              <w:t>除尘灰</w:t>
            </w:r>
          </w:p>
        </w:tc>
        <w:tc>
          <w:tcPr>
            <w:tcW w:w="1467" w:type="dxa"/>
            <w:noWrap w:val="0"/>
            <w:vAlign w:val="center"/>
          </w:tcPr>
          <w:p>
            <w:pPr>
              <w:adjustRightIn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w:t>
            </w:r>
          </w:p>
        </w:tc>
        <w:tc>
          <w:tcPr>
            <w:tcW w:w="644" w:type="dxa"/>
            <w:noWrap w:val="0"/>
            <w:vAlign w:val="center"/>
          </w:tcPr>
          <w:p>
            <w:pPr>
              <w:adjustRightIn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w:t>
            </w:r>
          </w:p>
        </w:tc>
        <w:tc>
          <w:tcPr>
            <w:tcW w:w="1467" w:type="dxa"/>
            <w:noWrap w:val="0"/>
            <w:vAlign w:val="center"/>
          </w:tcPr>
          <w:p>
            <w:pPr>
              <w:jc w:val="center"/>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eastAsia="zh-CN"/>
              </w:rPr>
              <w:t>回用于选矿</w:t>
            </w:r>
          </w:p>
        </w:tc>
        <w:tc>
          <w:tcPr>
            <w:tcW w:w="2675" w:type="dxa"/>
            <w:vMerge w:val="restart"/>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分类收集、分类存放，分类处置，有效处理与处置、不外排。</w:t>
            </w:r>
          </w:p>
        </w:tc>
        <w:tc>
          <w:tcPr>
            <w:tcW w:w="428" w:type="dxa"/>
            <w:vMerge w:val="continue"/>
            <w:noWrap w:val="0"/>
            <w:vAlign w:val="center"/>
          </w:tcPr>
          <w:p>
            <w:pPr>
              <w:jc w:val="center"/>
              <w:rPr>
                <w:rFonts w:hint="default" w:ascii="Times New Roman" w:hAnsi="Times New Roman" w:eastAsia="宋体" w:cs="Times New Roman"/>
                <w:b w:val="0"/>
                <w:bCs/>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continue"/>
            <w:noWrap w:val="0"/>
            <w:vAlign w:val="center"/>
          </w:tcPr>
          <w:p>
            <w:pPr>
              <w:jc w:val="center"/>
              <w:rPr>
                <w:rFonts w:hint="default" w:ascii="Times New Roman" w:hAnsi="Times New Roman" w:eastAsia="宋体" w:cs="Times New Roman"/>
                <w:b w:val="0"/>
                <w:bCs/>
                <w:color w:val="auto"/>
                <w:sz w:val="21"/>
                <w:szCs w:val="21"/>
              </w:rPr>
            </w:pPr>
          </w:p>
        </w:tc>
        <w:tc>
          <w:tcPr>
            <w:tcW w:w="9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rPr>
              <w:t>职工生活</w:t>
            </w:r>
          </w:p>
        </w:tc>
        <w:tc>
          <w:tcPr>
            <w:tcW w:w="973"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rPr>
              <w:t>生活垃圾</w:t>
            </w:r>
          </w:p>
        </w:tc>
        <w:tc>
          <w:tcPr>
            <w:tcW w:w="1467" w:type="dxa"/>
            <w:noWrap w:val="0"/>
            <w:vAlign w:val="center"/>
          </w:tcPr>
          <w:p>
            <w:pPr>
              <w:adjustRightIn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生活垃圾桶</w:t>
            </w:r>
          </w:p>
        </w:tc>
        <w:tc>
          <w:tcPr>
            <w:tcW w:w="644" w:type="dxa"/>
            <w:noWrap w:val="0"/>
            <w:vAlign w:val="center"/>
          </w:tcPr>
          <w:p>
            <w:pPr>
              <w:adjustRightIn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5个</w:t>
            </w:r>
          </w:p>
        </w:tc>
        <w:tc>
          <w:tcPr>
            <w:tcW w:w="1467" w:type="dxa"/>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eastAsia="zh-CN"/>
              </w:rPr>
              <w:t>依托</w:t>
            </w:r>
          </w:p>
        </w:tc>
        <w:tc>
          <w:tcPr>
            <w:tcW w:w="2675" w:type="dxa"/>
            <w:vMerge w:val="continue"/>
            <w:noWrap w:val="0"/>
            <w:vAlign w:val="center"/>
          </w:tcPr>
          <w:p>
            <w:pPr>
              <w:jc w:val="center"/>
              <w:rPr>
                <w:rFonts w:hint="default" w:ascii="Times New Roman" w:hAnsi="Times New Roman" w:eastAsia="宋体" w:cs="Times New Roman"/>
                <w:b w:val="0"/>
                <w:bCs/>
                <w:color w:val="auto"/>
                <w:sz w:val="21"/>
                <w:szCs w:val="21"/>
              </w:rPr>
            </w:pPr>
          </w:p>
        </w:tc>
        <w:tc>
          <w:tcPr>
            <w:tcW w:w="428" w:type="dxa"/>
            <w:vMerge w:val="continue"/>
            <w:noWrap w:val="0"/>
            <w:vAlign w:val="center"/>
          </w:tcPr>
          <w:p>
            <w:pPr>
              <w:jc w:val="center"/>
              <w:rPr>
                <w:rFonts w:hint="default" w:ascii="Times New Roman" w:hAnsi="Times New Roman" w:eastAsia="宋体" w:cs="Times New Roman"/>
                <w:b w:val="0"/>
                <w:bCs/>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continue"/>
            <w:noWrap w:val="0"/>
            <w:vAlign w:val="center"/>
          </w:tcPr>
          <w:p>
            <w:pPr>
              <w:jc w:val="center"/>
              <w:rPr>
                <w:rFonts w:hint="default" w:ascii="Times New Roman" w:hAnsi="Times New Roman" w:eastAsia="宋体" w:cs="Times New Roman"/>
                <w:b w:val="0"/>
                <w:bCs/>
                <w:color w:val="auto"/>
                <w:sz w:val="21"/>
                <w:szCs w:val="21"/>
              </w:rPr>
            </w:pPr>
          </w:p>
        </w:tc>
        <w:tc>
          <w:tcPr>
            <w:tcW w:w="9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生产</w:t>
            </w:r>
          </w:p>
        </w:tc>
        <w:tc>
          <w:tcPr>
            <w:tcW w:w="973"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尾矿</w:t>
            </w:r>
          </w:p>
        </w:tc>
        <w:tc>
          <w:tcPr>
            <w:tcW w:w="1467" w:type="dxa"/>
            <w:noWrap w:val="0"/>
            <w:vAlign w:val="center"/>
          </w:tcPr>
          <w:p>
            <w:pPr>
              <w:adjustRightInd w:val="0"/>
              <w:jc w:val="center"/>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eastAsia="zh-CN"/>
              </w:rPr>
              <w:t>尾矿仓</w:t>
            </w:r>
          </w:p>
        </w:tc>
        <w:tc>
          <w:tcPr>
            <w:tcW w:w="644" w:type="dxa"/>
            <w:noWrap w:val="0"/>
            <w:vAlign w:val="center"/>
          </w:tcPr>
          <w:p>
            <w:pPr>
              <w:adjustRightIn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1处</w:t>
            </w:r>
          </w:p>
        </w:tc>
        <w:tc>
          <w:tcPr>
            <w:tcW w:w="1467" w:type="dxa"/>
            <w:noWrap w:val="0"/>
            <w:vAlign w:val="center"/>
          </w:tcPr>
          <w:p>
            <w:pPr>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300m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，防渗、带标示</w:t>
            </w:r>
          </w:p>
        </w:tc>
        <w:tc>
          <w:tcPr>
            <w:tcW w:w="2675" w:type="dxa"/>
            <w:vMerge w:val="continue"/>
            <w:noWrap w:val="0"/>
            <w:vAlign w:val="center"/>
          </w:tcPr>
          <w:p>
            <w:pPr>
              <w:jc w:val="center"/>
              <w:rPr>
                <w:rFonts w:hint="default" w:ascii="Times New Roman" w:hAnsi="Times New Roman" w:eastAsia="宋体" w:cs="Times New Roman"/>
                <w:b w:val="0"/>
                <w:bCs/>
                <w:color w:val="auto"/>
                <w:sz w:val="21"/>
                <w:szCs w:val="21"/>
              </w:rPr>
            </w:pPr>
          </w:p>
        </w:tc>
        <w:tc>
          <w:tcPr>
            <w:tcW w:w="428" w:type="dxa"/>
            <w:vMerge w:val="continue"/>
            <w:noWrap w:val="0"/>
            <w:vAlign w:val="center"/>
          </w:tcPr>
          <w:p>
            <w:pPr>
              <w:jc w:val="center"/>
              <w:rPr>
                <w:rFonts w:hint="default" w:ascii="Times New Roman" w:hAnsi="Times New Roman" w:eastAsia="宋体" w:cs="Times New Roman"/>
                <w:b w:val="0"/>
                <w:bCs/>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vMerge w:val="continue"/>
            <w:noWrap w:val="0"/>
            <w:vAlign w:val="center"/>
          </w:tcPr>
          <w:p>
            <w:pPr>
              <w:jc w:val="center"/>
              <w:rPr>
                <w:rFonts w:hint="default" w:ascii="Times New Roman" w:hAnsi="Times New Roman" w:eastAsia="宋体" w:cs="Times New Roman"/>
                <w:b w:val="0"/>
                <w:bCs/>
                <w:color w:val="auto"/>
                <w:sz w:val="21"/>
                <w:szCs w:val="21"/>
              </w:rPr>
            </w:pPr>
          </w:p>
        </w:tc>
        <w:tc>
          <w:tcPr>
            <w:tcW w:w="960"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生产设备</w:t>
            </w:r>
          </w:p>
        </w:tc>
        <w:tc>
          <w:tcPr>
            <w:tcW w:w="973"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eastAsia="宋体" w:cs="Times New Roman"/>
                <w:b w:val="0"/>
                <w:bCs/>
                <w:color w:val="auto"/>
                <w:kern w:val="0"/>
                <w:sz w:val="21"/>
                <w:szCs w:val="21"/>
                <w:lang w:eastAsia="zh-CN"/>
              </w:rPr>
              <w:t>废机油</w:t>
            </w:r>
          </w:p>
        </w:tc>
        <w:tc>
          <w:tcPr>
            <w:tcW w:w="1467" w:type="dxa"/>
            <w:noWrap w:val="0"/>
            <w:vAlign w:val="center"/>
          </w:tcPr>
          <w:p>
            <w:pPr>
              <w:adjustRightInd w:val="0"/>
              <w:jc w:val="center"/>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eastAsia="zh-CN"/>
              </w:rPr>
              <w:t>危废间</w:t>
            </w:r>
          </w:p>
        </w:tc>
        <w:tc>
          <w:tcPr>
            <w:tcW w:w="644" w:type="dxa"/>
            <w:noWrap w:val="0"/>
            <w:vAlign w:val="center"/>
          </w:tcPr>
          <w:p>
            <w:pPr>
              <w:adjustRightIn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1间</w:t>
            </w:r>
          </w:p>
        </w:tc>
        <w:tc>
          <w:tcPr>
            <w:tcW w:w="1467" w:type="dxa"/>
            <w:noWrap w:val="0"/>
            <w:vAlign w:val="center"/>
          </w:tcPr>
          <w:p>
            <w:pPr>
              <w:jc w:val="center"/>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val="en-US" w:eastAsia="zh-CN"/>
              </w:rPr>
              <w:t>10m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，防渗、带标示</w:t>
            </w:r>
          </w:p>
        </w:tc>
        <w:tc>
          <w:tcPr>
            <w:tcW w:w="2675" w:type="dxa"/>
            <w:vMerge w:val="continue"/>
            <w:noWrap w:val="0"/>
            <w:vAlign w:val="center"/>
          </w:tcPr>
          <w:p>
            <w:pPr>
              <w:jc w:val="center"/>
              <w:rPr>
                <w:rFonts w:hint="default" w:ascii="Times New Roman" w:hAnsi="Times New Roman" w:eastAsia="宋体" w:cs="Times New Roman"/>
                <w:b w:val="0"/>
                <w:bCs/>
                <w:color w:val="auto"/>
                <w:sz w:val="21"/>
                <w:szCs w:val="21"/>
              </w:rPr>
            </w:pPr>
          </w:p>
        </w:tc>
        <w:tc>
          <w:tcPr>
            <w:tcW w:w="428" w:type="dxa"/>
            <w:vMerge w:val="continue"/>
            <w:noWrap w:val="0"/>
            <w:vAlign w:val="center"/>
          </w:tcPr>
          <w:p>
            <w:pPr>
              <w:jc w:val="center"/>
              <w:rPr>
                <w:rFonts w:hint="default" w:ascii="Times New Roman" w:hAnsi="Times New Roman" w:eastAsia="宋体" w:cs="Times New Roman"/>
                <w:b w:val="0"/>
                <w:bCs/>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3" w:type="dxa"/>
            <w:noWrap w:val="0"/>
            <w:vAlign w:val="center"/>
          </w:tcPr>
          <w:p>
            <w:pPr>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风险</w:t>
            </w:r>
          </w:p>
        </w:tc>
        <w:tc>
          <w:tcPr>
            <w:tcW w:w="8186" w:type="dxa"/>
            <w:gridSpan w:val="6"/>
            <w:noWrap w:val="0"/>
            <w:vAlign w:val="center"/>
          </w:tcPr>
          <w:p>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val="en-US" w:eastAsia="zh-CN"/>
              </w:rPr>
              <w:t>事故池，3000m</w:t>
            </w:r>
            <w:r>
              <w:rPr>
                <w:rFonts w:hint="default" w:ascii="Times New Roman" w:hAnsi="Times New Roman" w:eastAsia="宋体" w:cs="Times New Roman"/>
                <w:b w:val="0"/>
                <w:bCs/>
                <w:color w:val="auto"/>
                <w:sz w:val="21"/>
                <w:szCs w:val="21"/>
                <w:vertAlign w:val="superscript"/>
                <w:lang w:val="en-US" w:eastAsia="zh-CN"/>
              </w:rPr>
              <w:t>3</w:t>
            </w:r>
          </w:p>
        </w:tc>
        <w:tc>
          <w:tcPr>
            <w:tcW w:w="428" w:type="dxa"/>
            <w:vMerge w:val="continue"/>
            <w:noWrap w:val="0"/>
            <w:vAlign w:val="center"/>
          </w:tcPr>
          <w:p>
            <w:pPr>
              <w:jc w:val="center"/>
              <w:rPr>
                <w:rFonts w:hint="default" w:ascii="Times New Roman" w:hAnsi="Times New Roman" w:eastAsia="宋体" w:cs="Times New Roman"/>
                <w:b w:val="0"/>
                <w:bCs/>
                <w:color w:val="auto"/>
                <w:sz w:val="21"/>
                <w:szCs w:val="21"/>
              </w:rPr>
            </w:pPr>
          </w:p>
        </w:tc>
      </w:tr>
    </w:tbl>
    <w:p>
      <w:pPr>
        <w:pStyle w:val="4"/>
        <w:spacing w:line="360" w:lineRule="auto"/>
        <w:rPr>
          <w:rFonts w:hint="default" w:ascii="Times New Roman" w:hAnsi="Times New Roman" w:eastAsia="宋体" w:cs="Times New Roman"/>
          <w:color w:val="auto"/>
          <w:sz w:val="28"/>
          <w:szCs w:val="28"/>
          <w:lang w:val="en-US" w:eastAsia="zh-CN"/>
        </w:rPr>
      </w:pPr>
      <w:bookmarkStart w:id="478" w:name="_Toc28514"/>
      <w:bookmarkStart w:id="479" w:name="_Toc28904"/>
      <w:r>
        <w:rPr>
          <w:rFonts w:hint="default" w:ascii="Times New Roman" w:hAnsi="Times New Roman" w:eastAsia="宋体" w:cs="Times New Roman"/>
          <w:color w:val="auto"/>
          <w:sz w:val="28"/>
          <w:szCs w:val="28"/>
          <w:lang w:val="en-US" w:eastAsia="zh-CN"/>
        </w:rPr>
        <w:t>9.7排污许可</w:t>
      </w:r>
      <w:bookmarkEnd w:id="478"/>
      <w:bookmarkEnd w:id="479"/>
    </w:p>
    <w:p>
      <w:pPr>
        <w:bidi w:val="0"/>
        <w:spacing w:line="360" w:lineRule="auto"/>
        <w:ind w:firstLine="512" w:firstLineChars="200"/>
        <w:rPr>
          <w:rFonts w:hint="default" w:ascii="Times New Roman" w:hAnsi="Times New Roman" w:eastAsia="宋体" w:cs="Times New Roman"/>
          <w:bCs/>
          <w:color w:val="auto"/>
          <w:spacing w:val="8"/>
          <w:kern w:val="0"/>
          <w:sz w:val="24"/>
          <w:szCs w:val="24"/>
          <w:lang w:val="en-US" w:eastAsia="zh-CN" w:bidi="ar-SA"/>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Cs/>
          <w:color w:val="auto"/>
          <w:spacing w:val="8"/>
          <w:kern w:val="0"/>
          <w:sz w:val="24"/>
          <w:szCs w:val="24"/>
          <w:lang w:val="en-US" w:eastAsia="zh-CN" w:bidi="ar-SA"/>
        </w:rPr>
        <w:t>根据环境保护部印发《固定污染源排污许可分类管理名录（2019年版）》，本项目属于“四、黑色金属矿采选业，铁矿采选081”，本项目不涉及通用工序，为实行登记管理的行业，应于项目建成后，实际发生排污前变更排污登记。</w:t>
      </w:r>
    </w:p>
    <w:p>
      <w:pPr>
        <w:pStyle w:val="346"/>
        <w:spacing w:beforeLines="50" w:line="480" w:lineRule="exact"/>
        <w:rPr>
          <w:rFonts w:hint="default" w:ascii="Times New Roman" w:hAnsi="Times New Roman" w:eastAsia="宋体" w:cs="Times New Roman"/>
          <w:color w:val="auto"/>
        </w:rPr>
      </w:pPr>
      <w:bookmarkStart w:id="480" w:name="_Toc24651"/>
      <w:r>
        <w:rPr>
          <w:rFonts w:hint="default" w:ascii="Times New Roman" w:hAnsi="Times New Roman" w:eastAsia="宋体" w:cs="Times New Roman"/>
          <w:color w:val="auto"/>
        </w:rPr>
        <w:t>10结论</w:t>
      </w:r>
      <w:bookmarkEnd w:id="460"/>
      <w:bookmarkEnd w:id="480"/>
    </w:p>
    <w:p>
      <w:pPr>
        <w:pStyle w:val="4"/>
        <w:spacing w:line="360" w:lineRule="auto"/>
        <w:rPr>
          <w:rFonts w:hint="default" w:ascii="Times New Roman" w:hAnsi="Times New Roman" w:eastAsia="宋体" w:cs="Times New Roman"/>
          <w:color w:val="auto"/>
          <w:sz w:val="28"/>
          <w:szCs w:val="28"/>
        </w:rPr>
      </w:pPr>
      <w:bookmarkStart w:id="481" w:name="_Toc524081491"/>
      <w:bookmarkStart w:id="482" w:name="_Toc478199925"/>
      <w:bookmarkStart w:id="483" w:name="_Toc6789"/>
      <w:bookmarkStart w:id="484" w:name="_Toc3762"/>
      <w:r>
        <w:rPr>
          <w:rFonts w:hint="default" w:ascii="Times New Roman" w:hAnsi="Times New Roman" w:eastAsia="宋体" w:cs="Times New Roman"/>
          <w:color w:val="auto"/>
          <w:sz w:val="28"/>
          <w:szCs w:val="28"/>
        </w:rPr>
        <w:t>10.1工程概况</w:t>
      </w:r>
      <w:bookmarkEnd w:id="481"/>
      <w:bookmarkEnd w:id="482"/>
      <w:bookmarkEnd w:id="483"/>
      <w:bookmarkEnd w:id="48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kern w:val="2"/>
          <w:sz w:val="24"/>
          <w:szCs w:val="24"/>
          <w:lang w:eastAsia="zh-CN"/>
        </w:rPr>
        <w:t>北票市冶通矿业有限公司年产50万吨铁精粉建设项目</w:t>
      </w:r>
      <w:r>
        <w:rPr>
          <w:rFonts w:hint="default" w:ascii="Times New Roman" w:hAnsi="Times New Roman" w:eastAsia="宋体" w:cs="Times New Roman"/>
          <w:color w:val="auto"/>
          <w:sz w:val="24"/>
          <w:szCs w:val="24"/>
        </w:rPr>
        <w:t>位于</w:t>
      </w:r>
      <w:r>
        <w:rPr>
          <w:rFonts w:hint="default" w:ascii="Times New Roman" w:hAnsi="Times New Roman" w:eastAsia="宋体" w:cs="Times New Roman"/>
          <w:color w:val="auto"/>
          <w:kern w:val="2"/>
          <w:sz w:val="24"/>
          <w:szCs w:val="24"/>
        </w:rPr>
        <w:t>辽宁省朝阳市北票市东官营乡小巴沟村</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占地</w:t>
      </w:r>
      <w:r>
        <w:rPr>
          <w:rFonts w:hint="default" w:ascii="Times New Roman" w:hAnsi="Times New Roman" w:eastAsia="宋体" w:cs="Times New Roman"/>
          <w:color w:val="auto"/>
          <w:sz w:val="24"/>
          <w:szCs w:val="24"/>
          <w:lang w:val="en-US" w:eastAsia="zh-CN"/>
        </w:rPr>
        <w:t>66552</w:t>
      </w:r>
      <w:r>
        <w:rPr>
          <w:rFonts w:hint="default" w:ascii="Times New Roman" w:hAnsi="Times New Roman" w:eastAsia="宋体" w:cs="Times New Roman"/>
          <w:color w:val="auto"/>
          <w:sz w:val="24"/>
          <w:szCs w:val="24"/>
          <w:lang w:eastAsia="zh-CN"/>
        </w:rPr>
        <w:t>m</w:t>
      </w:r>
      <w:r>
        <w:rPr>
          <w:rFonts w:hint="default" w:ascii="Times New Roman" w:hAnsi="Times New Roman" w:eastAsia="宋体" w:cs="Times New Roman"/>
          <w:color w:val="auto"/>
          <w:sz w:val="24"/>
          <w:szCs w:val="24"/>
          <w:vertAlign w:val="superscript"/>
          <w:lang w:eastAsia="zh-CN"/>
        </w:rPr>
        <w:t>2</w:t>
      </w:r>
      <w:r>
        <w:rPr>
          <w:rFonts w:hint="default" w:ascii="Times New Roman" w:hAnsi="Times New Roman" w:eastAsia="宋体" w:cs="Times New Roman"/>
          <w:color w:val="auto"/>
          <w:sz w:val="24"/>
          <w:szCs w:val="24"/>
          <w:lang w:val="en-US" w:eastAsia="zh-CN"/>
        </w:rPr>
        <w:t>，新建破碎车间1处，球磨车间1间，改造原有球磨车间1间，干排车间1间及其它附属设施，</w:t>
      </w:r>
      <w:r>
        <w:rPr>
          <w:rFonts w:hint="default" w:ascii="Times New Roman" w:hAnsi="Times New Roman" w:eastAsia="宋体" w:cs="Times New Roman"/>
          <w:color w:val="auto"/>
          <w:kern w:val="2"/>
          <w:sz w:val="24"/>
          <w:szCs w:val="24"/>
          <w:lang w:eastAsia="zh-CN"/>
        </w:rPr>
        <w:t>年产铁精粉</w:t>
      </w:r>
      <w:r>
        <w:rPr>
          <w:rFonts w:hint="default" w:ascii="Times New Roman" w:hAnsi="Times New Roman" w:eastAsia="宋体" w:cs="Times New Roman"/>
          <w:color w:val="auto"/>
          <w:kern w:val="2"/>
          <w:sz w:val="24"/>
          <w:szCs w:val="24"/>
          <w:lang w:val="en-US" w:eastAsia="zh-CN"/>
        </w:rPr>
        <w:t>50万吨。</w:t>
      </w:r>
    </w:p>
    <w:p>
      <w:pPr>
        <w:pStyle w:val="4"/>
        <w:spacing w:line="360" w:lineRule="auto"/>
        <w:rPr>
          <w:rFonts w:hint="default" w:ascii="Times New Roman" w:hAnsi="Times New Roman" w:eastAsia="宋体" w:cs="Times New Roman"/>
          <w:color w:val="auto"/>
          <w:sz w:val="28"/>
          <w:szCs w:val="28"/>
        </w:rPr>
      </w:pPr>
      <w:bookmarkStart w:id="485" w:name="_Toc478199926"/>
      <w:bookmarkStart w:id="486" w:name="_Toc4540"/>
      <w:bookmarkStart w:id="487" w:name="_Toc524081492"/>
      <w:bookmarkStart w:id="488" w:name="_Toc5380"/>
      <w:r>
        <w:rPr>
          <w:rFonts w:hint="default" w:ascii="Times New Roman" w:hAnsi="Times New Roman" w:eastAsia="宋体" w:cs="Times New Roman"/>
          <w:color w:val="auto"/>
          <w:sz w:val="28"/>
          <w:szCs w:val="28"/>
        </w:rPr>
        <w:t>10.2产业政策符合性</w:t>
      </w:r>
      <w:bookmarkEnd w:id="485"/>
      <w:bookmarkEnd w:id="486"/>
      <w:bookmarkEnd w:id="487"/>
      <w:bookmarkEnd w:id="48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color w:val="auto"/>
          <w:sz w:val="24"/>
          <w:szCs w:val="24"/>
        </w:rPr>
        <w:t>本项目为</w:t>
      </w:r>
      <w:r>
        <w:rPr>
          <w:rFonts w:hint="default" w:ascii="Times New Roman" w:hAnsi="Times New Roman" w:eastAsia="宋体" w:cs="Times New Roman"/>
          <w:color w:val="auto"/>
          <w:sz w:val="24"/>
          <w:szCs w:val="24"/>
          <w:lang w:eastAsia="zh-CN"/>
        </w:rPr>
        <w:t>其它黑色金属矿采选</w:t>
      </w:r>
      <w:r>
        <w:rPr>
          <w:rFonts w:hint="default" w:ascii="Times New Roman" w:hAnsi="Times New Roman" w:eastAsia="宋体" w:cs="Times New Roman"/>
          <w:color w:val="auto"/>
          <w:sz w:val="24"/>
          <w:szCs w:val="24"/>
        </w:rPr>
        <w:t>项目，根据国家发展和改革委员会《产业结构调整指导目录</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2019年本</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》，本项目属于“</w:t>
      </w:r>
      <w:r>
        <w:rPr>
          <w:rFonts w:hint="default" w:ascii="Times New Roman" w:hAnsi="Times New Roman" w:eastAsia="宋体" w:cs="Times New Roman"/>
          <w:color w:val="auto"/>
          <w:sz w:val="24"/>
          <w:szCs w:val="24"/>
          <w:lang w:eastAsia="zh-CN"/>
        </w:rPr>
        <w:t>允许</w:t>
      </w:r>
      <w:r>
        <w:rPr>
          <w:rFonts w:hint="default" w:ascii="Times New Roman" w:hAnsi="Times New Roman" w:eastAsia="宋体" w:cs="Times New Roman"/>
          <w:color w:val="auto"/>
          <w:sz w:val="24"/>
          <w:szCs w:val="24"/>
        </w:rPr>
        <w:t>类”</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符合国家相关产业政策。</w:t>
      </w:r>
    </w:p>
    <w:p>
      <w:pPr>
        <w:pStyle w:val="4"/>
        <w:spacing w:line="360" w:lineRule="auto"/>
        <w:rPr>
          <w:rFonts w:hint="default" w:ascii="Times New Roman" w:hAnsi="Times New Roman" w:eastAsia="宋体" w:cs="Times New Roman"/>
          <w:color w:val="auto"/>
          <w:sz w:val="28"/>
          <w:szCs w:val="28"/>
        </w:rPr>
      </w:pPr>
      <w:bookmarkStart w:id="489" w:name="_Toc524081493"/>
      <w:bookmarkStart w:id="490" w:name="_Toc31205"/>
      <w:bookmarkStart w:id="491" w:name="_Toc478199927"/>
      <w:bookmarkStart w:id="492" w:name="_Toc4624"/>
      <w:r>
        <w:rPr>
          <w:rFonts w:hint="default" w:ascii="Times New Roman" w:hAnsi="Times New Roman" w:eastAsia="宋体" w:cs="Times New Roman"/>
          <w:color w:val="auto"/>
          <w:sz w:val="28"/>
          <w:szCs w:val="28"/>
        </w:rPr>
        <w:t>10.3项目</w:t>
      </w:r>
      <w:r>
        <w:rPr>
          <w:rFonts w:hint="default" w:ascii="Times New Roman" w:hAnsi="Times New Roman" w:eastAsia="宋体" w:cs="Times New Roman"/>
          <w:color w:val="auto"/>
          <w:sz w:val="28"/>
          <w:szCs w:val="28"/>
          <w:lang w:val="en-US" w:eastAsia="zh-CN"/>
        </w:rPr>
        <w:t>规划、</w:t>
      </w:r>
      <w:r>
        <w:rPr>
          <w:rFonts w:hint="default" w:ascii="Times New Roman" w:hAnsi="Times New Roman" w:eastAsia="宋体" w:cs="Times New Roman"/>
          <w:color w:val="auto"/>
          <w:sz w:val="28"/>
          <w:szCs w:val="28"/>
        </w:rPr>
        <w:t>选址</w:t>
      </w:r>
      <w:r>
        <w:rPr>
          <w:rFonts w:hint="default" w:ascii="Times New Roman" w:hAnsi="Times New Roman" w:eastAsia="宋体" w:cs="Times New Roman"/>
          <w:color w:val="auto"/>
          <w:sz w:val="28"/>
          <w:szCs w:val="28"/>
          <w:lang w:val="en-US" w:eastAsia="zh-CN"/>
        </w:rPr>
        <w:t>符合性</w:t>
      </w:r>
      <w:r>
        <w:rPr>
          <w:rFonts w:hint="default" w:ascii="Times New Roman" w:hAnsi="Times New Roman" w:eastAsia="宋体" w:cs="Times New Roman"/>
          <w:color w:val="auto"/>
          <w:sz w:val="28"/>
          <w:szCs w:val="28"/>
        </w:rPr>
        <w:t>分析</w:t>
      </w:r>
      <w:bookmarkEnd w:id="489"/>
      <w:bookmarkEnd w:id="490"/>
      <w:bookmarkEnd w:id="491"/>
      <w:bookmarkEnd w:id="492"/>
    </w:p>
    <w:p>
      <w:pPr>
        <w:bidi w:val="0"/>
        <w:spacing w:line="360" w:lineRule="auto"/>
        <w:rPr>
          <w:rFonts w:hint="default" w:ascii="Times New Roman" w:hAnsi="Times New Roman" w:eastAsia="宋体" w:cs="Times New Roman"/>
          <w:b/>
          <w:bCs/>
          <w:color w:val="auto"/>
          <w:sz w:val="28"/>
          <w:szCs w:val="28"/>
          <w:lang w:val="en-US" w:eastAsia="zh-CN"/>
        </w:rPr>
      </w:pPr>
      <w:bookmarkStart w:id="493" w:name="_Toc6612"/>
      <w:r>
        <w:rPr>
          <w:rFonts w:hint="default" w:ascii="Times New Roman" w:hAnsi="Times New Roman" w:eastAsia="宋体" w:cs="Times New Roman"/>
          <w:b/>
          <w:bCs/>
          <w:color w:val="auto"/>
          <w:sz w:val="28"/>
          <w:szCs w:val="28"/>
          <w:lang w:val="en-US" w:eastAsia="zh-CN"/>
        </w:rPr>
        <w:t>10.3.1规划符合性</w:t>
      </w:r>
      <w:bookmarkEnd w:id="493"/>
    </w:p>
    <w:p>
      <w:pPr>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本项目符合《钢铁产业发展政策》，符合</w:t>
      </w:r>
      <w:r>
        <w:rPr>
          <w:rFonts w:hint="default" w:ascii="Times New Roman" w:hAnsi="Times New Roman" w:eastAsia="宋体" w:cs="Times New Roman"/>
          <w:color w:val="000000"/>
          <w:kern w:val="0"/>
          <w:sz w:val="24"/>
        </w:rPr>
        <w:t>《关于深入贯彻落实新发展理念全面实施非煤矿山综合治理的意见》</w:t>
      </w:r>
      <w:r>
        <w:rPr>
          <w:rFonts w:hint="default" w:ascii="Times New Roman" w:hAnsi="Times New Roman" w:eastAsia="宋体" w:cs="Times New Roman"/>
          <w:color w:val="auto"/>
          <w:sz w:val="24"/>
        </w:rPr>
        <w:t>。</w:t>
      </w:r>
    </w:p>
    <w:p>
      <w:pPr>
        <w:bidi w:val="0"/>
        <w:spacing w:line="360" w:lineRule="auto"/>
        <w:rPr>
          <w:rFonts w:hint="default" w:ascii="Times New Roman" w:hAnsi="Times New Roman" w:eastAsia="宋体" w:cs="Times New Roman"/>
          <w:b/>
          <w:bCs/>
          <w:color w:val="auto"/>
          <w:sz w:val="28"/>
          <w:szCs w:val="28"/>
          <w:lang w:val="en-US" w:eastAsia="zh-CN"/>
        </w:rPr>
      </w:pPr>
      <w:bookmarkStart w:id="494" w:name="_Toc11072"/>
      <w:r>
        <w:rPr>
          <w:rFonts w:hint="default" w:ascii="Times New Roman" w:hAnsi="Times New Roman" w:eastAsia="宋体" w:cs="Times New Roman"/>
          <w:b/>
          <w:bCs/>
          <w:color w:val="auto"/>
          <w:sz w:val="28"/>
          <w:szCs w:val="28"/>
          <w:lang w:val="en-US" w:eastAsia="zh-CN"/>
        </w:rPr>
        <w:t>10.3.2选址合理性</w:t>
      </w:r>
      <w:bookmarkEnd w:id="494"/>
    </w:p>
    <w:p>
      <w:pPr>
        <w:widowControl/>
        <w:spacing w:beforeLines="50" w:line="360" w:lineRule="auto"/>
        <w:ind w:firstLine="480" w:firstLineChars="200"/>
        <w:jc w:val="left"/>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本项目位于辽宁省</w:t>
      </w:r>
      <w:r>
        <w:rPr>
          <w:rFonts w:hint="default" w:ascii="Times New Roman" w:hAnsi="Times New Roman" w:eastAsia="宋体" w:cs="Times New Roman"/>
          <w:color w:val="auto"/>
          <w:kern w:val="2"/>
          <w:sz w:val="24"/>
          <w:szCs w:val="24"/>
        </w:rPr>
        <w:t>朝阳市北票市东官营乡小巴沟村</w:t>
      </w:r>
      <w:r>
        <w:rPr>
          <w:rFonts w:hint="default" w:ascii="Times New Roman" w:hAnsi="Times New Roman" w:eastAsia="宋体" w:cs="Times New Roman"/>
          <w:color w:val="000000"/>
          <w:kern w:val="0"/>
          <w:sz w:val="24"/>
        </w:rPr>
        <w:t>，评价范围内无自然保护区、风景名胜区，无特殊保护动植物。本项目原材料供应、能源、交通等设施便利，给水、排水、电力、交通等均可与本项目相衔接，具有良好的外部条件。经对产生的废气、废水、噪声及固废采取相应的污染控制措施后，对周围环境质量影响较小。</w:t>
      </w:r>
    </w:p>
    <w:p>
      <w:pPr>
        <w:spacing w:line="360" w:lineRule="auto"/>
        <w:ind w:firstLine="480" w:firstLineChars="20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000000"/>
          <w:kern w:val="0"/>
          <w:sz w:val="24"/>
        </w:rPr>
        <w:t>项目的建设符合国家产业政策，本项目的建设对周围环境影响较小，本项目选址是可行的</w:t>
      </w:r>
      <w:r>
        <w:rPr>
          <w:rFonts w:hint="default" w:ascii="Times New Roman" w:hAnsi="Times New Roman" w:eastAsia="宋体" w:cs="Times New Roman"/>
          <w:color w:val="auto"/>
          <w:sz w:val="24"/>
          <w:lang w:val="en-US" w:eastAsia="zh-CN"/>
        </w:rPr>
        <w:t>。</w:t>
      </w:r>
    </w:p>
    <w:p>
      <w:pPr>
        <w:pStyle w:val="4"/>
        <w:spacing w:line="360" w:lineRule="auto"/>
        <w:rPr>
          <w:rFonts w:hint="default" w:ascii="Times New Roman" w:hAnsi="Times New Roman" w:eastAsia="宋体" w:cs="Times New Roman"/>
          <w:color w:val="auto"/>
          <w:sz w:val="28"/>
          <w:szCs w:val="28"/>
        </w:rPr>
      </w:pPr>
      <w:bookmarkStart w:id="495" w:name="_Toc6190"/>
      <w:bookmarkStart w:id="496" w:name="_Toc478199928"/>
      <w:bookmarkStart w:id="497" w:name="_Toc524081494"/>
      <w:bookmarkStart w:id="498" w:name="_Toc19587"/>
      <w:r>
        <w:rPr>
          <w:rFonts w:hint="default" w:ascii="Times New Roman" w:hAnsi="Times New Roman" w:eastAsia="宋体" w:cs="Times New Roman"/>
          <w:color w:val="auto"/>
          <w:sz w:val="28"/>
          <w:szCs w:val="28"/>
        </w:rPr>
        <w:t>10.4环境质量现状</w:t>
      </w:r>
      <w:bookmarkEnd w:id="495"/>
      <w:bookmarkEnd w:id="496"/>
      <w:bookmarkEnd w:id="497"/>
      <w:bookmarkEnd w:id="498"/>
    </w:p>
    <w:p>
      <w:pPr>
        <w:adjustRightInd w:val="0"/>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大气环境</w:t>
      </w:r>
    </w:p>
    <w:p>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b w:val="0"/>
          <w:bCs/>
          <w:color w:val="auto"/>
          <w:kern w:val="0"/>
          <w:sz w:val="24"/>
          <w:szCs w:val="24"/>
          <w:vertAlign w:val="baseline"/>
          <w:lang w:val="en-US" w:eastAsia="zh-CN"/>
        </w:rPr>
      </w:pPr>
      <w:r>
        <w:rPr>
          <w:rFonts w:hint="default" w:ascii="Times New Roman" w:hAnsi="Times New Roman" w:eastAsia="宋体" w:cs="Times New Roman"/>
          <w:bCs/>
          <w:color w:val="auto"/>
          <w:sz w:val="24"/>
          <w:szCs w:val="24"/>
        </w:rPr>
        <w:t>由</w:t>
      </w:r>
      <w:r>
        <w:rPr>
          <w:rFonts w:hint="default" w:ascii="Times New Roman" w:hAnsi="Times New Roman" w:eastAsia="宋体" w:cs="Times New Roman"/>
          <w:color w:val="auto"/>
          <w:sz w:val="24"/>
          <w:szCs w:val="24"/>
          <w:lang w:val="en-US" w:eastAsia="zh-CN"/>
        </w:rPr>
        <w:t>2020</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eastAsia="zh-CN"/>
        </w:rPr>
        <w:t>朝阳</w:t>
      </w:r>
      <w:r>
        <w:rPr>
          <w:rFonts w:hint="default" w:ascii="Times New Roman" w:hAnsi="Times New Roman" w:eastAsia="宋体" w:cs="Times New Roman"/>
          <w:color w:val="auto"/>
          <w:sz w:val="24"/>
          <w:szCs w:val="24"/>
        </w:rPr>
        <w:t>市环境空气质量6项指标累计结果</w:t>
      </w:r>
      <w:r>
        <w:rPr>
          <w:rFonts w:hint="default" w:ascii="Times New Roman" w:hAnsi="Times New Roman" w:eastAsia="宋体" w:cs="Times New Roman"/>
          <w:bCs/>
          <w:color w:val="auto"/>
          <w:sz w:val="24"/>
          <w:szCs w:val="24"/>
        </w:rPr>
        <w:t>，项目区域</w:t>
      </w:r>
      <w:r>
        <w:rPr>
          <w:rFonts w:hint="default" w:ascii="Times New Roman" w:hAnsi="Times New Roman" w:eastAsia="宋体" w:cs="Times New Roman"/>
          <w:color w:val="auto"/>
          <w:sz w:val="24"/>
          <w:szCs w:val="24"/>
        </w:rPr>
        <w:t>PM</w:t>
      </w:r>
      <w:r>
        <w:rPr>
          <w:rFonts w:hint="default" w:ascii="Times New Roman" w:hAnsi="Times New Roman" w:eastAsia="宋体" w:cs="Times New Roman"/>
          <w:color w:val="auto"/>
          <w:sz w:val="24"/>
          <w:szCs w:val="24"/>
          <w:vertAlign w:val="subscript"/>
        </w:rPr>
        <w:t>10</w:t>
      </w:r>
      <w:r>
        <w:rPr>
          <w:rFonts w:hint="default" w:ascii="Times New Roman" w:hAnsi="Times New Roman" w:eastAsia="宋体" w:cs="Times New Roman"/>
          <w:color w:val="auto"/>
          <w:sz w:val="24"/>
          <w:szCs w:val="24"/>
        </w:rPr>
        <w:t>、PM</w:t>
      </w:r>
      <w:r>
        <w:rPr>
          <w:rFonts w:hint="default" w:ascii="Times New Roman" w:hAnsi="Times New Roman" w:eastAsia="宋体" w:cs="Times New Roman"/>
          <w:color w:val="auto"/>
          <w:sz w:val="24"/>
          <w:szCs w:val="24"/>
          <w:vertAlign w:val="subscript"/>
          <w:lang w:val="en-US" w:eastAsia="zh-CN"/>
        </w:rPr>
        <w:t>2.5</w:t>
      </w:r>
      <w:r>
        <w:rPr>
          <w:rFonts w:hint="default" w:ascii="Times New Roman" w:hAnsi="Times New Roman" w:eastAsia="宋体" w:cs="Times New Roman"/>
          <w:color w:val="auto"/>
          <w:sz w:val="24"/>
          <w:szCs w:val="24"/>
        </w:rPr>
        <w:t>、SO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、NO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vertAlign w:val="baseline"/>
          <w:lang w:eastAsia="zh-CN"/>
        </w:rPr>
        <w:t>、</w:t>
      </w:r>
      <w:r>
        <w:rPr>
          <w:rFonts w:hint="default" w:ascii="Times New Roman" w:hAnsi="Times New Roman" w:eastAsia="宋体" w:cs="Times New Roman"/>
          <w:color w:val="auto"/>
          <w:sz w:val="24"/>
          <w:szCs w:val="24"/>
        </w:rPr>
        <w:t>O</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vertAlign w:val="baseline"/>
          <w:lang w:eastAsia="zh-CN"/>
        </w:rPr>
        <w:t>、</w:t>
      </w:r>
      <w:r>
        <w:rPr>
          <w:rFonts w:hint="default" w:ascii="Times New Roman" w:hAnsi="Times New Roman" w:eastAsia="宋体" w:cs="Times New Roman"/>
          <w:color w:val="auto"/>
          <w:sz w:val="24"/>
          <w:szCs w:val="24"/>
          <w:vertAlign w:val="baseline"/>
          <w:lang w:val="en-US" w:eastAsia="zh-CN"/>
        </w:rPr>
        <w:t>CO</w:t>
      </w:r>
      <w:r>
        <w:rPr>
          <w:rFonts w:hint="default" w:ascii="Times New Roman" w:hAnsi="Times New Roman" w:eastAsia="宋体" w:cs="Times New Roman"/>
          <w:bCs/>
          <w:color w:val="auto"/>
          <w:sz w:val="24"/>
          <w:szCs w:val="24"/>
        </w:rPr>
        <w:t>符合《环境空气质量标准》（GB3095-2012）二级标准，项目区域大气环境质量较好。</w:t>
      </w:r>
    </w:p>
    <w:p>
      <w:pPr>
        <w:spacing w:line="360" w:lineRule="auto"/>
        <w:ind w:firstLine="480" w:firstLineChars="200"/>
        <w:rPr>
          <w:rFonts w:hint="default" w:ascii="Times New Roman" w:hAnsi="Times New Roman" w:eastAsia="宋体" w:cs="Times New Roman"/>
          <w:bCs/>
          <w:color w:val="auto"/>
          <w:kern w:val="0"/>
          <w:szCs w:val="24"/>
          <w:shd w:val="clear" w:color="auto" w:fill="auto"/>
        </w:rPr>
      </w:pPr>
      <w:r>
        <w:rPr>
          <w:rFonts w:hint="default" w:ascii="Times New Roman" w:hAnsi="Times New Roman" w:eastAsia="宋体" w:cs="Times New Roman"/>
          <w:bCs/>
          <w:color w:val="auto"/>
          <w:sz w:val="24"/>
        </w:rPr>
        <w:t>由监测数据可知，项目区域</w:t>
      </w:r>
      <w:r>
        <w:rPr>
          <w:rFonts w:hint="default" w:ascii="Times New Roman" w:hAnsi="Times New Roman" w:eastAsia="宋体" w:cs="Times New Roman"/>
          <w:b w:val="0"/>
          <w:bCs/>
          <w:color w:val="auto"/>
          <w:kern w:val="0"/>
          <w:sz w:val="24"/>
          <w:szCs w:val="24"/>
          <w:vertAlign w:val="baseline"/>
          <w:lang w:val="en-US" w:eastAsia="zh-CN"/>
        </w:rPr>
        <w:t>颗粒物</w:t>
      </w:r>
      <w:r>
        <w:rPr>
          <w:rFonts w:hint="default" w:ascii="Times New Roman" w:hAnsi="Times New Roman" w:eastAsia="宋体" w:cs="Times New Roman"/>
          <w:bCs/>
          <w:color w:val="auto"/>
          <w:sz w:val="24"/>
        </w:rPr>
        <w:t>符合标准，项目区域大气环境质量较好。</w:t>
      </w:r>
    </w:p>
    <w:p>
      <w:pPr>
        <w:adjustRightIn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地表水环境</w:t>
      </w:r>
    </w:p>
    <w:p>
      <w:pPr>
        <w:adjustRightIn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 xml:space="preserve">东官河各监测断面各监测因子均满足《地表水环境质量标准》（GB3838-2002）IV类标准。 </w:t>
      </w:r>
    </w:p>
    <w:p>
      <w:pPr>
        <w:adjustRightIn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地下水环境</w:t>
      </w:r>
    </w:p>
    <w:p>
      <w:pPr>
        <w:pStyle w:val="16"/>
        <w:spacing w:line="360" w:lineRule="auto"/>
        <w:ind w:left="0" w:lef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地下水监测结果表明，监测点位除了总硬度超标外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 xml:space="preserve">其他地下水监测因子均满足《地下水质量标准》（ GB/T14848-2017）的Ⅲ类标准，总硬度超标主要是该地区地下水开采造成土壤及其下层沉积物中的钙镁易溶盐、难溶盐及交换性钙镁由固相向水相中迁移，从而使地下水硬度升高。 </w:t>
      </w:r>
    </w:p>
    <w:p>
      <w:pPr>
        <w:adjustRightInd w:val="0"/>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声环境</w:t>
      </w:r>
    </w:p>
    <w:p>
      <w:pPr>
        <w:pStyle w:val="519"/>
        <w:rPr>
          <w:rFonts w:hint="default" w:ascii="Times New Roman" w:hAnsi="Times New Roman" w:eastAsia="宋体" w:cs="Times New Roman"/>
          <w:color w:val="auto"/>
        </w:rPr>
      </w:pPr>
      <w:r>
        <w:rPr>
          <w:rFonts w:hint="default" w:ascii="Times New Roman" w:hAnsi="Times New Roman" w:eastAsia="宋体" w:cs="Times New Roman"/>
          <w:color w:val="auto"/>
        </w:rPr>
        <w:t>根据监测结果项目所在区域声环境质量良好，符合《声环境质量标准》（GB3096-2008）中</w:t>
      </w:r>
      <w:r>
        <w:rPr>
          <w:rFonts w:hint="default" w:ascii="Times New Roman" w:hAnsi="Times New Roman" w:eastAsia="宋体" w:cs="Times New Roman"/>
          <w:color w:val="auto"/>
          <w:lang w:val="en-US" w:eastAsia="zh-CN"/>
        </w:rPr>
        <w:t>1</w:t>
      </w:r>
      <w:r>
        <w:rPr>
          <w:rFonts w:hint="default" w:ascii="Times New Roman" w:hAnsi="Times New Roman" w:eastAsia="宋体" w:cs="Times New Roman"/>
          <w:color w:val="auto"/>
        </w:rPr>
        <w:t>类标准。</w:t>
      </w:r>
    </w:p>
    <w:p>
      <w:pPr>
        <w:pStyle w:val="519"/>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5</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土壤环境</w:t>
      </w:r>
    </w:p>
    <w:p>
      <w:pPr>
        <w:pStyle w:val="519"/>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根据监测结果项目所在区域</w:t>
      </w:r>
      <w:r>
        <w:rPr>
          <w:rFonts w:hint="default" w:ascii="Times New Roman" w:hAnsi="Times New Roman" w:eastAsia="宋体" w:cs="Times New Roman"/>
          <w:color w:val="auto"/>
          <w:sz w:val="24"/>
          <w:szCs w:val="24"/>
          <w:lang w:val="en-US" w:eastAsia="zh-CN"/>
        </w:rPr>
        <w:t>土壤环境质量符合建设用地第二类用地土壤污染风险筛选值</w:t>
      </w:r>
      <w:r>
        <w:rPr>
          <w:rFonts w:hint="default" w:ascii="Times New Roman" w:hAnsi="Times New Roman" w:eastAsia="宋体" w:cs="Times New Roman"/>
          <w:color w:val="auto"/>
          <w:sz w:val="24"/>
        </w:rPr>
        <w:t>。</w:t>
      </w:r>
    </w:p>
    <w:p>
      <w:pPr>
        <w:pStyle w:val="4"/>
        <w:spacing w:line="360" w:lineRule="auto"/>
        <w:rPr>
          <w:rFonts w:hint="default" w:ascii="Times New Roman" w:hAnsi="Times New Roman" w:eastAsia="宋体" w:cs="Times New Roman"/>
          <w:color w:val="auto"/>
          <w:sz w:val="28"/>
          <w:szCs w:val="28"/>
        </w:rPr>
      </w:pPr>
      <w:bookmarkStart w:id="499" w:name="_Toc478199929"/>
      <w:bookmarkStart w:id="500" w:name="_Toc524081495"/>
      <w:bookmarkStart w:id="501" w:name="_Toc13176"/>
      <w:bookmarkStart w:id="502" w:name="_Toc17974"/>
      <w:r>
        <w:rPr>
          <w:rFonts w:hint="default" w:ascii="Times New Roman" w:hAnsi="Times New Roman" w:eastAsia="宋体" w:cs="Times New Roman"/>
          <w:color w:val="auto"/>
          <w:sz w:val="28"/>
          <w:szCs w:val="28"/>
        </w:rPr>
        <w:t>10.5环境影响评价结论</w:t>
      </w:r>
      <w:bookmarkEnd w:id="499"/>
      <w:bookmarkEnd w:id="500"/>
      <w:bookmarkEnd w:id="501"/>
      <w:bookmarkEnd w:id="502"/>
    </w:p>
    <w:p>
      <w:pPr>
        <w:bidi w:val="0"/>
        <w:spacing w:line="360" w:lineRule="auto"/>
        <w:rPr>
          <w:rFonts w:hint="default" w:ascii="Times New Roman" w:hAnsi="Times New Roman" w:eastAsia="宋体" w:cs="Times New Roman"/>
          <w:b/>
          <w:bCs/>
          <w:color w:val="auto"/>
          <w:sz w:val="28"/>
          <w:szCs w:val="28"/>
          <w:lang w:val="en-US" w:eastAsia="zh-CN"/>
        </w:rPr>
      </w:pPr>
      <w:bookmarkStart w:id="503" w:name="_Toc4468"/>
      <w:r>
        <w:rPr>
          <w:rFonts w:hint="default" w:ascii="Times New Roman" w:hAnsi="Times New Roman" w:eastAsia="宋体" w:cs="Times New Roman"/>
          <w:b/>
          <w:bCs/>
          <w:color w:val="auto"/>
          <w:sz w:val="28"/>
          <w:szCs w:val="28"/>
          <w:lang w:val="en-US" w:eastAsia="zh-CN"/>
        </w:rPr>
        <w:t>10.5.1运营期大气环境影响评价结论</w:t>
      </w:r>
      <w:bookmarkEnd w:id="50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本项目破碎车间破碎筛分粉尘经集尘罩收集后经布袋除尘器处理，</w:t>
      </w:r>
      <w:r>
        <w:rPr>
          <w:rFonts w:hint="default" w:ascii="Times New Roman" w:hAnsi="Times New Roman" w:eastAsia="宋体" w:cs="Times New Roman"/>
          <w:color w:val="auto"/>
          <w:kern w:val="2"/>
          <w:sz w:val="24"/>
          <w:szCs w:val="24"/>
          <w:lang w:val="en-US" w:eastAsia="zh-CN" w:bidi="ar-SA"/>
        </w:rPr>
        <w:t>通过15m高排气筒</w:t>
      </w:r>
      <w:r>
        <w:rPr>
          <w:rFonts w:hint="default" w:ascii="Times New Roman" w:hAnsi="Times New Roman" w:eastAsia="宋体" w:cs="Times New Roman"/>
          <w:color w:val="auto"/>
          <w:kern w:val="2"/>
          <w:sz w:val="24"/>
          <w:szCs w:val="22"/>
          <w:lang w:val="en-US" w:eastAsia="zh-CN" w:bidi="ar-SA"/>
        </w:rPr>
        <w:t>（P1）</w:t>
      </w:r>
      <w:r>
        <w:rPr>
          <w:rFonts w:hint="default" w:ascii="Times New Roman" w:hAnsi="Times New Roman" w:eastAsia="宋体" w:cs="Times New Roman"/>
          <w:color w:val="auto"/>
          <w:kern w:val="2"/>
          <w:sz w:val="24"/>
          <w:szCs w:val="24"/>
          <w:lang w:val="en-US" w:eastAsia="zh-CN" w:bidi="ar-SA"/>
        </w:rPr>
        <w:t>排放</w:t>
      </w:r>
      <w:r>
        <w:rPr>
          <w:rFonts w:hint="default" w:ascii="Times New Roman" w:hAnsi="Times New Roman" w:eastAsia="宋体" w:cs="Times New Roman"/>
          <w:color w:val="auto"/>
          <w:kern w:val="2"/>
          <w:sz w:val="24"/>
          <w:szCs w:val="22"/>
          <w:lang w:val="en-US" w:eastAsia="zh-CN" w:bidi="ar-SA"/>
        </w:rPr>
        <w:t>。经过处理后的颗粒物满足</w:t>
      </w:r>
      <w:r>
        <w:rPr>
          <w:rFonts w:hint="default" w:ascii="Times New Roman" w:hAnsi="Times New Roman" w:eastAsia="宋体" w:cs="Times New Roman"/>
          <w:sz w:val="24"/>
          <w:szCs w:val="20"/>
        </w:rPr>
        <w:t>《铁矿采选工业污染物排放标准》（GB28661-2012）中表6大气污染物特别排放限值</w:t>
      </w:r>
      <w:r>
        <w:rPr>
          <w:rFonts w:hint="default" w:ascii="Times New Roman" w:hAnsi="Times New Roman" w:eastAsia="宋体" w:cs="Times New Roman"/>
          <w:color w:val="auto"/>
          <w:kern w:val="2"/>
          <w:sz w:val="24"/>
          <w:szCs w:val="22"/>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sz w:val="24"/>
        </w:rPr>
        <w:t>原料卸料扬尘</w:t>
      </w:r>
      <w:r>
        <w:rPr>
          <w:rFonts w:hint="default" w:ascii="Times New Roman" w:hAnsi="Times New Roman" w:eastAsia="宋体" w:cs="Times New Roman"/>
          <w:sz w:val="24"/>
          <w:lang w:eastAsia="zh-CN"/>
        </w:rPr>
        <w:t>通过封闭厂房、洒水逸尘方式降尘</w:t>
      </w:r>
      <w:r>
        <w:rPr>
          <w:rFonts w:hint="default" w:ascii="Times New Roman" w:hAnsi="Times New Roman" w:eastAsia="宋体" w:cs="Times New Roman"/>
          <w:color w:val="auto"/>
          <w:kern w:val="2"/>
          <w:sz w:val="24"/>
          <w:szCs w:val="22"/>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尾矿仓堆存粉尘</w:t>
      </w:r>
      <w:r>
        <w:rPr>
          <w:rFonts w:hint="default" w:ascii="Times New Roman" w:hAnsi="Times New Roman" w:eastAsia="宋体" w:cs="Times New Roman"/>
          <w:sz w:val="24"/>
          <w:lang w:eastAsia="zh-CN"/>
        </w:rPr>
        <w:t>通过封闭厂房、洒水逸尘方式降尘</w:t>
      </w:r>
      <w:r>
        <w:rPr>
          <w:rFonts w:hint="default" w:ascii="Times New Roman" w:hAnsi="Times New Roman" w:eastAsia="宋体" w:cs="Times New Roman"/>
          <w:color w:val="auto"/>
          <w:kern w:val="2"/>
          <w:sz w:val="24"/>
          <w:szCs w:val="22"/>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破碎车间未收集的无组织粉尘</w:t>
      </w:r>
      <w:r>
        <w:rPr>
          <w:rFonts w:hint="default" w:ascii="Times New Roman" w:hAnsi="Times New Roman" w:eastAsia="宋体" w:cs="Times New Roman"/>
          <w:sz w:val="24"/>
          <w:lang w:eastAsia="zh-CN"/>
        </w:rPr>
        <w:t>通过封闭厂房、洒水逸尘方式降尘</w:t>
      </w:r>
      <w:r>
        <w:rPr>
          <w:rFonts w:hint="default" w:ascii="Times New Roman" w:hAnsi="Times New Roman" w:eastAsia="宋体" w:cs="Times New Roman"/>
          <w:color w:val="auto"/>
          <w:kern w:val="2"/>
          <w:sz w:val="24"/>
          <w:szCs w:val="22"/>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预计无组织颗粒物的排放可满足</w:t>
      </w:r>
      <w:r>
        <w:rPr>
          <w:rFonts w:hint="default" w:ascii="Times New Roman" w:hAnsi="Times New Roman" w:eastAsia="宋体" w:cs="Times New Roman"/>
          <w:sz w:val="24"/>
          <w:szCs w:val="20"/>
        </w:rPr>
        <w:t>《铁矿采选工业污染物排放标准》（GB28661-2012）中表7无组织排放浓度限值</w:t>
      </w:r>
      <w:r>
        <w:rPr>
          <w:rFonts w:hint="default" w:ascii="Times New Roman" w:hAnsi="Times New Roman" w:eastAsia="宋体" w:cs="Times New Roman"/>
          <w:color w:val="auto"/>
          <w:kern w:val="2"/>
          <w:sz w:val="24"/>
          <w:szCs w:val="24"/>
          <w:lang w:val="en-US" w:eastAsia="zh-CN" w:bidi="ar-SA"/>
        </w:rPr>
        <w:t>。</w:t>
      </w:r>
    </w:p>
    <w:p>
      <w:pPr>
        <w:bidi w:val="0"/>
        <w:spacing w:line="360" w:lineRule="auto"/>
        <w:rPr>
          <w:rFonts w:hint="default" w:ascii="Times New Roman" w:hAnsi="Times New Roman" w:eastAsia="宋体" w:cs="Times New Roman"/>
          <w:b/>
          <w:bCs/>
          <w:color w:val="auto"/>
          <w:sz w:val="28"/>
          <w:szCs w:val="28"/>
          <w:lang w:val="en-US" w:eastAsia="zh-CN"/>
        </w:rPr>
      </w:pPr>
      <w:bookmarkStart w:id="504" w:name="_Toc10180"/>
      <w:r>
        <w:rPr>
          <w:rFonts w:hint="default" w:ascii="Times New Roman" w:hAnsi="Times New Roman" w:eastAsia="宋体" w:cs="Times New Roman"/>
          <w:b/>
          <w:bCs/>
          <w:color w:val="auto"/>
          <w:sz w:val="28"/>
          <w:szCs w:val="28"/>
          <w:lang w:val="en-US" w:eastAsia="zh-CN"/>
        </w:rPr>
        <w:t>10.5.2水环境影响评价结论</w:t>
      </w:r>
      <w:bookmarkEnd w:id="504"/>
    </w:p>
    <w:p>
      <w:pPr>
        <w:spacing w:beforeLines="50" w:line="360" w:lineRule="auto"/>
        <w:ind w:firstLine="480" w:firstLineChars="200"/>
        <w:rPr>
          <w:rFonts w:hint="default" w:ascii="Times New Roman" w:hAnsi="Times New Roman" w:eastAsia="宋体" w:cs="Times New Roman"/>
          <w:sz w:val="24"/>
          <w:szCs w:val="20"/>
        </w:rPr>
      </w:pPr>
      <w:r>
        <w:rPr>
          <w:rFonts w:hint="default" w:ascii="Times New Roman" w:hAnsi="Times New Roman" w:eastAsia="宋体" w:cs="Times New Roman"/>
          <w:bCs/>
          <w:color w:val="auto"/>
          <w:kern w:val="0"/>
          <w:sz w:val="24"/>
          <w:lang w:val="en-US" w:eastAsia="zh-CN"/>
        </w:rPr>
        <w:t>本</w:t>
      </w:r>
      <w:r>
        <w:rPr>
          <w:rFonts w:hint="default" w:ascii="Times New Roman" w:hAnsi="Times New Roman" w:eastAsia="宋体" w:cs="Times New Roman"/>
          <w:bCs/>
          <w:color w:val="auto"/>
          <w:kern w:val="0"/>
          <w:sz w:val="24"/>
        </w:rPr>
        <w:t>项目</w:t>
      </w:r>
      <w:r>
        <w:rPr>
          <w:rFonts w:hint="default" w:ascii="Times New Roman" w:hAnsi="Times New Roman" w:eastAsia="宋体" w:cs="Times New Roman"/>
          <w:sz w:val="24"/>
          <w:szCs w:val="20"/>
        </w:rPr>
        <w:t>选矿废水全部排入尾矿干排系统，尾矿浆经旋流脱水后送至</w:t>
      </w:r>
      <w:r>
        <w:rPr>
          <w:rFonts w:hint="default" w:ascii="Times New Roman" w:hAnsi="Times New Roman" w:eastAsia="宋体" w:cs="Times New Roman"/>
          <w:sz w:val="24"/>
          <w:szCs w:val="20"/>
          <w:lang w:eastAsia="zh-CN"/>
        </w:rPr>
        <w:t>浓密罐</w:t>
      </w:r>
      <w:r>
        <w:rPr>
          <w:rFonts w:hint="default" w:ascii="Times New Roman" w:hAnsi="Times New Roman" w:eastAsia="宋体" w:cs="Times New Roman"/>
          <w:sz w:val="24"/>
          <w:szCs w:val="20"/>
        </w:rPr>
        <w:t>进行浓缩沉淀（容积约为1800m</w:t>
      </w:r>
      <w:r>
        <w:rPr>
          <w:rFonts w:hint="default" w:ascii="Times New Roman" w:hAnsi="Times New Roman" w:eastAsia="宋体" w:cs="Times New Roman"/>
          <w:sz w:val="24"/>
          <w:szCs w:val="20"/>
          <w:vertAlign w:val="superscript"/>
        </w:rPr>
        <w:t>3</w:t>
      </w:r>
      <w:r>
        <w:rPr>
          <w:rFonts w:hint="default" w:ascii="Times New Roman" w:hAnsi="Times New Roman" w:eastAsia="宋体" w:cs="Times New Roman"/>
          <w:sz w:val="24"/>
          <w:szCs w:val="20"/>
        </w:rPr>
        <w:t>），上清液通过回水管路返回选矿循环利用，不外排。</w:t>
      </w:r>
    </w:p>
    <w:p>
      <w:pPr>
        <w:bidi w:val="0"/>
        <w:spacing w:line="360" w:lineRule="auto"/>
        <w:ind w:firstLine="480" w:firstLineChars="200"/>
        <w:rPr>
          <w:rFonts w:hint="default" w:ascii="Times New Roman" w:hAnsi="Times New Roman" w:eastAsia="宋体" w:cs="Times New Roman"/>
          <w:bCs/>
          <w:color w:val="auto"/>
          <w:kern w:val="0"/>
          <w:sz w:val="24"/>
          <w:szCs w:val="24"/>
          <w:lang w:val="en-US" w:eastAsia="zh-CN"/>
        </w:rPr>
      </w:pPr>
      <w:r>
        <w:rPr>
          <w:rFonts w:hint="default" w:ascii="Times New Roman" w:hAnsi="Times New Roman" w:eastAsia="宋体" w:cs="Times New Roman"/>
          <w:bCs/>
          <w:color w:val="auto"/>
          <w:kern w:val="0"/>
          <w:sz w:val="24"/>
          <w:szCs w:val="24"/>
          <w:lang w:val="en-US" w:eastAsia="zh-CN"/>
        </w:rPr>
        <w:t>生活污水排入</w:t>
      </w:r>
      <w:r>
        <w:rPr>
          <w:rFonts w:hint="default" w:ascii="Times New Roman" w:hAnsi="Times New Roman" w:eastAsia="宋体" w:cs="Times New Roman"/>
          <w:sz w:val="24"/>
        </w:rPr>
        <w:t>1座有效容积约15m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的防渗旱厕（防渗系数≤1.0×10</w:t>
      </w:r>
      <w:r>
        <w:rPr>
          <w:rFonts w:hint="default" w:ascii="Times New Roman" w:hAnsi="Times New Roman" w:eastAsia="宋体" w:cs="Times New Roman"/>
          <w:sz w:val="24"/>
          <w:vertAlign w:val="superscript"/>
        </w:rPr>
        <w:t>-7</w:t>
      </w:r>
      <w:r>
        <w:rPr>
          <w:rFonts w:hint="default" w:ascii="Times New Roman" w:hAnsi="Times New Roman" w:eastAsia="宋体" w:cs="Times New Roman"/>
          <w:sz w:val="24"/>
        </w:rPr>
        <w:t>cm/s），旱厕定期清掏、用作农肥</w:t>
      </w:r>
      <w:r>
        <w:rPr>
          <w:rFonts w:hint="default" w:ascii="Times New Roman" w:hAnsi="Times New Roman" w:eastAsia="宋体" w:cs="Times New Roman"/>
          <w:bCs/>
          <w:color w:val="auto"/>
          <w:kern w:val="0"/>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地下水采取分区防渗措施。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通过以上处理，本项目产生的废水对周边水环境影响较小。</w:t>
      </w:r>
    </w:p>
    <w:p>
      <w:pPr>
        <w:bidi w:val="0"/>
        <w:spacing w:line="360" w:lineRule="auto"/>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10.5.3噪声环境影响评价结论</w:t>
      </w:r>
    </w:p>
    <w:p>
      <w:pPr>
        <w:adjustRightInd w:val="0"/>
        <w:spacing w:line="360" w:lineRule="auto"/>
        <w:ind w:firstLine="48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本项目产生的噪声经基础减振、厂房隔声、距离衰减后到达厂界处符合《工业企业厂界环境噪声排放标准》（GB12348-2008）中</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标准（即昼间</w:t>
      </w:r>
      <w:r>
        <w:rPr>
          <w:rFonts w:hint="default" w:ascii="Times New Roman" w:hAnsi="Times New Roman" w:eastAsia="宋体" w:cs="Times New Roman"/>
          <w:color w:val="auto"/>
          <w:sz w:val="24"/>
          <w:lang w:val="en-US" w:eastAsia="zh-CN"/>
        </w:rPr>
        <w:t>55</w:t>
      </w:r>
      <w:r>
        <w:rPr>
          <w:rFonts w:hint="default" w:ascii="Times New Roman" w:hAnsi="Times New Roman" w:eastAsia="宋体" w:cs="Times New Roman"/>
          <w:color w:val="auto"/>
          <w:sz w:val="24"/>
        </w:rPr>
        <w:t>dB(A)，夜间</w:t>
      </w:r>
      <w:r>
        <w:rPr>
          <w:rFonts w:hint="default" w:ascii="Times New Roman" w:hAnsi="Times New Roman" w:eastAsia="宋体" w:cs="Times New Roman"/>
          <w:color w:val="auto"/>
          <w:sz w:val="24"/>
          <w:lang w:val="en-US" w:eastAsia="zh-CN"/>
        </w:rPr>
        <w:t>45</w:t>
      </w:r>
      <w:r>
        <w:rPr>
          <w:rFonts w:hint="default" w:ascii="Times New Roman" w:hAnsi="Times New Roman" w:eastAsia="宋体" w:cs="Times New Roman"/>
          <w:color w:val="auto"/>
          <w:sz w:val="24"/>
        </w:rPr>
        <w:t>dB(A)）要求，对周围声环境造成影响较小。</w:t>
      </w:r>
    </w:p>
    <w:p>
      <w:pPr>
        <w:bidi w:val="0"/>
        <w:spacing w:line="360" w:lineRule="auto"/>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10.5.4固体废物影响评价结论</w:t>
      </w:r>
    </w:p>
    <w:p>
      <w:pPr>
        <w:bidi w:val="0"/>
        <w:spacing w:line="360" w:lineRule="auto"/>
        <w:ind w:firstLine="480" w:firstLineChars="200"/>
        <w:rPr>
          <w:rFonts w:hint="default" w:ascii="Times New Roman" w:hAnsi="Times New Roman" w:eastAsia="宋体" w:cs="Times New Roman"/>
          <w:color w:val="auto"/>
          <w:sz w:val="24"/>
          <w:szCs w:val="24"/>
          <w:lang w:eastAsia="zh-CN"/>
        </w:rPr>
      </w:pPr>
      <w:bookmarkStart w:id="505" w:name="_Toc524081496"/>
      <w:bookmarkStart w:id="506" w:name="_Toc478199930"/>
      <w:r>
        <w:rPr>
          <w:rFonts w:hint="default" w:ascii="Times New Roman" w:hAnsi="Times New Roman" w:eastAsia="宋体" w:cs="Times New Roman"/>
          <w:color w:val="auto"/>
          <w:sz w:val="24"/>
          <w:szCs w:val="24"/>
          <w:lang w:eastAsia="zh-CN"/>
        </w:rPr>
        <w:t>本项目固体废物主要为尾矿渣、除尘器收集的除尘灰、废机油</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员工生活垃圾。</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（1）除尘器除尘灰</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本项目除尘器收集除尘灰进入选矿工艺，不外排。</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）生活垃圾</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rPr>
        <w:t>本项目年产生</w:t>
      </w:r>
      <w:r>
        <w:rPr>
          <w:rFonts w:hint="default" w:ascii="Times New Roman" w:hAnsi="Times New Roman" w:eastAsia="宋体" w:cs="Times New Roman"/>
          <w:color w:val="auto"/>
          <w:lang w:val="en-US" w:eastAsia="zh-CN"/>
        </w:rPr>
        <w:t>4.5</w:t>
      </w:r>
      <w:r>
        <w:rPr>
          <w:rFonts w:hint="default" w:ascii="Times New Roman" w:hAnsi="Times New Roman" w:eastAsia="宋体" w:cs="Times New Roman"/>
          <w:color w:val="auto"/>
        </w:rPr>
        <w:t>t，垃圾箱临时储存，定期</w:t>
      </w:r>
      <w:r>
        <w:rPr>
          <w:rFonts w:hint="default" w:ascii="Times New Roman" w:hAnsi="Times New Roman" w:eastAsia="宋体" w:cs="Times New Roman"/>
          <w:bCs w:val="0"/>
          <w:color w:val="auto"/>
          <w:szCs w:val="21"/>
        </w:rPr>
        <w:t>送环卫部门指定地点</w:t>
      </w:r>
      <w:r>
        <w:rPr>
          <w:rFonts w:hint="default" w:ascii="Times New Roman" w:hAnsi="Times New Roman" w:eastAsia="宋体" w:cs="Times New Roman"/>
          <w:color w:val="auto"/>
        </w:rPr>
        <w:t>。</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3）尾矿渣</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选矿后产生的尾矿渣暂存于1座占地面积为300m</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color w:val="auto"/>
          <w:lang w:val="en-US" w:eastAsia="zh-CN"/>
        </w:rPr>
        <w:t>的尾矿仓内，用于填埋历史采坑。</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（4）废机油</w:t>
      </w:r>
    </w:p>
    <w:p>
      <w:pPr>
        <w:pStyle w:val="256"/>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szCs w:val="24"/>
        </w:rPr>
      </w:pPr>
      <w:r>
        <w:rPr>
          <w:rFonts w:hint="default" w:ascii="Times New Roman" w:hAnsi="Times New Roman" w:eastAsia="宋体" w:cs="Times New Roman"/>
          <w:color w:val="auto"/>
          <w:lang w:val="en-US" w:eastAsia="zh-CN"/>
        </w:rPr>
        <w:t>本项目废机油于厂区内10m</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color w:val="auto"/>
          <w:lang w:val="en-US" w:eastAsia="zh-CN"/>
        </w:rPr>
        <w:t>的危废间内暂存，定期交由资质单位处置。</w:t>
      </w:r>
    </w:p>
    <w:p>
      <w:pPr>
        <w:pStyle w:val="64"/>
        <w:adjustRightInd w:val="0"/>
        <w:spacing w:line="360" w:lineRule="auto"/>
        <w:ind w:left="0" w:leftChars="0" w:firstLine="480" w:firstLineChars="200"/>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综上所述，本项目产生的固体废物均能做到合理处理和综合利用，项目在采取评价提出的措施后不会对环境造成二次污染，因此，本项目产生的固体废物对外环境影响较小</w:t>
      </w:r>
      <w:r>
        <w:rPr>
          <w:rFonts w:hint="default" w:ascii="Times New Roman" w:hAnsi="Times New Roman" w:eastAsia="宋体" w:cs="Times New Roman"/>
          <w:color w:val="auto"/>
          <w:lang w:eastAsia="zh-CN"/>
        </w:rPr>
        <w:t>。</w:t>
      </w:r>
    </w:p>
    <w:p>
      <w:pPr>
        <w:bidi w:val="0"/>
        <w:spacing w:line="360" w:lineRule="auto"/>
        <w:rPr>
          <w:rFonts w:hint="default" w:ascii="Times New Roman" w:hAnsi="Times New Roman" w:eastAsia="宋体" w:cs="Times New Roman"/>
          <w:b/>
          <w:bCs/>
          <w:color w:val="auto"/>
          <w:sz w:val="28"/>
          <w:szCs w:val="28"/>
          <w:lang w:val="en-US" w:eastAsia="zh-CN"/>
        </w:rPr>
      </w:pPr>
      <w:bookmarkStart w:id="507" w:name="_Toc14338"/>
      <w:r>
        <w:rPr>
          <w:rFonts w:hint="default" w:ascii="Times New Roman" w:hAnsi="Times New Roman" w:eastAsia="宋体" w:cs="Times New Roman"/>
          <w:b/>
          <w:bCs/>
          <w:color w:val="auto"/>
          <w:sz w:val="28"/>
          <w:szCs w:val="28"/>
          <w:lang w:val="en-US" w:eastAsia="zh-CN"/>
        </w:rPr>
        <w:t>10.5.5环境风险</w:t>
      </w:r>
      <w:bookmarkEnd w:id="507"/>
    </w:p>
    <w:p>
      <w:pPr>
        <w:pStyle w:val="41"/>
        <w:spacing w:line="360" w:lineRule="auto"/>
        <w:ind w:left="0" w:leftChars="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pacing w:val="0"/>
          <w:kern w:val="0"/>
          <w:sz w:val="24"/>
          <w:szCs w:val="24"/>
          <w:lang w:val="en-US" w:eastAsia="zh-CN"/>
        </w:rPr>
        <w:t>本项目的环境风险事故主要为</w:t>
      </w:r>
      <w:r>
        <w:rPr>
          <w:rFonts w:hint="default" w:ascii="Times New Roman" w:hAnsi="Times New Roman" w:eastAsia="宋体" w:cs="Times New Roman"/>
          <w:color w:val="auto"/>
          <w:sz w:val="24"/>
          <w:lang w:val="en-US" w:eastAsia="zh-CN"/>
        </w:rPr>
        <w:t>废机油泄露事故和污水泄露事故</w:t>
      </w:r>
      <w:r>
        <w:rPr>
          <w:rFonts w:hint="default" w:ascii="Times New Roman" w:hAnsi="Times New Roman" w:eastAsia="宋体" w:cs="Times New Roman"/>
          <w:color w:val="auto"/>
          <w:spacing w:val="0"/>
          <w:kern w:val="0"/>
          <w:sz w:val="24"/>
          <w:szCs w:val="24"/>
          <w:lang w:val="en-US" w:eastAsia="zh-CN"/>
        </w:rPr>
        <w:t>等。本报告采用定性与定量相结合的方法对上述风险进行评估，并提出了风险防范措施和应急预案。建设单位在严格落实本报告的提出各项事故防范和应急措施，加强管理的前提下，可最大限度地减少可能发生的环境风险。若发生事故，也可将影响范围控制在较小程度内，减小损失。建设单位应制定突发环境事件应急预案，严格执行风险防范措施，定期进行应急演练，防止事故的发生。在采取本报告提出的风险防范措施，并采取有效的综合管理措施的前提下，所产生的环境风险可以控制在可接受风险水平之内。</w:t>
      </w:r>
    </w:p>
    <w:p>
      <w:pPr>
        <w:pStyle w:val="4"/>
        <w:spacing w:line="360" w:lineRule="auto"/>
        <w:rPr>
          <w:rFonts w:hint="default" w:ascii="Times New Roman" w:hAnsi="Times New Roman" w:eastAsia="宋体" w:cs="Times New Roman"/>
          <w:color w:val="auto"/>
          <w:sz w:val="28"/>
          <w:szCs w:val="28"/>
        </w:rPr>
      </w:pPr>
      <w:bookmarkStart w:id="508" w:name="_Toc17462"/>
      <w:bookmarkStart w:id="509" w:name="_Toc14821"/>
      <w:r>
        <w:rPr>
          <w:rFonts w:hint="default" w:ascii="Times New Roman" w:hAnsi="Times New Roman" w:eastAsia="宋体" w:cs="Times New Roman"/>
          <w:color w:val="auto"/>
          <w:sz w:val="28"/>
          <w:szCs w:val="28"/>
        </w:rPr>
        <w:t>10.6总量控制</w:t>
      </w:r>
      <w:bookmarkEnd w:id="505"/>
      <w:bookmarkEnd w:id="506"/>
      <w:bookmarkEnd w:id="508"/>
      <w:bookmarkEnd w:id="509"/>
    </w:p>
    <w:p>
      <w:pPr>
        <w:bidi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环保部《建设项目主要污染物排放总量指标审核及管理暂行办法》(环发[2014]197号)和辽宁省环保厅《关于贯彻执行环保部建设项目主要污染物排放总量指标审核及管理暂行办法的通知》(辽环发[2015]17号)及《“十二五”主要污染物总量减排核算细则》，并结合本项目的特点，本项目</w:t>
      </w:r>
      <w:r>
        <w:rPr>
          <w:rFonts w:hint="default" w:ascii="Times New Roman" w:hAnsi="Times New Roman" w:eastAsia="宋体" w:cs="Times New Roman"/>
          <w:sz w:val="24"/>
          <w:szCs w:val="24"/>
          <w:lang w:eastAsia="zh-CN"/>
        </w:rPr>
        <w:t>无需申请总量</w:t>
      </w:r>
      <w:r>
        <w:rPr>
          <w:rFonts w:hint="default" w:ascii="Times New Roman" w:hAnsi="Times New Roman" w:eastAsia="宋体" w:cs="Times New Roman"/>
          <w:sz w:val="24"/>
          <w:szCs w:val="24"/>
        </w:rPr>
        <w:t>。</w:t>
      </w:r>
    </w:p>
    <w:p>
      <w:pPr>
        <w:pStyle w:val="4"/>
        <w:spacing w:line="360" w:lineRule="auto"/>
        <w:rPr>
          <w:rFonts w:hint="default" w:ascii="Times New Roman" w:hAnsi="Times New Roman" w:eastAsia="宋体" w:cs="Times New Roman"/>
          <w:color w:val="auto"/>
          <w:sz w:val="28"/>
          <w:szCs w:val="28"/>
          <w:lang w:val="en-US" w:eastAsia="zh-CN"/>
        </w:rPr>
      </w:pPr>
      <w:bookmarkStart w:id="510" w:name="_Toc524081497"/>
      <w:bookmarkStart w:id="511" w:name="_Toc26801"/>
      <w:bookmarkStart w:id="512" w:name="_Toc478199931"/>
      <w:bookmarkStart w:id="513" w:name="_Toc13334"/>
      <w:r>
        <w:rPr>
          <w:rFonts w:hint="default" w:ascii="Times New Roman" w:hAnsi="Times New Roman" w:eastAsia="宋体" w:cs="Times New Roman"/>
          <w:color w:val="auto"/>
          <w:sz w:val="28"/>
          <w:szCs w:val="28"/>
        </w:rPr>
        <w:t>10.7公众参与结论</w:t>
      </w:r>
      <w:bookmarkEnd w:id="510"/>
      <w:bookmarkEnd w:id="511"/>
      <w:bookmarkEnd w:id="512"/>
      <w:bookmarkEnd w:id="513"/>
    </w:p>
    <w:p>
      <w:pPr>
        <w:pStyle w:val="21"/>
        <w:spacing w:after="0" w:line="360" w:lineRule="auto"/>
        <w:ind w:firstLine="480" w:firstLineChars="200"/>
        <w:jc w:val="left"/>
        <w:rPr>
          <w:rFonts w:hint="default" w:ascii="Times New Roman" w:hAnsi="Times New Roman" w:eastAsia="宋体" w:cs="Times New Roman"/>
          <w:color w:val="auto"/>
          <w:sz w:val="24"/>
          <w:highlight w:val="yellow"/>
          <w:lang w:eastAsia="zh-CN"/>
        </w:rPr>
      </w:pPr>
      <w:r>
        <w:rPr>
          <w:rFonts w:hint="default" w:ascii="Times New Roman" w:hAnsi="Times New Roman" w:eastAsia="宋体" w:cs="Times New Roman"/>
          <w:color w:val="auto"/>
          <w:sz w:val="24"/>
          <w:highlight w:val="yellow"/>
        </w:rPr>
        <w:t>本项目</w:t>
      </w:r>
      <w:r>
        <w:rPr>
          <w:rFonts w:hint="default" w:ascii="Times New Roman" w:hAnsi="Times New Roman" w:eastAsia="宋体" w:cs="Times New Roman"/>
          <w:color w:val="auto"/>
          <w:sz w:val="24"/>
          <w:highlight w:val="yellow"/>
          <w:lang w:eastAsia="zh-CN"/>
        </w:rPr>
        <w:t>于</w:t>
      </w:r>
      <w:r>
        <w:rPr>
          <w:rFonts w:hint="default" w:ascii="Times New Roman" w:hAnsi="Times New Roman" w:eastAsia="宋体" w:cs="Times New Roman"/>
          <w:color w:val="auto"/>
          <w:kern w:val="0"/>
          <w:sz w:val="24"/>
          <w:szCs w:val="24"/>
          <w:highlight w:val="yellow"/>
          <w:shd w:val="clear" w:color="auto" w:fill="FFFFFF"/>
          <w:lang w:bidi="ar"/>
        </w:rPr>
        <w:t>20</w:t>
      </w:r>
      <w:r>
        <w:rPr>
          <w:rFonts w:hint="default" w:ascii="Times New Roman" w:hAnsi="Times New Roman" w:eastAsia="宋体" w:cs="Times New Roman"/>
          <w:color w:val="auto"/>
          <w:kern w:val="0"/>
          <w:sz w:val="24"/>
          <w:szCs w:val="24"/>
          <w:highlight w:val="yellow"/>
          <w:shd w:val="clear" w:color="auto" w:fill="FFFFFF"/>
          <w:lang w:val="en-US" w:eastAsia="zh-CN" w:bidi="ar"/>
        </w:rPr>
        <w:t>21</w:t>
      </w:r>
      <w:r>
        <w:rPr>
          <w:rFonts w:hint="default" w:ascii="Times New Roman" w:hAnsi="Times New Roman" w:eastAsia="宋体" w:cs="Times New Roman"/>
          <w:color w:val="auto"/>
          <w:kern w:val="0"/>
          <w:sz w:val="24"/>
          <w:szCs w:val="24"/>
          <w:highlight w:val="yellow"/>
          <w:shd w:val="clear" w:color="auto" w:fill="FFFFFF"/>
          <w:lang w:bidi="ar"/>
        </w:rPr>
        <w:t>年</w:t>
      </w:r>
      <w:r>
        <w:rPr>
          <w:rFonts w:hint="default" w:ascii="Times New Roman" w:hAnsi="Times New Roman" w:eastAsia="宋体" w:cs="Times New Roman"/>
          <w:color w:val="auto"/>
          <w:kern w:val="0"/>
          <w:sz w:val="24"/>
          <w:szCs w:val="24"/>
          <w:highlight w:val="yellow"/>
          <w:shd w:val="clear" w:color="auto" w:fill="FFFFFF"/>
          <w:lang w:val="en-US" w:eastAsia="zh-CN" w:bidi="ar"/>
        </w:rPr>
        <w:t>8</w:t>
      </w:r>
      <w:r>
        <w:rPr>
          <w:rFonts w:hint="default" w:ascii="Times New Roman" w:hAnsi="Times New Roman" w:eastAsia="宋体" w:cs="Times New Roman"/>
          <w:color w:val="auto"/>
          <w:kern w:val="0"/>
          <w:sz w:val="24"/>
          <w:szCs w:val="24"/>
          <w:highlight w:val="yellow"/>
          <w:shd w:val="clear" w:color="auto" w:fill="FFFFFF"/>
          <w:lang w:bidi="ar"/>
        </w:rPr>
        <w:t>月</w:t>
      </w:r>
      <w:r>
        <w:rPr>
          <w:rFonts w:hint="default" w:ascii="Times New Roman" w:hAnsi="Times New Roman" w:eastAsia="宋体" w:cs="Times New Roman"/>
          <w:color w:val="auto"/>
          <w:kern w:val="0"/>
          <w:sz w:val="24"/>
          <w:szCs w:val="24"/>
          <w:highlight w:val="yellow"/>
          <w:shd w:val="clear" w:color="auto" w:fill="FFFFFF"/>
          <w:lang w:val="en-US" w:eastAsia="zh-CN" w:bidi="ar"/>
        </w:rPr>
        <w:t>24</w:t>
      </w:r>
      <w:r>
        <w:rPr>
          <w:rFonts w:hint="default" w:ascii="Times New Roman" w:hAnsi="Times New Roman" w:eastAsia="宋体" w:cs="Times New Roman"/>
          <w:color w:val="auto"/>
          <w:kern w:val="0"/>
          <w:sz w:val="24"/>
          <w:szCs w:val="24"/>
          <w:highlight w:val="yellow"/>
          <w:shd w:val="clear" w:color="auto" w:fill="FFFFFF"/>
          <w:lang w:bidi="ar"/>
        </w:rPr>
        <w:t>日</w:t>
      </w:r>
      <w:r>
        <w:rPr>
          <w:rFonts w:hint="default" w:ascii="Times New Roman" w:hAnsi="Times New Roman" w:eastAsia="宋体" w:cs="Times New Roman"/>
          <w:bCs/>
          <w:color w:val="auto"/>
          <w:sz w:val="24"/>
          <w:szCs w:val="24"/>
          <w:highlight w:val="yellow"/>
        </w:rPr>
        <w:t>在</w:t>
      </w:r>
      <w:r>
        <w:rPr>
          <w:rFonts w:hint="default" w:ascii="Times New Roman" w:hAnsi="Times New Roman" w:eastAsia="宋体" w:cs="Times New Roman"/>
          <w:bCs/>
          <w:color w:val="auto"/>
          <w:sz w:val="24"/>
          <w:szCs w:val="24"/>
          <w:highlight w:val="yellow"/>
          <w:lang w:val="en-US" w:eastAsia="zh-CN"/>
        </w:rPr>
        <w:t>北票市人民政府网</w:t>
      </w:r>
      <w:r>
        <w:rPr>
          <w:rFonts w:hint="default" w:ascii="Times New Roman" w:hAnsi="Times New Roman" w:eastAsia="宋体" w:cs="Times New Roman"/>
          <w:bCs/>
          <w:color w:val="auto"/>
          <w:sz w:val="24"/>
          <w:szCs w:val="24"/>
          <w:highlight w:val="yellow"/>
        </w:rPr>
        <w:t>上进行了第一次公示</w:t>
      </w:r>
      <w:r>
        <w:rPr>
          <w:rFonts w:hint="default" w:ascii="Times New Roman" w:hAnsi="Times New Roman" w:eastAsia="宋体" w:cs="Times New Roman"/>
          <w:bCs/>
          <w:color w:val="auto"/>
          <w:sz w:val="24"/>
          <w:szCs w:val="24"/>
          <w:highlight w:val="yellow"/>
          <w:lang w:eastAsia="zh-CN"/>
        </w:rPr>
        <w:t>（</w:t>
      </w:r>
      <w:r>
        <w:rPr>
          <w:rFonts w:hint="default" w:ascii="Times New Roman" w:hAnsi="Times New Roman" w:eastAsia="宋体" w:cs="Times New Roman"/>
          <w:bCs/>
          <w:color w:val="auto"/>
          <w:sz w:val="24"/>
          <w:szCs w:val="24"/>
          <w:highlight w:val="yellow"/>
          <w:lang w:val="en-US" w:eastAsia="zh-CN"/>
        </w:rPr>
        <w:fldChar w:fldCharType="begin"/>
      </w:r>
      <w:r>
        <w:rPr>
          <w:rFonts w:hint="default" w:ascii="Times New Roman" w:hAnsi="Times New Roman" w:eastAsia="宋体" w:cs="Times New Roman"/>
          <w:bCs/>
          <w:color w:val="auto"/>
          <w:sz w:val="24"/>
          <w:szCs w:val="24"/>
          <w:highlight w:val="yellow"/>
          <w:lang w:val="en-US" w:eastAsia="zh-CN"/>
        </w:rPr>
        <w:instrText xml:space="preserve"> HYPERLINK "http://www.bp.gov.cn/zgbp/zfxxgk/20210824/002014_4bcc3940-58fe-4b87-8a1d-33562ab6243a.htm" </w:instrText>
      </w:r>
      <w:r>
        <w:rPr>
          <w:rFonts w:hint="default" w:ascii="Times New Roman" w:hAnsi="Times New Roman" w:eastAsia="宋体" w:cs="Times New Roman"/>
          <w:bCs/>
          <w:color w:val="auto"/>
          <w:sz w:val="24"/>
          <w:szCs w:val="24"/>
          <w:highlight w:val="yellow"/>
          <w:lang w:val="en-US" w:eastAsia="zh-CN"/>
        </w:rPr>
        <w:fldChar w:fldCharType="separate"/>
      </w:r>
      <w:r>
        <w:rPr>
          <w:rFonts w:hint="default" w:ascii="Times New Roman" w:hAnsi="Times New Roman" w:eastAsia="宋体" w:cs="Times New Roman"/>
          <w:bCs/>
          <w:color w:val="auto"/>
          <w:sz w:val="24"/>
          <w:szCs w:val="24"/>
          <w:highlight w:val="yellow"/>
          <w:lang w:val="en-US" w:eastAsia="zh-CN"/>
        </w:rPr>
        <w:t>http://www.bp.gov.cn/zgbp/zfxxgk/20210824/002014_4bcc3940-58fe-4b87-8a1d-33562ab6243a.htm</w:t>
      </w:r>
      <w:r>
        <w:rPr>
          <w:rFonts w:hint="default" w:ascii="Times New Roman" w:hAnsi="Times New Roman" w:eastAsia="宋体" w:cs="Times New Roman"/>
          <w:bCs/>
          <w:color w:val="auto"/>
          <w:sz w:val="24"/>
          <w:szCs w:val="24"/>
          <w:highlight w:val="yellow"/>
          <w:lang w:val="en-US" w:eastAsia="zh-CN"/>
        </w:rPr>
        <w:fldChar w:fldCharType="end"/>
      </w:r>
      <w:r>
        <w:rPr>
          <w:rFonts w:hint="default" w:ascii="Times New Roman" w:hAnsi="Times New Roman" w:eastAsia="宋体" w:cs="Times New Roman"/>
          <w:bCs/>
          <w:color w:val="auto"/>
          <w:sz w:val="24"/>
          <w:szCs w:val="24"/>
          <w:highlight w:val="yellow"/>
          <w:lang w:val="en-US" w:eastAsia="zh-CN"/>
        </w:rPr>
        <w:t>）</w:t>
      </w:r>
      <w:r>
        <w:rPr>
          <w:rFonts w:hint="default" w:ascii="Times New Roman" w:hAnsi="Times New Roman" w:eastAsia="宋体" w:cs="Times New Roman"/>
          <w:bCs/>
          <w:color w:val="auto"/>
          <w:sz w:val="24"/>
          <w:szCs w:val="24"/>
          <w:highlight w:val="yellow"/>
        </w:rPr>
        <w:t>，</w:t>
      </w:r>
      <w:r>
        <w:rPr>
          <w:rStyle w:val="55"/>
          <w:rFonts w:hint="default" w:ascii="Times New Roman" w:hAnsi="Times New Roman" w:eastAsia="宋体" w:cs="Times New Roman"/>
          <w:b w:val="0"/>
          <w:bCs/>
          <w:color w:val="auto"/>
          <w:kern w:val="0"/>
          <w:sz w:val="24"/>
          <w:szCs w:val="24"/>
          <w:highlight w:val="yellow"/>
          <w:shd w:val="clear" w:color="auto" w:fill="FFFFFF"/>
          <w:lang w:bidi="ar"/>
        </w:rPr>
        <w:t>20</w:t>
      </w:r>
      <w:r>
        <w:rPr>
          <w:rStyle w:val="55"/>
          <w:rFonts w:hint="default" w:ascii="Times New Roman" w:hAnsi="Times New Roman" w:eastAsia="宋体" w:cs="Times New Roman"/>
          <w:b w:val="0"/>
          <w:bCs/>
          <w:color w:val="auto"/>
          <w:kern w:val="0"/>
          <w:sz w:val="24"/>
          <w:szCs w:val="24"/>
          <w:highlight w:val="yellow"/>
          <w:shd w:val="clear" w:color="auto" w:fill="FFFFFF"/>
          <w:lang w:val="en-US" w:eastAsia="zh-CN" w:bidi="ar"/>
        </w:rPr>
        <w:t>21</w:t>
      </w:r>
      <w:r>
        <w:rPr>
          <w:rStyle w:val="55"/>
          <w:rFonts w:hint="default" w:ascii="Times New Roman" w:hAnsi="Times New Roman" w:eastAsia="宋体" w:cs="Times New Roman"/>
          <w:b w:val="0"/>
          <w:bCs/>
          <w:color w:val="auto"/>
          <w:kern w:val="0"/>
          <w:sz w:val="24"/>
          <w:szCs w:val="24"/>
          <w:highlight w:val="yellow"/>
          <w:shd w:val="clear" w:color="auto" w:fill="FFFFFF"/>
          <w:lang w:bidi="ar"/>
        </w:rPr>
        <w:t>年</w:t>
      </w:r>
      <w:r>
        <w:rPr>
          <w:rStyle w:val="55"/>
          <w:rFonts w:hint="default" w:ascii="Times New Roman" w:hAnsi="Times New Roman" w:eastAsia="宋体" w:cs="Times New Roman"/>
          <w:b w:val="0"/>
          <w:bCs/>
          <w:color w:val="auto"/>
          <w:kern w:val="0"/>
          <w:sz w:val="24"/>
          <w:szCs w:val="24"/>
          <w:highlight w:val="yellow"/>
          <w:shd w:val="clear" w:color="auto" w:fill="FFFFFF"/>
          <w:lang w:val="en-US" w:eastAsia="zh-CN" w:bidi="ar"/>
        </w:rPr>
        <w:t>9</w:t>
      </w:r>
      <w:r>
        <w:rPr>
          <w:rStyle w:val="55"/>
          <w:rFonts w:hint="default" w:ascii="Times New Roman" w:hAnsi="Times New Roman" w:eastAsia="宋体" w:cs="Times New Roman"/>
          <w:b w:val="0"/>
          <w:bCs/>
          <w:color w:val="auto"/>
          <w:kern w:val="0"/>
          <w:sz w:val="24"/>
          <w:szCs w:val="24"/>
          <w:highlight w:val="yellow"/>
          <w:shd w:val="clear" w:color="auto" w:fill="FFFFFF"/>
          <w:lang w:bidi="ar"/>
        </w:rPr>
        <w:t>月</w:t>
      </w:r>
      <w:r>
        <w:rPr>
          <w:rStyle w:val="55"/>
          <w:rFonts w:hint="default" w:ascii="Times New Roman" w:hAnsi="Times New Roman" w:eastAsia="宋体" w:cs="Times New Roman"/>
          <w:b w:val="0"/>
          <w:bCs/>
          <w:color w:val="auto"/>
          <w:kern w:val="0"/>
          <w:sz w:val="24"/>
          <w:szCs w:val="24"/>
          <w:highlight w:val="yellow"/>
          <w:shd w:val="clear" w:color="auto" w:fill="FFFFFF"/>
          <w:lang w:val="en-US" w:eastAsia="zh-CN" w:bidi="ar"/>
        </w:rPr>
        <w:t>7</w:t>
      </w:r>
      <w:r>
        <w:rPr>
          <w:rStyle w:val="55"/>
          <w:rFonts w:hint="default" w:ascii="Times New Roman" w:hAnsi="Times New Roman" w:eastAsia="宋体" w:cs="Times New Roman"/>
          <w:b w:val="0"/>
          <w:bCs/>
          <w:color w:val="auto"/>
          <w:kern w:val="0"/>
          <w:sz w:val="24"/>
          <w:szCs w:val="24"/>
          <w:highlight w:val="yellow"/>
          <w:shd w:val="clear" w:color="auto" w:fill="FFFFFF"/>
          <w:lang w:bidi="ar"/>
        </w:rPr>
        <w:t>日-</w:t>
      </w:r>
      <w:r>
        <w:rPr>
          <w:rStyle w:val="55"/>
          <w:rFonts w:hint="default" w:ascii="Times New Roman" w:hAnsi="Times New Roman" w:eastAsia="宋体" w:cs="Times New Roman"/>
          <w:b w:val="0"/>
          <w:bCs/>
          <w:color w:val="auto"/>
          <w:kern w:val="0"/>
          <w:sz w:val="24"/>
          <w:szCs w:val="24"/>
          <w:highlight w:val="yellow"/>
          <w:shd w:val="clear" w:color="auto" w:fill="FFFFFF"/>
          <w:lang w:val="en-US" w:eastAsia="zh-CN" w:bidi="ar"/>
        </w:rPr>
        <w:t>9</w:t>
      </w:r>
      <w:r>
        <w:rPr>
          <w:rStyle w:val="55"/>
          <w:rFonts w:hint="default" w:ascii="Times New Roman" w:hAnsi="Times New Roman" w:eastAsia="宋体" w:cs="Times New Roman"/>
          <w:b w:val="0"/>
          <w:bCs/>
          <w:color w:val="auto"/>
          <w:kern w:val="0"/>
          <w:sz w:val="24"/>
          <w:szCs w:val="24"/>
          <w:highlight w:val="yellow"/>
          <w:shd w:val="clear" w:color="auto" w:fill="FFFFFF"/>
          <w:lang w:bidi="ar"/>
        </w:rPr>
        <w:t>月</w:t>
      </w:r>
      <w:r>
        <w:rPr>
          <w:rStyle w:val="55"/>
          <w:rFonts w:hint="default" w:ascii="Times New Roman" w:hAnsi="Times New Roman" w:eastAsia="宋体" w:cs="Times New Roman"/>
          <w:b w:val="0"/>
          <w:bCs/>
          <w:color w:val="auto"/>
          <w:kern w:val="0"/>
          <w:sz w:val="24"/>
          <w:szCs w:val="24"/>
          <w:highlight w:val="yellow"/>
          <w:shd w:val="clear" w:color="auto" w:fill="FFFFFF"/>
          <w:lang w:val="en-US" w:eastAsia="zh-CN" w:bidi="ar"/>
        </w:rPr>
        <w:t>18</w:t>
      </w:r>
      <w:r>
        <w:rPr>
          <w:rStyle w:val="55"/>
          <w:rFonts w:hint="default" w:ascii="Times New Roman" w:hAnsi="Times New Roman" w:eastAsia="宋体" w:cs="Times New Roman"/>
          <w:b w:val="0"/>
          <w:bCs/>
          <w:color w:val="auto"/>
          <w:kern w:val="0"/>
          <w:sz w:val="24"/>
          <w:szCs w:val="24"/>
          <w:highlight w:val="yellow"/>
          <w:shd w:val="clear" w:color="auto" w:fill="FFFFFF"/>
          <w:lang w:bidi="ar"/>
        </w:rPr>
        <w:t>日在</w:t>
      </w:r>
      <w:r>
        <w:rPr>
          <w:rStyle w:val="55"/>
          <w:rFonts w:hint="default" w:ascii="Times New Roman" w:hAnsi="Times New Roman" w:eastAsia="宋体" w:cs="Times New Roman"/>
          <w:b w:val="0"/>
          <w:bCs/>
          <w:color w:val="auto"/>
          <w:kern w:val="0"/>
          <w:sz w:val="24"/>
          <w:szCs w:val="24"/>
          <w:highlight w:val="yellow"/>
          <w:shd w:val="clear" w:color="auto" w:fill="FFFFFF"/>
          <w:lang w:eastAsia="zh-CN" w:bidi="ar"/>
        </w:rPr>
        <w:t>北票市人民政府</w:t>
      </w:r>
      <w:r>
        <w:rPr>
          <w:rStyle w:val="55"/>
          <w:rFonts w:hint="default" w:ascii="Times New Roman" w:hAnsi="Times New Roman" w:eastAsia="宋体" w:cs="Times New Roman"/>
          <w:b w:val="0"/>
          <w:bCs/>
          <w:color w:val="auto"/>
          <w:kern w:val="0"/>
          <w:sz w:val="24"/>
          <w:szCs w:val="24"/>
          <w:highlight w:val="yellow"/>
          <w:shd w:val="clear" w:color="auto" w:fill="FFFFFF"/>
          <w:lang w:bidi="ar"/>
        </w:rPr>
        <w:t>网站上进行了第二次公示</w:t>
      </w:r>
      <w:r>
        <w:rPr>
          <w:rStyle w:val="55"/>
          <w:rFonts w:hint="default" w:ascii="Times New Roman" w:hAnsi="Times New Roman" w:eastAsia="宋体" w:cs="Times New Roman"/>
          <w:b w:val="0"/>
          <w:bCs/>
          <w:color w:val="auto"/>
          <w:kern w:val="0"/>
          <w:sz w:val="24"/>
          <w:szCs w:val="24"/>
          <w:highlight w:val="yellow"/>
          <w:shd w:val="clear" w:color="auto" w:fill="FFFFFF"/>
          <w:lang w:eastAsia="zh-CN" w:bidi="ar"/>
        </w:rPr>
        <w:t>（http://www.bp.gov.cn/zgbp/zfxxgk/20210908/002014_a8f136d8-0bdd-4669-a907-20d823efeb10.htm）</w:t>
      </w:r>
      <w:r>
        <w:rPr>
          <w:rStyle w:val="55"/>
          <w:rFonts w:hint="default" w:ascii="Times New Roman" w:hAnsi="Times New Roman" w:eastAsia="宋体" w:cs="Times New Roman"/>
          <w:b w:val="0"/>
          <w:bCs/>
          <w:color w:val="auto"/>
          <w:kern w:val="0"/>
          <w:sz w:val="24"/>
          <w:szCs w:val="24"/>
          <w:highlight w:val="yellow"/>
          <w:shd w:val="clear" w:color="auto" w:fill="FFFFFF"/>
          <w:lang w:bidi="ar"/>
        </w:rPr>
        <w:t>，在20</w:t>
      </w:r>
      <w:r>
        <w:rPr>
          <w:rStyle w:val="55"/>
          <w:rFonts w:hint="default" w:ascii="Times New Roman" w:hAnsi="Times New Roman" w:eastAsia="宋体" w:cs="Times New Roman"/>
          <w:b w:val="0"/>
          <w:bCs/>
          <w:color w:val="auto"/>
          <w:kern w:val="0"/>
          <w:sz w:val="24"/>
          <w:szCs w:val="24"/>
          <w:highlight w:val="yellow"/>
          <w:shd w:val="clear" w:color="auto" w:fill="FFFFFF"/>
          <w:lang w:val="en-US" w:eastAsia="zh-CN" w:bidi="ar"/>
        </w:rPr>
        <w:t>21</w:t>
      </w:r>
      <w:r>
        <w:rPr>
          <w:rStyle w:val="55"/>
          <w:rFonts w:hint="default" w:ascii="Times New Roman" w:hAnsi="Times New Roman" w:eastAsia="宋体" w:cs="Times New Roman"/>
          <w:b w:val="0"/>
          <w:bCs/>
          <w:color w:val="auto"/>
          <w:kern w:val="0"/>
          <w:sz w:val="24"/>
          <w:szCs w:val="24"/>
          <w:highlight w:val="yellow"/>
          <w:shd w:val="clear" w:color="auto" w:fill="FFFFFF"/>
          <w:lang w:bidi="ar"/>
        </w:rPr>
        <w:t>年</w:t>
      </w:r>
      <w:r>
        <w:rPr>
          <w:rStyle w:val="55"/>
          <w:rFonts w:hint="default" w:ascii="Times New Roman" w:hAnsi="Times New Roman" w:eastAsia="宋体" w:cs="Times New Roman"/>
          <w:b w:val="0"/>
          <w:bCs/>
          <w:color w:val="auto"/>
          <w:kern w:val="0"/>
          <w:sz w:val="24"/>
          <w:szCs w:val="24"/>
          <w:highlight w:val="yellow"/>
          <w:shd w:val="clear" w:color="auto" w:fill="FFFFFF"/>
          <w:lang w:val="en-US" w:eastAsia="zh-CN" w:bidi="ar"/>
        </w:rPr>
        <w:t>9</w:t>
      </w:r>
      <w:r>
        <w:rPr>
          <w:rStyle w:val="55"/>
          <w:rFonts w:hint="default" w:ascii="Times New Roman" w:hAnsi="Times New Roman" w:eastAsia="宋体" w:cs="Times New Roman"/>
          <w:b w:val="0"/>
          <w:bCs/>
          <w:color w:val="auto"/>
          <w:kern w:val="0"/>
          <w:sz w:val="24"/>
          <w:szCs w:val="24"/>
          <w:highlight w:val="yellow"/>
          <w:shd w:val="clear" w:color="auto" w:fill="FFFFFF"/>
          <w:lang w:bidi="ar"/>
        </w:rPr>
        <w:t>月</w:t>
      </w:r>
      <w:r>
        <w:rPr>
          <w:rStyle w:val="55"/>
          <w:rFonts w:hint="default" w:ascii="Times New Roman" w:hAnsi="Times New Roman" w:eastAsia="宋体" w:cs="Times New Roman"/>
          <w:b w:val="0"/>
          <w:bCs/>
          <w:color w:val="auto"/>
          <w:kern w:val="0"/>
          <w:sz w:val="24"/>
          <w:szCs w:val="24"/>
          <w:highlight w:val="yellow"/>
          <w:shd w:val="clear" w:color="auto" w:fill="FFFFFF"/>
          <w:lang w:val="en-US" w:eastAsia="zh-CN" w:bidi="ar"/>
        </w:rPr>
        <w:t>9</w:t>
      </w:r>
      <w:r>
        <w:rPr>
          <w:rStyle w:val="55"/>
          <w:rFonts w:hint="default" w:ascii="Times New Roman" w:hAnsi="Times New Roman" w:eastAsia="宋体" w:cs="Times New Roman"/>
          <w:b w:val="0"/>
          <w:bCs/>
          <w:color w:val="auto"/>
          <w:kern w:val="0"/>
          <w:sz w:val="24"/>
          <w:szCs w:val="24"/>
          <w:highlight w:val="yellow"/>
          <w:shd w:val="clear" w:color="auto" w:fill="FFFFFF"/>
          <w:lang w:bidi="ar"/>
        </w:rPr>
        <w:t>日</w:t>
      </w:r>
      <w:r>
        <w:rPr>
          <w:rStyle w:val="55"/>
          <w:rFonts w:hint="default" w:ascii="Times New Roman" w:hAnsi="Times New Roman" w:eastAsia="宋体" w:cs="Times New Roman"/>
          <w:b w:val="0"/>
          <w:bCs/>
          <w:color w:val="auto"/>
          <w:kern w:val="0"/>
          <w:sz w:val="24"/>
          <w:szCs w:val="24"/>
          <w:highlight w:val="yellow"/>
          <w:shd w:val="clear" w:color="auto" w:fill="FFFFFF"/>
          <w:lang w:eastAsia="zh-CN" w:bidi="ar"/>
        </w:rPr>
        <w:t>及</w:t>
      </w:r>
      <w:r>
        <w:rPr>
          <w:rStyle w:val="55"/>
          <w:rFonts w:hint="default" w:ascii="Times New Roman" w:hAnsi="Times New Roman" w:eastAsia="宋体" w:cs="Times New Roman"/>
          <w:b w:val="0"/>
          <w:bCs/>
          <w:color w:val="auto"/>
          <w:kern w:val="0"/>
          <w:sz w:val="24"/>
          <w:szCs w:val="24"/>
          <w:highlight w:val="yellow"/>
          <w:shd w:val="clear" w:color="auto" w:fill="FFFFFF"/>
          <w:lang w:val="en-US" w:eastAsia="zh-CN" w:bidi="ar"/>
        </w:rPr>
        <w:t>9</w:t>
      </w:r>
      <w:r>
        <w:rPr>
          <w:rStyle w:val="55"/>
          <w:rFonts w:hint="default" w:ascii="Times New Roman" w:hAnsi="Times New Roman" w:eastAsia="宋体" w:cs="Times New Roman"/>
          <w:b w:val="0"/>
          <w:bCs/>
          <w:color w:val="auto"/>
          <w:kern w:val="0"/>
          <w:sz w:val="24"/>
          <w:szCs w:val="24"/>
          <w:highlight w:val="yellow"/>
          <w:shd w:val="clear" w:color="auto" w:fill="FFFFFF"/>
          <w:lang w:bidi="ar"/>
        </w:rPr>
        <w:t>月</w:t>
      </w:r>
      <w:r>
        <w:rPr>
          <w:rStyle w:val="55"/>
          <w:rFonts w:hint="default" w:ascii="Times New Roman" w:hAnsi="Times New Roman" w:eastAsia="宋体" w:cs="Times New Roman"/>
          <w:b w:val="0"/>
          <w:bCs/>
          <w:color w:val="auto"/>
          <w:kern w:val="0"/>
          <w:sz w:val="24"/>
          <w:szCs w:val="24"/>
          <w:highlight w:val="yellow"/>
          <w:shd w:val="clear" w:color="auto" w:fill="FFFFFF"/>
          <w:lang w:val="en-US" w:eastAsia="zh-CN" w:bidi="ar"/>
        </w:rPr>
        <w:t>11</w:t>
      </w:r>
      <w:r>
        <w:rPr>
          <w:rStyle w:val="55"/>
          <w:rFonts w:hint="default" w:ascii="Times New Roman" w:hAnsi="Times New Roman" w:eastAsia="宋体" w:cs="Times New Roman"/>
          <w:b w:val="0"/>
          <w:bCs/>
          <w:color w:val="auto"/>
          <w:kern w:val="0"/>
          <w:sz w:val="24"/>
          <w:szCs w:val="24"/>
          <w:highlight w:val="yellow"/>
          <w:shd w:val="clear" w:color="auto" w:fill="FFFFFF"/>
          <w:lang w:bidi="ar"/>
        </w:rPr>
        <w:t>日在</w:t>
      </w:r>
      <w:r>
        <w:rPr>
          <w:rStyle w:val="55"/>
          <w:rFonts w:hint="default" w:ascii="Times New Roman" w:hAnsi="Times New Roman" w:eastAsia="宋体" w:cs="Times New Roman"/>
          <w:b w:val="0"/>
          <w:bCs/>
          <w:color w:val="auto"/>
          <w:kern w:val="0"/>
          <w:sz w:val="24"/>
          <w:szCs w:val="24"/>
          <w:highlight w:val="yellow"/>
          <w:shd w:val="clear" w:color="auto" w:fill="FFFFFF"/>
          <w:lang w:eastAsia="zh-CN" w:bidi="ar"/>
        </w:rPr>
        <w:t>环球时报</w:t>
      </w:r>
      <w:r>
        <w:rPr>
          <w:rStyle w:val="55"/>
          <w:rFonts w:hint="default" w:ascii="Times New Roman" w:hAnsi="Times New Roman" w:eastAsia="宋体" w:cs="Times New Roman"/>
          <w:b w:val="0"/>
          <w:bCs/>
          <w:color w:val="auto"/>
          <w:kern w:val="0"/>
          <w:sz w:val="24"/>
          <w:szCs w:val="24"/>
          <w:highlight w:val="yellow"/>
          <w:shd w:val="clear" w:color="auto" w:fill="FFFFFF"/>
          <w:lang w:bidi="ar"/>
        </w:rPr>
        <w:t>上进行了二次报纸公示</w:t>
      </w:r>
      <w:r>
        <w:rPr>
          <w:rFonts w:hint="default" w:ascii="Times New Roman" w:hAnsi="Times New Roman" w:eastAsia="宋体" w:cs="Times New Roman"/>
          <w:color w:val="auto"/>
          <w:sz w:val="24"/>
          <w:highlight w:val="yellow"/>
        </w:rPr>
        <w:t>，并张贴告示，公示期间建设单位和评价单位均未收到公众对该项目建设持有反对意见的信件和电话。</w:t>
      </w:r>
      <w:r>
        <w:rPr>
          <w:rFonts w:hint="default" w:ascii="Times New Roman" w:hAnsi="Times New Roman" w:eastAsia="宋体" w:cs="Times New Roman"/>
          <w:color w:val="auto"/>
          <w:sz w:val="24"/>
          <w:highlight w:val="yellow"/>
          <w:lang w:eastAsia="zh-CN"/>
        </w:rPr>
        <w:t>公示截图如下：</w:t>
      </w:r>
    </w:p>
    <w:p>
      <w:pPr>
        <w:pStyle w:val="21"/>
        <w:spacing w:after="0" w:line="360" w:lineRule="auto"/>
        <w:ind w:firstLine="480" w:firstLineChars="200"/>
        <w:jc w:val="left"/>
        <w:rPr>
          <w:rFonts w:hint="default" w:ascii="Times New Roman" w:hAnsi="Times New Roman" w:eastAsia="宋体" w:cs="Times New Roman"/>
          <w:color w:val="auto"/>
          <w:sz w:val="24"/>
          <w:highlight w:val="none"/>
          <w:lang w:eastAsia="zh-CN"/>
        </w:rPr>
      </w:pPr>
    </w:p>
    <w:p>
      <w:pPr>
        <w:pStyle w:val="21"/>
        <w:spacing w:after="0" w:line="360" w:lineRule="auto"/>
        <w:ind w:firstLine="480" w:firstLineChars="200"/>
        <w:jc w:val="left"/>
        <w:rPr>
          <w:rFonts w:hint="default" w:ascii="Times New Roman" w:hAnsi="Times New Roman" w:eastAsia="宋体" w:cs="Times New Roman"/>
          <w:color w:val="auto"/>
          <w:sz w:val="24"/>
          <w:highlight w:val="none"/>
          <w:lang w:eastAsia="zh-CN"/>
        </w:rPr>
      </w:pPr>
    </w:p>
    <w:p>
      <w:pPr>
        <w:pStyle w:val="21"/>
        <w:spacing w:after="0" w:line="360" w:lineRule="auto"/>
        <w:ind w:firstLine="480" w:firstLineChars="200"/>
        <w:jc w:val="left"/>
        <w:rPr>
          <w:rFonts w:hint="default" w:ascii="Times New Roman" w:hAnsi="Times New Roman" w:eastAsia="宋体" w:cs="Times New Roman"/>
          <w:color w:val="auto"/>
          <w:sz w:val="24"/>
          <w:highlight w:val="none"/>
          <w:lang w:eastAsia="zh-CN"/>
        </w:rPr>
      </w:pPr>
    </w:p>
    <w:p>
      <w:pPr>
        <w:bidi w:val="0"/>
        <w:jc w:val="center"/>
        <w:rPr>
          <w:rFonts w:hint="default" w:ascii="Times New Roman" w:hAnsi="Times New Roman" w:eastAsia="宋体" w:cs="Times New Roman"/>
          <w:color w:val="auto"/>
          <w:lang w:eastAsia="zh-CN"/>
        </w:rPr>
      </w:pPr>
    </w:p>
    <w:p>
      <w:pPr>
        <w:spacing w:line="360" w:lineRule="auto"/>
        <w:jc w:val="center"/>
        <w:rPr>
          <w:rFonts w:hint="default" w:ascii="Times New Roman" w:hAnsi="Times New Roman" w:eastAsia="宋体" w:cs="Times New Roman"/>
          <w:b/>
          <w:bCs/>
          <w:color w:val="auto"/>
          <w:kern w:val="2"/>
          <w:sz w:val="24"/>
          <w:szCs w:val="24"/>
          <w:lang w:val="en-US" w:eastAsia="zh-CN" w:bidi="ar-SA"/>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color w:val="auto"/>
          <w:kern w:val="2"/>
          <w:sz w:val="24"/>
          <w:szCs w:val="24"/>
          <w:lang w:val="en-US" w:eastAsia="zh-CN" w:bidi="ar-SA"/>
        </w:rPr>
        <w:t>图10.7-1 第一次公示截图</w:t>
      </w:r>
    </w:p>
    <w:p>
      <w:pPr>
        <w:pStyle w:val="61"/>
        <w:jc w:val="center"/>
        <w:rPr>
          <w:rFonts w:hint="default" w:ascii="Times New Roman" w:hAnsi="Times New Roman" w:eastAsia="宋体" w:cs="Times New Roman"/>
          <w:color w:val="auto"/>
          <w:lang w:val="en-US" w:eastAsia="zh-CN"/>
        </w:rPr>
      </w:pPr>
    </w:p>
    <w:p>
      <w:pPr>
        <w:spacing w:line="360" w:lineRule="auto"/>
        <w:jc w:val="center"/>
        <w:rPr>
          <w:rFonts w:hint="default" w:ascii="Times New Roman" w:hAnsi="Times New Roman" w:eastAsia="宋体" w:cs="Times New Roman"/>
          <w:b/>
          <w:bCs/>
          <w:color w:val="auto"/>
          <w:kern w:val="2"/>
          <w:sz w:val="24"/>
          <w:szCs w:val="24"/>
          <w:lang w:val="en-US" w:eastAsia="zh-CN" w:bidi="ar-SA"/>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color w:val="auto"/>
          <w:kern w:val="2"/>
          <w:sz w:val="24"/>
          <w:szCs w:val="24"/>
          <w:lang w:val="en-US" w:eastAsia="zh-CN" w:bidi="ar-SA"/>
        </w:rPr>
        <w:t>图10.7-2 第二次公示截图</w:t>
      </w:r>
    </w:p>
    <w:p>
      <w:pPr>
        <w:pStyle w:val="21"/>
        <w:spacing w:after="0" w:line="360" w:lineRule="auto"/>
        <w:ind w:firstLine="480" w:firstLineChars="200"/>
        <w:jc w:val="center"/>
        <w:rPr>
          <w:rFonts w:hint="default" w:ascii="Times New Roman" w:hAnsi="Times New Roman" w:eastAsia="宋体" w:cs="Times New Roman"/>
          <w:color w:val="auto"/>
          <w:sz w:val="24"/>
          <w:highlight w:val="none"/>
        </w:rPr>
      </w:pPr>
    </w:p>
    <w:p>
      <w:pPr>
        <w:keepNext w:val="0"/>
        <w:keepLines w:val="0"/>
        <w:pageBreakBefore w:val="0"/>
        <w:widowControl w:val="0"/>
        <w:tabs>
          <w:tab w:val="left" w:pos="612"/>
        </w:tabs>
        <w:kinsoku/>
        <w:wordWrap/>
        <w:overflowPunct/>
        <w:topLinePunct w:val="0"/>
        <w:autoSpaceDE/>
        <w:autoSpaceDN/>
        <w:bidi w:val="0"/>
        <w:adjustRightInd/>
        <w:snapToGrid/>
        <w:spacing w:line="360" w:lineRule="auto"/>
        <w:ind w:firstLine="482" w:firstLineChars="20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szCs w:val="24"/>
          <w:highlight w:val="none"/>
          <w:lang w:eastAsia="zh-CN"/>
        </w:rPr>
        <w:t>图</w:t>
      </w:r>
      <w:r>
        <w:rPr>
          <w:rFonts w:hint="default" w:ascii="Times New Roman" w:hAnsi="Times New Roman" w:eastAsia="宋体" w:cs="Times New Roman"/>
          <w:b/>
          <w:bCs/>
          <w:color w:val="auto"/>
          <w:sz w:val="24"/>
          <w:szCs w:val="24"/>
          <w:highlight w:val="none"/>
          <w:lang w:val="en-US" w:eastAsia="zh-CN"/>
        </w:rPr>
        <w:t>10.7-3  征求意见稿报纸第一天公示</w:t>
      </w:r>
    </w:p>
    <w:p>
      <w:pPr>
        <w:pStyle w:val="21"/>
        <w:spacing w:after="0" w:line="360" w:lineRule="auto"/>
        <w:ind w:firstLine="480" w:firstLineChars="200"/>
        <w:jc w:val="left"/>
        <w:rPr>
          <w:rFonts w:hint="default" w:ascii="Times New Roman" w:hAnsi="Times New Roman" w:eastAsia="宋体" w:cs="Times New Roman"/>
          <w:color w:val="auto"/>
          <w:sz w:val="24"/>
          <w:highlight w:val="none"/>
        </w:rPr>
      </w:pPr>
    </w:p>
    <w:p>
      <w:pPr>
        <w:pStyle w:val="21"/>
        <w:spacing w:after="0" w:line="360" w:lineRule="auto"/>
        <w:ind w:firstLine="480" w:firstLineChars="200"/>
        <w:jc w:val="left"/>
        <w:rPr>
          <w:rFonts w:hint="default" w:ascii="Times New Roman" w:hAnsi="Times New Roman" w:eastAsia="宋体" w:cs="Times New Roman"/>
          <w:color w:val="auto"/>
          <w:sz w:val="24"/>
          <w:highlight w:val="none"/>
        </w:rPr>
      </w:pPr>
    </w:p>
    <w:p>
      <w:pPr>
        <w:bidi w:val="0"/>
        <w:jc w:val="center"/>
        <w:rPr>
          <w:rFonts w:hint="default" w:ascii="Times New Roman" w:hAnsi="Times New Roman" w:eastAsia="宋体" w:cs="Times New Roman"/>
          <w:color w:val="auto"/>
        </w:rPr>
      </w:pPr>
    </w:p>
    <w:p>
      <w:pPr>
        <w:pStyle w:val="21"/>
        <w:spacing w:after="0" w:line="360" w:lineRule="auto"/>
        <w:ind w:firstLine="480" w:firstLineChars="200"/>
        <w:jc w:val="left"/>
        <w:rPr>
          <w:rFonts w:hint="default" w:ascii="Times New Roman" w:hAnsi="Times New Roman" w:eastAsia="宋体" w:cs="Times New Roman"/>
          <w:color w:val="auto"/>
          <w:sz w:val="24"/>
          <w:highlight w:val="none"/>
        </w:rPr>
      </w:pPr>
    </w:p>
    <w:p>
      <w:pPr>
        <w:pStyle w:val="21"/>
        <w:spacing w:after="0" w:line="360" w:lineRule="auto"/>
        <w:ind w:firstLine="480" w:firstLineChars="200"/>
        <w:jc w:val="left"/>
        <w:rPr>
          <w:rFonts w:hint="default" w:ascii="Times New Roman" w:hAnsi="Times New Roman" w:eastAsia="宋体" w:cs="Times New Roman"/>
          <w:color w:val="auto"/>
          <w:sz w:val="24"/>
          <w:highlight w:val="none"/>
        </w:rPr>
      </w:pPr>
    </w:p>
    <w:p>
      <w:pPr>
        <w:keepNext w:val="0"/>
        <w:keepLines w:val="0"/>
        <w:pageBreakBefore w:val="0"/>
        <w:widowControl w:val="0"/>
        <w:tabs>
          <w:tab w:val="left" w:pos="612"/>
        </w:tabs>
        <w:kinsoku/>
        <w:wordWrap/>
        <w:overflowPunct/>
        <w:topLinePunct w:val="0"/>
        <w:autoSpaceDE/>
        <w:autoSpaceDN/>
        <w:bidi w:val="0"/>
        <w:adjustRightInd/>
        <w:snapToGrid/>
        <w:spacing w:line="360" w:lineRule="auto"/>
        <w:ind w:firstLine="482" w:firstLineChars="200"/>
        <w:jc w:val="center"/>
        <w:textAlignment w:val="auto"/>
        <w:rPr>
          <w:rFonts w:hint="default" w:ascii="Times New Roman" w:hAnsi="Times New Roman" w:eastAsia="宋体" w:cs="Times New Roman"/>
          <w:b/>
          <w:bCs/>
          <w:color w:val="auto"/>
          <w:sz w:val="24"/>
          <w:szCs w:val="24"/>
          <w:highlight w:val="none"/>
          <w:lang w:eastAsia="zh-CN"/>
        </w:rPr>
      </w:pPr>
    </w:p>
    <w:p>
      <w:pPr>
        <w:keepNext w:val="0"/>
        <w:keepLines w:val="0"/>
        <w:pageBreakBefore w:val="0"/>
        <w:widowControl w:val="0"/>
        <w:tabs>
          <w:tab w:val="left" w:pos="612"/>
        </w:tabs>
        <w:kinsoku/>
        <w:wordWrap/>
        <w:overflowPunct/>
        <w:topLinePunct w:val="0"/>
        <w:autoSpaceDE/>
        <w:autoSpaceDN/>
        <w:bidi w:val="0"/>
        <w:adjustRightInd/>
        <w:snapToGrid/>
        <w:spacing w:line="360" w:lineRule="auto"/>
        <w:ind w:firstLine="482" w:firstLineChars="20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szCs w:val="24"/>
          <w:highlight w:val="none"/>
          <w:lang w:eastAsia="zh-CN"/>
        </w:rPr>
        <w:t>图</w:t>
      </w:r>
      <w:r>
        <w:rPr>
          <w:rFonts w:hint="default" w:ascii="Times New Roman" w:hAnsi="Times New Roman" w:eastAsia="宋体" w:cs="Times New Roman"/>
          <w:b/>
          <w:bCs/>
          <w:color w:val="auto"/>
          <w:sz w:val="24"/>
          <w:szCs w:val="24"/>
          <w:highlight w:val="none"/>
          <w:lang w:val="en-US" w:eastAsia="zh-CN"/>
        </w:rPr>
        <w:t>10.7-4  征求意见稿报纸第二天公示</w:t>
      </w:r>
    </w:p>
    <w:p>
      <w:pPr>
        <w:pStyle w:val="21"/>
        <w:spacing w:after="0" w:line="360" w:lineRule="auto"/>
        <w:ind w:firstLine="480" w:firstLineChars="200"/>
        <w:jc w:val="left"/>
        <w:rPr>
          <w:rFonts w:hint="default" w:ascii="Times New Roman" w:hAnsi="Times New Roman" w:eastAsia="宋体" w:cs="Times New Roman"/>
          <w:color w:val="auto"/>
          <w:sz w:val="24"/>
          <w:highlight w:val="none"/>
        </w:rPr>
      </w:pPr>
    </w:p>
    <w:p>
      <w:pPr>
        <w:pStyle w:val="21"/>
        <w:spacing w:after="0" w:line="360" w:lineRule="auto"/>
        <w:ind w:firstLine="480" w:firstLineChars="200"/>
        <w:jc w:val="left"/>
        <w:rPr>
          <w:rFonts w:hint="default" w:ascii="Times New Roman" w:hAnsi="Times New Roman" w:eastAsia="宋体" w:cs="Times New Roman"/>
          <w:color w:val="auto"/>
          <w:sz w:val="24"/>
          <w:highlight w:val="none"/>
        </w:rPr>
      </w:pPr>
    </w:p>
    <w:p>
      <w:pPr>
        <w:pStyle w:val="21"/>
        <w:spacing w:after="0" w:line="360" w:lineRule="auto"/>
        <w:ind w:firstLine="480" w:firstLineChars="200"/>
        <w:jc w:val="left"/>
        <w:rPr>
          <w:rFonts w:hint="default" w:ascii="Times New Roman" w:hAnsi="Times New Roman" w:eastAsia="宋体" w:cs="Times New Roman"/>
          <w:color w:val="auto"/>
          <w:sz w:val="24"/>
          <w:highlight w:val="none"/>
        </w:rPr>
      </w:pPr>
    </w:p>
    <w:p>
      <w:pPr>
        <w:keepNext w:val="0"/>
        <w:keepLines w:val="0"/>
        <w:pageBreakBefore w:val="0"/>
        <w:widowControl w:val="0"/>
        <w:tabs>
          <w:tab w:val="left" w:pos="612"/>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4"/>
          <w:szCs w:val="24"/>
          <w:highlight w:val="yellow"/>
          <w:lang w:val="en-US" w:eastAsia="zh-CN"/>
        </w:rPr>
      </w:pPr>
      <w:r>
        <w:rPr>
          <w:rFonts w:hint="default" w:ascii="Times New Roman" w:hAnsi="Times New Roman" w:eastAsia="宋体" w:cs="Times New Roman"/>
          <w:b/>
          <w:bCs/>
          <w:color w:val="auto"/>
          <w:sz w:val="24"/>
          <w:szCs w:val="24"/>
          <w:highlight w:val="none"/>
          <w:lang w:val="en-US" w:eastAsia="zh-CN"/>
        </w:rPr>
        <w:t>图10.7-5  项目附近张贴公告</w:t>
      </w:r>
    </w:p>
    <w:p>
      <w:pPr>
        <w:pStyle w:val="21"/>
        <w:spacing w:after="0"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公众参与调查结果显示，</w:t>
      </w:r>
      <w:r>
        <w:rPr>
          <w:rFonts w:hint="default" w:ascii="Times New Roman" w:hAnsi="Times New Roman" w:eastAsia="宋体" w:cs="Times New Roman"/>
          <w:color w:val="auto"/>
          <w:spacing w:val="-2"/>
          <w:sz w:val="24"/>
          <w:highlight w:val="none"/>
        </w:rPr>
        <w:t>公众均未在环保方面对项目建设提出要求与意见。</w:t>
      </w:r>
      <w:r>
        <w:rPr>
          <w:rFonts w:hint="default" w:ascii="Times New Roman" w:hAnsi="Times New Roman" w:eastAsia="宋体" w:cs="Times New Roman"/>
          <w:color w:val="auto"/>
          <w:sz w:val="24"/>
          <w:highlight w:val="none"/>
        </w:rPr>
        <w:t>本次公众参与调查基本上反映了项目建设区公众的意见，达到了公众参与的目的，本次评价采纳公参调查结果。</w:t>
      </w:r>
    </w:p>
    <w:p>
      <w:pPr>
        <w:pStyle w:val="4"/>
        <w:spacing w:line="360" w:lineRule="auto"/>
        <w:rPr>
          <w:rFonts w:hint="default" w:ascii="Times New Roman" w:hAnsi="Times New Roman" w:eastAsia="宋体" w:cs="Times New Roman"/>
          <w:color w:val="auto"/>
          <w:sz w:val="28"/>
          <w:szCs w:val="28"/>
        </w:rPr>
      </w:pPr>
      <w:bookmarkStart w:id="514" w:name="_Toc478199932"/>
      <w:bookmarkStart w:id="515" w:name="_Toc30641"/>
      <w:bookmarkStart w:id="516" w:name="_Toc524081498"/>
      <w:bookmarkStart w:id="517" w:name="_Toc29997"/>
      <w:r>
        <w:rPr>
          <w:rFonts w:hint="default" w:ascii="Times New Roman" w:hAnsi="Times New Roman" w:eastAsia="宋体" w:cs="Times New Roman"/>
          <w:color w:val="auto"/>
          <w:sz w:val="28"/>
          <w:szCs w:val="28"/>
        </w:rPr>
        <w:t>10.8环保投资及环境影响经济损益分析结论</w:t>
      </w:r>
      <w:bookmarkEnd w:id="514"/>
      <w:bookmarkEnd w:id="515"/>
      <w:bookmarkEnd w:id="516"/>
      <w:bookmarkEnd w:id="517"/>
    </w:p>
    <w:p>
      <w:pPr>
        <w:adjustRightInd w:val="0"/>
        <w:spacing w:line="360" w:lineRule="auto"/>
        <w:ind w:firstLine="48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本项目总</w:t>
      </w:r>
      <w:r>
        <w:rPr>
          <w:rFonts w:hint="default" w:ascii="Times New Roman" w:hAnsi="Times New Roman" w:eastAsia="宋体" w:cs="Times New Roman"/>
          <w:color w:val="auto"/>
          <w:sz w:val="24"/>
          <w:szCs w:val="24"/>
        </w:rPr>
        <w:t>投资为</w:t>
      </w:r>
      <w:r>
        <w:rPr>
          <w:rFonts w:hint="default" w:ascii="Times New Roman" w:hAnsi="Times New Roman" w:eastAsia="宋体" w:cs="Times New Roman"/>
          <w:color w:val="auto"/>
          <w:sz w:val="24"/>
          <w:szCs w:val="24"/>
          <w:lang w:val="en-US" w:eastAsia="zh-CN"/>
        </w:rPr>
        <w:t>5000</w:t>
      </w:r>
      <w:r>
        <w:rPr>
          <w:rFonts w:hint="default" w:ascii="Times New Roman" w:hAnsi="Times New Roman" w:eastAsia="宋体" w:cs="Times New Roman"/>
          <w:color w:val="auto"/>
          <w:sz w:val="24"/>
          <w:szCs w:val="24"/>
        </w:rPr>
        <w:t>万元，项目环保投</w:t>
      </w:r>
      <w:r>
        <w:rPr>
          <w:rFonts w:hint="default" w:ascii="Times New Roman" w:hAnsi="Times New Roman" w:eastAsia="宋体" w:cs="Times New Roman"/>
          <w:color w:val="auto"/>
          <w:sz w:val="24"/>
        </w:rPr>
        <w:t>资</w:t>
      </w:r>
      <w:r>
        <w:rPr>
          <w:rFonts w:hint="default" w:ascii="Times New Roman" w:hAnsi="Times New Roman" w:eastAsia="宋体" w:cs="Times New Roman"/>
          <w:color w:val="auto"/>
          <w:sz w:val="24"/>
          <w:lang w:val="en-US" w:eastAsia="zh-CN"/>
        </w:rPr>
        <w:t>93.7</w:t>
      </w:r>
      <w:r>
        <w:rPr>
          <w:rFonts w:hint="default" w:ascii="Times New Roman" w:hAnsi="Times New Roman" w:eastAsia="宋体" w:cs="Times New Roman"/>
          <w:color w:val="auto"/>
          <w:sz w:val="24"/>
        </w:rPr>
        <w:t>万元，占总投资的</w:t>
      </w:r>
      <w:r>
        <w:rPr>
          <w:rFonts w:hint="default" w:ascii="Times New Roman" w:hAnsi="Times New Roman" w:eastAsia="宋体" w:cs="Times New Roman"/>
          <w:color w:val="auto"/>
          <w:sz w:val="24"/>
          <w:lang w:val="en-US" w:eastAsia="zh-CN"/>
        </w:rPr>
        <w:t>1.87</w:t>
      </w:r>
      <w:r>
        <w:rPr>
          <w:rFonts w:hint="default" w:ascii="Times New Roman" w:hAnsi="Times New Roman" w:eastAsia="宋体" w:cs="Times New Roman"/>
          <w:color w:val="auto"/>
          <w:sz w:val="24"/>
        </w:rPr>
        <w:t>%。环保投资比例合理，并且可以取得明显的环境效益、社会效益和经济效益。</w:t>
      </w:r>
    </w:p>
    <w:p>
      <w:pPr>
        <w:pStyle w:val="4"/>
        <w:spacing w:line="360" w:lineRule="auto"/>
        <w:rPr>
          <w:rFonts w:hint="default" w:ascii="Times New Roman" w:hAnsi="Times New Roman" w:eastAsia="宋体" w:cs="Times New Roman"/>
          <w:color w:val="auto"/>
          <w:sz w:val="28"/>
          <w:szCs w:val="28"/>
        </w:rPr>
      </w:pPr>
      <w:bookmarkStart w:id="518" w:name="_Toc524081499"/>
      <w:bookmarkStart w:id="519" w:name="_Toc8652"/>
      <w:bookmarkStart w:id="520" w:name="_Toc16670"/>
      <w:bookmarkStart w:id="521" w:name="_Toc478199933"/>
      <w:r>
        <w:rPr>
          <w:rFonts w:hint="default" w:ascii="Times New Roman" w:hAnsi="Times New Roman" w:eastAsia="宋体" w:cs="Times New Roman"/>
          <w:color w:val="auto"/>
          <w:sz w:val="28"/>
          <w:szCs w:val="28"/>
        </w:rPr>
        <w:t>10.9评价总结论</w:t>
      </w:r>
      <w:bookmarkEnd w:id="518"/>
      <w:bookmarkEnd w:id="519"/>
      <w:bookmarkEnd w:id="520"/>
      <w:bookmarkEnd w:id="521"/>
    </w:p>
    <w:p>
      <w:pPr>
        <w:spacing w:line="360" w:lineRule="auto"/>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color w:val="auto"/>
          <w:kern w:val="2"/>
          <w:sz w:val="24"/>
          <w:szCs w:val="24"/>
          <w:lang w:eastAsia="zh-CN"/>
        </w:rPr>
        <w:t>北票市冶通矿业有限公司年产50万吨铁精粉建设项目</w:t>
      </w:r>
      <w:r>
        <w:rPr>
          <w:rFonts w:hint="default" w:ascii="Times New Roman" w:hAnsi="Times New Roman" w:eastAsia="宋体" w:cs="Times New Roman"/>
          <w:color w:val="auto"/>
          <w:sz w:val="24"/>
        </w:rPr>
        <w:t>符合国家产业政策，项目主要影响为施工期扬尘、生活污水、机械施工噪声，施工期结束后影响随之消除；运营期主要为废气、</w:t>
      </w:r>
      <w:r>
        <w:rPr>
          <w:rFonts w:hint="default" w:ascii="Times New Roman" w:hAnsi="Times New Roman" w:eastAsia="宋体" w:cs="Times New Roman"/>
          <w:color w:val="auto"/>
          <w:sz w:val="24"/>
          <w:lang w:val="en-US" w:eastAsia="zh-CN"/>
        </w:rPr>
        <w:t>废水</w:t>
      </w:r>
      <w:r>
        <w:rPr>
          <w:rFonts w:hint="default" w:ascii="Times New Roman" w:hAnsi="Times New Roman" w:eastAsia="宋体" w:cs="Times New Roman"/>
          <w:color w:val="auto"/>
          <w:sz w:val="24"/>
        </w:rPr>
        <w:t>、设备噪声、固体废物等，对周围环境均能产生一定影响。因此，</w:t>
      </w:r>
      <w:r>
        <w:rPr>
          <w:rFonts w:hint="default" w:ascii="Times New Roman" w:hAnsi="Times New Roman" w:eastAsia="宋体" w:cs="Times New Roman"/>
          <w:bCs/>
          <w:color w:val="auto"/>
          <w:sz w:val="24"/>
        </w:rPr>
        <w:t>在建设及营运过程中须认真落实本评价提出的各污染防治对策，如集气罩、除尘器等，落实风险防范措施，保证各污染物达标排放，工程在充分落实本次环评提出的各项污染防治措施的基础上，从环保角度分析，本项目的建设是合理可行的。</w:t>
      </w:r>
    </w:p>
    <w:p>
      <w:pPr>
        <w:pStyle w:val="74"/>
        <w:ind w:firstLine="480"/>
        <w:rPr>
          <w:rFonts w:hint="default" w:ascii="Times New Roman" w:hAnsi="Times New Roman" w:eastAsia="宋体" w:cs="Times New Roman"/>
          <w:color w:val="auto"/>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p>
      <w:pPr>
        <w:pStyle w:val="346"/>
        <w:spacing w:beforeLines="50" w:line="480" w:lineRule="exact"/>
        <w:rPr>
          <w:rFonts w:hint="default" w:ascii="Times New Roman" w:hAnsi="Times New Roman" w:eastAsia="宋体" w:cs="Times New Roman"/>
          <w:color w:val="auto"/>
        </w:rPr>
      </w:pPr>
      <w:bookmarkStart w:id="522" w:name="_Toc4009"/>
      <w:bookmarkStart w:id="523" w:name="_Toc7390"/>
      <w:bookmarkStart w:id="524" w:name="_Toc25243"/>
      <w:bookmarkStart w:id="525" w:name="_Toc27849"/>
      <w:bookmarkStart w:id="526" w:name="_Toc10331"/>
      <w:bookmarkStart w:id="527" w:name="_Toc14165"/>
      <w:r>
        <w:rPr>
          <w:rFonts w:hint="default" w:ascii="Times New Roman" w:hAnsi="Times New Roman" w:eastAsia="宋体" w:cs="Times New Roman"/>
          <w:color w:val="auto"/>
        </w:rPr>
        <w:t>附件1委托书</w:t>
      </w:r>
      <w:bookmarkEnd w:id="522"/>
      <w:bookmarkEnd w:id="523"/>
      <w:bookmarkEnd w:id="524"/>
      <w:bookmarkEnd w:id="525"/>
      <w:bookmarkEnd w:id="526"/>
      <w:bookmarkEnd w:id="527"/>
    </w:p>
    <w:p>
      <w:pPr>
        <w:pStyle w:val="346"/>
        <w:spacing w:beforeLines="50" w:line="480" w:lineRule="exact"/>
        <w:rPr>
          <w:rFonts w:hint="default" w:ascii="Times New Roman" w:hAnsi="Times New Roman" w:eastAsia="宋体" w:cs="Times New Roman"/>
          <w:color w:val="auto"/>
        </w:rPr>
      </w:pPr>
    </w:p>
    <w:p>
      <w:pPr>
        <w:pStyle w:val="346"/>
        <w:spacing w:beforeLines="50" w:line="480" w:lineRule="exact"/>
        <w:rPr>
          <w:rFonts w:hint="default" w:ascii="Times New Roman" w:hAnsi="Times New Roman" w:eastAsia="宋体" w:cs="Times New Roman"/>
          <w:color w:val="auto"/>
        </w:rPr>
      </w:pPr>
    </w:p>
    <w:p>
      <w:pPr>
        <w:jc w:val="center"/>
        <w:rPr>
          <w:rFonts w:hint="default" w:ascii="Times New Roman" w:hAnsi="Times New Roman" w:eastAsia="宋体" w:cs="Times New Roman"/>
          <w:color w:val="auto"/>
        </w:rPr>
      </w:pPr>
    </w:p>
    <w:p>
      <w:pPr>
        <w:jc w:val="center"/>
        <w:rPr>
          <w:rFonts w:hint="default" w:ascii="Times New Roman" w:hAnsi="Times New Roman" w:eastAsia="宋体" w:cs="Times New Roman"/>
          <w:b/>
          <w:color w:val="auto"/>
          <w:sz w:val="48"/>
          <w:szCs w:val="48"/>
        </w:rPr>
      </w:pPr>
      <w:r>
        <w:rPr>
          <w:rFonts w:hint="default" w:ascii="Times New Roman" w:hAnsi="Times New Roman" w:eastAsia="宋体" w:cs="Times New Roman"/>
          <w:b/>
          <w:color w:val="auto"/>
          <w:sz w:val="48"/>
          <w:szCs w:val="48"/>
        </w:rPr>
        <w:t>环评委托书</w:t>
      </w:r>
    </w:p>
    <w:p>
      <w:pPr>
        <w:ind w:firstLine="3253" w:firstLineChars="900"/>
        <w:rPr>
          <w:rFonts w:hint="default" w:ascii="Times New Roman" w:hAnsi="Times New Roman" w:eastAsia="宋体" w:cs="Times New Roman"/>
          <w:b/>
          <w:color w:val="auto"/>
          <w:sz w:val="36"/>
          <w:szCs w:val="36"/>
        </w:rPr>
      </w:pPr>
    </w:p>
    <w:p>
      <w:pPr>
        <w:autoSpaceDE w:val="0"/>
        <w:autoSpaceDN w:val="0"/>
        <w:adjustRightInd w:val="0"/>
        <w:spacing w:line="360" w:lineRule="auto"/>
        <w:rPr>
          <w:rFonts w:hint="default" w:ascii="Times New Roman" w:hAnsi="Times New Roman" w:eastAsia="宋体" w:cs="Times New Roman"/>
          <w:color w:val="auto"/>
          <w:kern w:val="24"/>
          <w:sz w:val="28"/>
          <w:szCs w:val="28"/>
        </w:rPr>
      </w:pPr>
      <w:r>
        <w:rPr>
          <w:rFonts w:hint="default" w:ascii="Times New Roman" w:hAnsi="Times New Roman" w:eastAsia="宋体" w:cs="Times New Roman"/>
          <w:color w:val="auto"/>
          <w:kern w:val="24"/>
          <w:sz w:val="28"/>
          <w:szCs w:val="28"/>
          <w:lang w:val="en-US" w:eastAsia="zh-CN"/>
        </w:rPr>
        <w:t>朝阳德泰项目管理有限公司</w:t>
      </w:r>
      <w:r>
        <w:rPr>
          <w:rFonts w:hint="default" w:ascii="Times New Roman" w:hAnsi="Times New Roman" w:eastAsia="宋体" w:cs="Times New Roman"/>
          <w:color w:val="auto"/>
          <w:kern w:val="24"/>
          <w:sz w:val="28"/>
          <w:szCs w:val="28"/>
        </w:rPr>
        <w:t>：</w:t>
      </w:r>
    </w:p>
    <w:p>
      <w:pPr>
        <w:autoSpaceDE w:val="0"/>
        <w:autoSpaceDN w:val="0"/>
        <w:adjustRightInd w:val="0"/>
        <w:spacing w:line="360" w:lineRule="auto"/>
        <w:ind w:firstLine="560" w:firstLineChars="200"/>
        <w:rPr>
          <w:rFonts w:hint="default" w:ascii="Times New Roman" w:hAnsi="Times New Roman" w:eastAsia="宋体" w:cs="Times New Roman"/>
          <w:color w:val="auto"/>
          <w:sz w:val="28"/>
          <w:szCs w:val="28"/>
        </w:rPr>
      </w:pPr>
      <w:r>
        <w:rPr>
          <w:rFonts w:hint="default" w:ascii="Times New Roman" w:hAnsi="Times New Roman" w:eastAsia="宋体" w:cs="Times New Roman"/>
          <w:color w:val="auto"/>
          <w:kern w:val="24"/>
          <w:sz w:val="28"/>
          <w:szCs w:val="28"/>
        </w:rPr>
        <w:t>根据《中华人民共和国环境影响评价法》、《建设项目环境保护管理条例》和《建设项目环境影响评价分类管理名录》等相关法律、法规的规定，</w:t>
      </w:r>
      <w:r>
        <w:rPr>
          <w:rFonts w:hint="default" w:ascii="Times New Roman" w:hAnsi="Times New Roman" w:eastAsia="宋体" w:cs="Times New Roman"/>
          <w:color w:val="auto"/>
          <w:kern w:val="24"/>
          <w:sz w:val="28"/>
          <w:szCs w:val="28"/>
          <w:lang w:eastAsia="zh-CN"/>
        </w:rPr>
        <w:t>北票市冶通矿业有限公司年产</w:t>
      </w:r>
      <w:r>
        <w:rPr>
          <w:rFonts w:hint="default" w:ascii="Times New Roman" w:hAnsi="Times New Roman" w:eastAsia="宋体" w:cs="Times New Roman"/>
          <w:color w:val="auto"/>
          <w:kern w:val="24"/>
          <w:sz w:val="28"/>
          <w:szCs w:val="28"/>
          <w:lang w:val="en-US" w:eastAsia="zh-CN"/>
        </w:rPr>
        <w:t>50万吨铁精粉</w:t>
      </w:r>
      <w:r>
        <w:rPr>
          <w:rFonts w:hint="default" w:ascii="Times New Roman" w:hAnsi="Times New Roman" w:eastAsia="宋体" w:cs="Times New Roman"/>
          <w:color w:val="auto"/>
          <w:kern w:val="24"/>
          <w:sz w:val="28"/>
          <w:szCs w:val="28"/>
        </w:rPr>
        <w:t>建设项目应编制环境影响报告</w:t>
      </w:r>
      <w:r>
        <w:rPr>
          <w:rFonts w:hint="default" w:ascii="Times New Roman" w:hAnsi="Times New Roman" w:eastAsia="宋体" w:cs="Times New Roman"/>
          <w:color w:val="auto"/>
          <w:kern w:val="24"/>
          <w:sz w:val="28"/>
          <w:szCs w:val="28"/>
          <w:lang w:val="en-US" w:eastAsia="zh-CN"/>
        </w:rPr>
        <w:t>书</w:t>
      </w:r>
      <w:r>
        <w:rPr>
          <w:rFonts w:hint="default" w:ascii="Times New Roman" w:hAnsi="Times New Roman" w:eastAsia="宋体" w:cs="Times New Roman"/>
          <w:color w:val="auto"/>
          <w:kern w:val="24"/>
          <w:sz w:val="28"/>
          <w:szCs w:val="28"/>
        </w:rPr>
        <w:t>。现委托你单位承担该项目环境影响评价工作。</w:t>
      </w:r>
    </w:p>
    <w:p>
      <w:pPr>
        <w:ind w:firstLine="2670" w:firstLineChars="950"/>
        <w:rPr>
          <w:rFonts w:hint="default" w:ascii="Times New Roman" w:hAnsi="Times New Roman" w:eastAsia="宋体" w:cs="Times New Roman"/>
          <w:b/>
          <w:color w:val="auto"/>
          <w:sz w:val="28"/>
          <w:szCs w:val="28"/>
        </w:rPr>
      </w:pPr>
    </w:p>
    <w:p>
      <w:pPr>
        <w:ind w:firstLine="2670" w:firstLineChars="950"/>
        <w:rPr>
          <w:rFonts w:hint="default" w:ascii="Times New Roman" w:hAnsi="Times New Roman" w:eastAsia="宋体" w:cs="Times New Roman"/>
          <w:b/>
          <w:color w:val="auto"/>
          <w:sz w:val="28"/>
          <w:szCs w:val="28"/>
        </w:rPr>
      </w:pPr>
    </w:p>
    <w:p>
      <w:pPr>
        <w:ind w:firstLine="2670" w:firstLineChars="950"/>
        <w:rPr>
          <w:rFonts w:hint="default" w:ascii="Times New Roman" w:hAnsi="Times New Roman" w:eastAsia="宋体" w:cs="Times New Roman"/>
          <w:b/>
          <w:color w:val="auto"/>
          <w:sz w:val="28"/>
          <w:szCs w:val="28"/>
        </w:rPr>
      </w:pPr>
    </w:p>
    <w:p>
      <w:pPr>
        <w:pStyle w:val="61"/>
        <w:rPr>
          <w:rFonts w:hint="default" w:ascii="Times New Roman" w:hAnsi="Times New Roman" w:eastAsia="宋体" w:cs="Times New Roman"/>
          <w:b/>
          <w:color w:val="auto"/>
          <w:sz w:val="28"/>
          <w:szCs w:val="28"/>
        </w:rPr>
      </w:pPr>
    </w:p>
    <w:p>
      <w:pPr>
        <w:rPr>
          <w:rFonts w:hint="default" w:ascii="Times New Roman" w:hAnsi="Times New Roman" w:eastAsia="宋体" w:cs="Times New Roman"/>
          <w:b/>
          <w:color w:val="auto"/>
          <w:sz w:val="28"/>
          <w:szCs w:val="28"/>
        </w:rPr>
      </w:pPr>
    </w:p>
    <w:p>
      <w:pPr>
        <w:pStyle w:val="61"/>
        <w:rPr>
          <w:rFonts w:hint="default" w:ascii="Times New Roman" w:hAnsi="Times New Roman" w:eastAsia="宋体" w:cs="Times New Roman"/>
          <w:b/>
          <w:color w:val="auto"/>
          <w:sz w:val="28"/>
          <w:szCs w:val="28"/>
        </w:rPr>
      </w:pPr>
    </w:p>
    <w:p>
      <w:pPr>
        <w:rPr>
          <w:rFonts w:hint="default" w:ascii="Times New Roman" w:hAnsi="Times New Roman" w:eastAsia="宋体" w:cs="Times New Roman"/>
          <w:b/>
          <w:color w:val="auto"/>
          <w:sz w:val="28"/>
          <w:szCs w:val="28"/>
        </w:rPr>
      </w:pPr>
    </w:p>
    <w:p>
      <w:pPr>
        <w:pStyle w:val="61"/>
        <w:rPr>
          <w:rFonts w:hint="default" w:ascii="Times New Roman" w:hAnsi="Times New Roman" w:eastAsia="宋体" w:cs="Times New Roman"/>
          <w:color w:val="auto"/>
        </w:rPr>
      </w:pPr>
    </w:p>
    <w:p>
      <w:pPr>
        <w:ind w:firstLine="2670" w:firstLineChars="950"/>
        <w:rPr>
          <w:rFonts w:hint="default" w:ascii="Times New Roman" w:hAnsi="Times New Roman" w:eastAsia="宋体" w:cs="Times New Roman"/>
          <w:b/>
          <w:color w:val="auto"/>
          <w:sz w:val="28"/>
          <w:szCs w:val="28"/>
        </w:rPr>
      </w:pPr>
    </w:p>
    <w:p>
      <w:pPr>
        <w:ind w:firstLine="2670" w:firstLineChars="950"/>
        <w:rPr>
          <w:rFonts w:hint="default" w:ascii="Times New Roman" w:hAnsi="Times New Roman" w:eastAsia="宋体" w:cs="Times New Roman"/>
          <w:b/>
          <w:color w:val="auto"/>
          <w:sz w:val="28"/>
          <w:szCs w:val="28"/>
        </w:rPr>
      </w:pPr>
    </w:p>
    <w:p>
      <w:pPr>
        <w:ind w:firstLine="2670" w:firstLineChars="950"/>
        <w:rPr>
          <w:rFonts w:hint="default" w:ascii="Times New Roman" w:hAnsi="Times New Roman" w:eastAsia="宋体" w:cs="Times New Roman"/>
          <w:b/>
          <w:color w:val="auto"/>
          <w:sz w:val="28"/>
          <w:szCs w:val="28"/>
        </w:rPr>
      </w:pPr>
    </w:p>
    <w:p>
      <w:pPr>
        <w:ind w:firstLine="2670" w:firstLineChars="950"/>
        <w:rPr>
          <w:rFonts w:hint="default" w:ascii="Times New Roman" w:hAnsi="Times New Roman" w:eastAsia="宋体" w:cs="Times New Roman"/>
          <w:b/>
          <w:color w:val="auto"/>
          <w:sz w:val="28"/>
          <w:szCs w:val="28"/>
        </w:rPr>
      </w:pPr>
    </w:p>
    <w:p>
      <w:pPr>
        <w:spacing w:line="360" w:lineRule="auto"/>
        <w:jc w:val="right"/>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委托单位：</w:t>
      </w:r>
      <w:r>
        <w:rPr>
          <w:rFonts w:hint="default" w:ascii="Times New Roman" w:hAnsi="Times New Roman" w:eastAsia="宋体" w:cs="Times New Roman"/>
          <w:b/>
          <w:color w:val="auto"/>
          <w:sz w:val="28"/>
          <w:szCs w:val="28"/>
          <w:lang w:eastAsia="zh-CN"/>
        </w:rPr>
        <w:t>北票市冶通矿业有限公司</w:t>
      </w:r>
    </w:p>
    <w:p>
      <w:pPr>
        <w:spacing w:line="360" w:lineRule="auto"/>
        <w:ind w:right="560"/>
        <w:jc w:val="center"/>
        <w:rPr>
          <w:rFonts w:hint="default" w:ascii="Times New Roman" w:hAnsi="Times New Roman" w:eastAsia="宋体" w:cs="Times New Roman"/>
          <w:color w:val="auto"/>
          <w:kern w:val="24"/>
          <w:sz w:val="28"/>
          <w:szCs w:val="28"/>
        </w:rPr>
      </w:pPr>
      <w:r>
        <w:rPr>
          <w:rFonts w:hint="default" w:ascii="Times New Roman" w:hAnsi="Times New Roman" w:eastAsia="宋体" w:cs="Times New Roman"/>
          <w:color w:val="auto"/>
          <w:kern w:val="24"/>
          <w:sz w:val="28"/>
          <w:szCs w:val="28"/>
        </w:rPr>
        <w:t xml:space="preserve">                              </w:t>
      </w:r>
      <w:r>
        <w:rPr>
          <w:rFonts w:hint="default" w:ascii="Times New Roman" w:hAnsi="Times New Roman" w:eastAsia="宋体" w:cs="Times New Roman"/>
          <w:color w:val="auto"/>
          <w:kern w:val="24"/>
          <w:sz w:val="28"/>
          <w:szCs w:val="28"/>
          <w:lang w:val="en-US" w:eastAsia="zh-CN"/>
        </w:rPr>
        <w:t xml:space="preserve">        </w:t>
      </w:r>
      <w:r>
        <w:rPr>
          <w:rFonts w:hint="default" w:ascii="Times New Roman" w:hAnsi="Times New Roman" w:eastAsia="宋体" w:cs="Times New Roman"/>
          <w:color w:val="auto"/>
          <w:kern w:val="24"/>
          <w:sz w:val="28"/>
          <w:szCs w:val="28"/>
        </w:rPr>
        <w:t xml:space="preserve">  </w:t>
      </w:r>
      <w:r>
        <w:rPr>
          <w:rFonts w:hint="default" w:ascii="Times New Roman" w:hAnsi="Times New Roman" w:eastAsia="宋体" w:cs="Times New Roman"/>
          <w:color w:val="auto"/>
          <w:kern w:val="24"/>
          <w:sz w:val="28"/>
          <w:szCs w:val="28"/>
          <w:lang w:val="en-US" w:eastAsia="zh-CN"/>
        </w:rPr>
        <w:t xml:space="preserve"> </w:t>
      </w:r>
      <w:r>
        <w:rPr>
          <w:rFonts w:hint="default" w:ascii="Times New Roman" w:hAnsi="Times New Roman" w:eastAsia="宋体" w:cs="Times New Roman"/>
          <w:color w:val="auto"/>
          <w:kern w:val="24"/>
          <w:sz w:val="28"/>
          <w:szCs w:val="28"/>
        </w:rPr>
        <w:t>年</w:t>
      </w:r>
      <w:r>
        <w:rPr>
          <w:rFonts w:hint="default" w:ascii="Times New Roman" w:hAnsi="Times New Roman" w:eastAsia="宋体" w:cs="Times New Roman"/>
          <w:color w:val="auto"/>
          <w:kern w:val="24"/>
          <w:sz w:val="28"/>
          <w:szCs w:val="28"/>
          <w:lang w:val="en-US" w:eastAsia="zh-CN"/>
        </w:rPr>
        <w:t xml:space="preserve">    </w:t>
      </w:r>
      <w:r>
        <w:rPr>
          <w:rFonts w:hint="default" w:ascii="Times New Roman" w:hAnsi="Times New Roman" w:eastAsia="宋体" w:cs="Times New Roman"/>
          <w:color w:val="auto"/>
          <w:kern w:val="24"/>
          <w:sz w:val="28"/>
          <w:szCs w:val="28"/>
        </w:rPr>
        <w:t>月</w:t>
      </w:r>
      <w:r>
        <w:rPr>
          <w:rFonts w:hint="default" w:ascii="Times New Roman" w:hAnsi="Times New Roman" w:eastAsia="宋体" w:cs="Times New Roman"/>
          <w:color w:val="auto"/>
          <w:kern w:val="24"/>
          <w:sz w:val="28"/>
          <w:szCs w:val="28"/>
          <w:lang w:val="en-US" w:eastAsia="zh-CN"/>
        </w:rPr>
        <w:t xml:space="preserve">    </w:t>
      </w:r>
      <w:r>
        <w:rPr>
          <w:rFonts w:hint="default" w:ascii="Times New Roman" w:hAnsi="Times New Roman" w:eastAsia="宋体" w:cs="Times New Roman"/>
          <w:color w:val="auto"/>
          <w:kern w:val="24"/>
          <w:sz w:val="28"/>
          <w:szCs w:val="28"/>
        </w:rPr>
        <w:t>日</w:t>
      </w:r>
    </w:p>
    <w:p>
      <w:pPr>
        <w:bidi w:val="0"/>
        <w:rPr>
          <w:rFonts w:hint="default" w:ascii="Times New Roman" w:hAnsi="Times New Roman" w:eastAsia="宋体" w:cs="Times New Roman"/>
          <w:color w:val="auto"/>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p>
      <w:pPr>
        <w:pStyle w:val="346"/>
        <w:spacing w:beforeLines="50" w:line="480" w:lineRule="exact"/>
        <w:rPr>
          <w:rFonts w:hint="default" w:ascii="Times New Roman" w:hAnsi="Times New Roman" w:eastAsia="宋体" w:cs="Times New Roman"/>
          <w:color w:val="auto"/>
          <w:lang w:eastAsia="zh-CN"/>
        </w:rPr>
      </w:pPr>
      <w:bookmarkStart w:id="528" w:name="_Toc27922"/>
      <w:bookmarkStart w:id="529" w:name="_Toc21930"/>
      <w:bookmarkStart w:id="530" w:name="_Toc2159"/>
      <w:bookmarkStart w:id="531" w:name="_Toc18763"/>
      <w:bookmarkStart w:id="532" w:name="_Toc29216"/>
      <w:bookmarkStart w:id="533" w:name="_Toc23366"/>
      <w:r>
        <w:rPr>
          <w:rFonts w:hint="default" w:ascii="Times New Roman" w:hAnsi="Times New Roman" w:eastAsia="宋体" w:cs="Times New Roman"/>
          <w:color w:val="auto"/>
        </w:rPr>
        <w:t>附件2营业执照</w:t>
      </w:r>
      <w:bookmarkEnd w:id="528"/>
      <w:bookmarkEnd w:id="529"/>
      <w:bookmarkEnd w:id="530"/>
      <w:bookmarkEnd w:id="531"/>
      <w:bookmarkEnd w:id="532"/>
      <w:bookmarkEnd w:id="533"/>
    </w:p>
    <w:p>
      <w:pPr>
        <w:bidi w:val="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755640" cy="7787640"/>
            <wp:effectExtent l="0" t="0" r="5080" b="0"/>
            <wp:docPr id="91" name="图片 91" descr="323662b242899f50bf21190e3d3c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323662b242899f50bf21190e3d3ce66"/>
                    <pic:cNvPicPr>
                      <a:picLocks noChangeAspect="1"/>
                    </pic:cNvPicPr>
                  </pic:nvPicPr>
                  <pic:blipFill>
                    <a:blip r:embed="rId120"/>
                    <a:stretch>
                      <a:fillRect/>
                    </a:stretch>
                  </pic:blipFill>
                  <pic:spPr>
                    <a:xfrm>
                      <a:off x="0" y="0"/>
                      <a:ext cx="5755640" cy="7787640"/>
                    </a:xfrm>
                    <a:prstGeom prst="rect">
                      <a:avLst/>
                    </a:prstGeom>
                  </pic:spPr>
                </pic:pic>
              </a:graphicData>
            </a:graphic>
          </wp:inline>
        </w:drawing>
      </w:r>
    </w:p>
    <w:p>
      <w:pPr>
        <w:bidi w:val="0"/>
        <w:rPr>
          <w:rFonts w:hint="default" w:ascii="Times New Roman" w:hAnsi="Times New Roman" w:eastAsia="宋体" w:cs="Times New Roman"/>
          <w:color w:val="auto"/>
          <w:lang w:eastAsia="zh-CN"/>
        </w:rPr>
      </w:pPr>
    </w:p>
    <w:p>
      <w:pPr>
        <w:bidi w:val="0"/>
        <w:rPr>
          <w:rFonts w:hint="default" w:ascii="Times New Roman" w:hAnsi="Times New Roman" w:eastAsia="宋体" w:cs="Times New Roman"/>
          <w:color w:val="auto"/>
          <w:lang w:eastAsia="zh-CN"/>
        </w:rPr>
      </w:pPr>
    </w:p>
    <w:p>
      <w:pPr>
        <w:bidi w:val="0"/>
        <w:rPr>
          <w:rFonts w:hint="default" w:ascii="Times New Roman" w:hAnsi="Times New Roman" w:eastAsia="宋体" w:cs="Times New Roman"/>
          <w:color w:val="auto"/>
          <w:lang w:eastAsia="zh-CN"/>
        </w:rPr>
      </w:pPr>
    </w:p>
    <w:p>
      <w:pPr>
        <w:bidi w:val="0"/>
        <w:rPr>
          <w:rFonts w:hint="default" w:ascii="Times New Roman" w:hAnsi="Times New Roman" w:eastAsia="宋体" w:cs="Times New Roman"/>
          <w:color w:val="auto"/>
          <w:lang w:eastAsia="zh-CN"/>
        </w:rPr>
      </w:pPr>
    </w:p>
    <w:p>
      <w:pPr>
        <w:pStyle w:val="346"/>
        <w:spacing w:beforeLines="50" w:line="480" w:lineRule="exact"/>
        <w:rPr>
          <w:rFonts w:hint="default" w:ascii="Times New Roman" w:hAnsi="Times New Roman" w:eastAsia="宋体" w:cs="Times New Roman"/>
          <w:color w:val="auto"/>
        </w:rPr>
      </w:pPr>
      <w:bookmarkStart w:id="534" w:name="_Toc2798"/>
      <w:bookmarkStart w:id="535" w:name="_Toc15149"/>
      <w:bookmarkStart w:id="536" w:name="_Toc2554"/>
      <w:bookmarkStart w:id="537" w:name="_Toc6474"/>
      <w:bookmarkStart w:id="538" w:name="_Toc18997"/>
      <w:bookmarkStart w:id="539" w:name="_Toc26683"/>
      <w:r>
        <w:rPr>
          <w:rFonts w:hint="default" w:ascii="Times New Roman" w:hAnsi="Times New Roman" w:eastAsia="宋体" w:cs="Times New Roman"/>
          <w:color w:val="auto"/>
        </w:rPr>
        <w:t>附件3</w:t>
      </w:r>
      <w:bookmarkEnd w:id="534"/>
      <w:r>
        <w:rPr>
          <w:rFonts w:hint="default" w:ascii="Times New Roman" w:hAnsi="Times New Roman" w:eastAsia="宋体" w:cs="Times New Roman"/>
          <w:color w:val="auto"/>
        </w:rPr>
        <w:t>备案证明</w:t>
      </w:r>
      <w:bookmarkEnd w:id="535"/>
      <w:bookmarkEnd w:id="536"/>
      <w:bookmarkEnd w:id="537"/>
      <w:bookmarkEnd w:id="538"/>
      <w:bookmarkEnd w:id="539"/>
    </w:p>
    <w:p>
      <w:pPr>
        <w:bidi w:val="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4732020" cy="7971155"/>
            <wp:effectExtent l="0" t="0" r="7620" b="14605"/>
            <wp:docPr id="22" name="图片 22" descr="备案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备案文件"/>
                    <pic:cNvPicPr>
                      <a:picLocks noChangeAspect="1"/>
                    </pic:cNvPicPr>
                  </pic:nvPicPr>
                  <pic:blipFill>
                    <a:blip r:embed="rId121"/>
                    <a:srcRect t="10449" b="12023"/>
                    <a:stretch>
                      <a:fillRect/>
                    </a:stretch>
                  </pic:blipFill>
                  <pic:spPr>
                    <a:xfrm>
                      <a:off x="0" y="0"/>
                      <a:ext cx="4732020" cy="7971155"/>
                    </a:xfrm>
                    <a:prstGeom prst="rect">
                      <a:avLst/>
                    </a:prstGeom>
                  </pic:spPr>
                </pic:pic>
              </a:graphicData>
            </a:graphic>
          </wp:inline>
        </w:drawing>
      </w:r>
    </w:p>
    <w:p>
      <w:pPr>
        <w:pStyle w:val="346"/>
        <w:spacing w:beforeLines="50" w:line="480" w:lineRule="exact"/>
        <w:rPr>
          <w:rFonts w:hint="default" w:ascii="Times New Roman" w:hAnsi="Times New Roman" w:eastAsia="宋体" w:cs="Times New Roman"/>
          <w:color w:val="auto"/>
        </w:rPr>
      </w:pPr>
    </w:p>
    <w:p>
      <w:pPr>
        <w:pStyle w:val="42"/>
        <w:ind w:left="840" w:hanging="840" w:hangingChars="300"/>
        <w:outlineLvl w:val="0"/>
        <w:rPr>
          <w:rFonts w:hint="default" w:ascii="Times New Roman" w:hAnsi="Times New Roman" w:eastAsia="宋体" w:cs="Times New Roman"/>
          <w:color w:val="auto"/>
          <w:sz w:val="28"/>
          <w:szCs w:val="28"/>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p>
      <w:pPr>
        <w:pStyle w:val="346"/>
        <w:spacing w:beforeLines="50" w:line="240" w:lineRule="auto"/>
        <w:rPr>
          <w:rFonts w:hint="default" w:ascii="Times New Roman" w:hAnsi="Times New Roman" w:eastAsia="宋体" w:cs="Times New Roman"/>
          <w:color w:val="auto"/>
        </w:rPr>
      </w:pPr>
      <w:bookmarkStart w:id="540" w:name="_Toc32098"/>
      <w:bookmarkStart w:id="541" w:name="_Toc27252"/>
      <w:bookmarkStart w:id="542" w:name="_Toc20514"/>
      <w:bookmarkStart w:id="543" w:name="_Toc8685"/>
      <w:bookmarkStart w:id="544" w:name="_Toc23293"/>
      <w:bookmarkStart w:id="545" w:name="_Toc19003"/>
      <w:r>
        <w:rPr>
          <w:rFonts w:hint="default" w:ascii="Times New Roman" w:hAnsi="Times New Roman" w:eastAsia="宋体" w:cs="Times New Roman"/>
          <w:color w:val="auto"/>
        </w:rPr>
        <w:t>附件</w:t>
      </w:r>
      <w:r>
        <w:rPr>
          <w:rFonts w:hint="default" w:ascii="Times New Roman" w:hAnsi="Times New Roman" w:eastAsia="宋体" w:cs="Times New Roman"/>
          <w:color w:val="auto"/>
          <w:lang w:val="en-US" w:eastAsia="zh-CN"/>
        </w:rPr>
        <w:t>4现有</w:t>
      </w:r>
      <w:r>
        <w:rPr>
          <w:rFonts w:hint="default" w:ascii="Times New Roman" w:hAnsi="Times New Roman" w:eastAsia="宋体" w:cs="Times New Roman"/>
          <w:color w:val="auto"/>
          <w:lang w:eastAsia="zh-CN"/>
        </w:rPr>
        <w:t>项目</w:t>
      </w:r>
      <w:r>
        <w:rPr>
          <w:rFonts w:hint="default" w:ascii="Times New Roman" w:hAnsi="Times New Roman" w:eastAsia="宋体" w:cs="Times New Roman"/>
          <w:color w:val="auto"/>
        </w:rPr>
        <w:t>环评批复</w:t>
      </w:r>
      <w:bookmarkEnd w:id="540"/>
      <w:bookmarkEnd w:id="541"/>
      <w:bookmarkEnd w:id="542"/>
      <w:bookmarkEnd w:id="543"/>
      <w:bookmarkEnd w:id="544"/>
      <w:bookmarkEnd w:id="545"/>
    </w:p>
    <w:p>
      <w:pPr>
        <w:bidi w:val="0"/>
        <w:jc w:val="center"/>
        <w:rPr>
          <w:rFonts w:hint="default" w:ascii="Times New Roman" w:hAnsi="Times New Roman" w:eastAsia="宋体" w:cs="Times New Roman"/>
        </w:rPr>
      </w:pPr>
      <w:r>
        <w:rPr>
          <w:rFonts w:hint="default" w:ascii="Times New Roman" w:hAnsi="Times New Roman" w:eastAsia="宋体" w:cs="Times New Roman"/>
          <w:lang w:eastAsia="zh-CN"/>
        </w:rPr>
        <w:drawing>
          <wp:inline distT="0" distB="0" distL="114300" distR="114300">
            <wp:extent cx="4632325" cy="7784465"/>
            <wp:effectExtent l="0" t="0" r="635" b="3175"/>
            <wp:docPr id="23" name="图片 30" descr="ccc0646df45a09d8b708d95dda152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0" descr="ccc0646df45a09d8b708d95dda152c8"/>
                    <pic:cNvPicPr>
                      <a:picLocks noChangeAspect="1"/>
                    </pic:cNvPicPr>
                  </pic:nvPicPr>
                  <pic:blipFill>
                    <a:blip r:embed="rId122"/>
                    <a:srcRect t="5739" b="16931"/>
                    <a:stretch>
                      <a:fillRect/>
                    </a:stretch>
                  </pic:blipFill>
                  <pic:spPr>
                    <a:xfrm>
                      <a:off x="0" y="0"/>
                      <a:ext cx="4632325" cy="7784465"/>
                    </a:xfrm>
                    <a:prstGeom prst="rect">
                      <a:avLst/>
                    </a:prstGeom>
                    <a:noFill/>
                    <a:ln>
                      <a:noFill/>
                    </a:ln>
                  </pic:spPr>
                </pic:pic>
              </a:graphicData>
            </a:graphic>
          </wp:inline>
        </w:drawing>
      </w:r>
    </w:p>
    <w:p>
      <w:pPr>
        <w:pStyle w:val="346"/>
        <w:spacing w:beforeLines="50" w:line="240" w:lineRule="auto"/>
        <w:rPr>
          <w:rFonts w:hint="default" w:ascii="Times New Roman" w:hAnsi="Times New Roman" w:eastAsia="宋体" w:cs="Times New Roman"/>
          <w:color w:val="auto"/>
        </w:rPr>
      </w:pPr>
    </w:p>
    <w:p>
      <w:pPr>
        <w:pStyle w:val="346"/>
        <w:spacing w:beforeLines="50" w:line="240" w:lineRule="auto"/>
        <w:rPr>
          <w:rFonts w:hint="default" w:ascii="Times New Roman" w:hAnsi="Times New Roman" w:eastAsia="宋体" w:cs="Times New Roman"/>
          <w:color w:val="auto"/>
        </w:rPr>
      </w:pPr>
    </w:p>
    <w:p>
      <w:pPr>
        <w:rPr>
          <w:rFonts w:hint="default" w:ascii="Times New Roman" w:hAnsi="Times New Roman" w:eastAsia="宋体" w:cs="Times New Roman"/>
          <w:color w:val="auto"/>
        </w:rPr>
      </w:pPr>
    </w:p>
    <w:p>
      <w:pPr>
        <w:bidi w:val="0"/>
        <w:jc w:val="center"/>
        <w:rPr>
          <w:rFonts w:hint="default" w:ascii="Times New Roman" w:hAnsi="Times New Roman" w:eastAsia="宋体" w:cs="Times New Roman"/>
        </w:rPr>
      </w:pPr>
      <w:r>
        <w:rPr>
          <w:rFonts w:hint="default" w:ascii="Times New Roman" w:hAnsi="Times New Roman" w:eastAsia="宋体" w:cs="Times New Roman"/>
          <w:lang w:eastAsia="zh-CN"/>
        </w:rPr>
        <w:drawing>
          <wp:inline distT="0" distB="0" distL="114300" distR="114300">
            <wp:extent cx="4455160" cy="8013700"/>
            <wp:effectExtent l="0" t="0" r="10160" b="2540"/>
            <wp:docPr id="79" name="图片 31" descr="f48b402d6b5b08ed4f0dcf2519658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1" descr="f48b402d6b5b08ed4f0dcf2519658e0"/>
                    <pic:cNvPicPr>
                      <a:picLocks noChangeAspect="1"/>
                    </pic:cNvPicPr>
                  </pic:nvPicPr>
                  <pic:blipFill>
                    <a:blip r:embed="rId123"/>
                    <a:srcRect t="8179" b="9039"/>
                    <a:stretch>
                      <a:fillRect/>
                    </a:stretch>
                  </pic:blipFill>
                  <pic:spPr>
                    <a:xfrm>
                      <a:off x="0" y="0"/>
                      <a:ext cx="4455160" cy="8013700"/>
                    </a:xfrm>
                    <a:prstGeom prst="rect">
                      <a:avLst/>
                    </a:prstGeom>
                    <a:noFill/>
                    <a:ln>
                      <a:noFill/>
                    </a:ln>
                  </pic:spPr>
                </pic:pic>
              </a:graphicData>
            </a:graphic>
          </wp:inline>
        </w:drawing>
      </w:r>
    </w:p>
    <w:p>
      <w:pPr>
        <w:pStyle w:val="350"/>
        <w:spacing w:line="240" w:lineRule="auto"/>
        <w:ind w:firstLine="0"/>
        <w:rPr>
          <w:rFonts w:hint="default" w:ascii="Times New Roman" w:hAnsi="Times New Roman" w:eastAsia="宋体" w:cs="Times New Roman"/>
          <w:color w:val="auto"/>
        </w:rPr>
      </w:pPr>
    </w:p>
    <w:p>
      <w:pPr>
        <w:pStyle w:val="350"/>
        <w:spacing w:line="240" w:lineRule="auto"/>
        <w:ind w:firstLine="0"/>
        <w:rPr>
          <w:rFonts w:hint="default" w:ascii="Times New Roman" w:hAnsi="Times New Roman" w:eastAsia="宋体" w:cs="Times New Roman"/>
          <w:color w:val="auto"/>
        </w:rPr>
      </w:pPr>
    </w:p>
    <w:p>
      <w:pPr>
        <w:pStyle w:val="350"/>
        <w:spacing w:line="240" w:lineRule="auto"/>
        <w:ind w:firstLine="0"/>
        <w:rPr>
          <w:rFonts w:hint="default" w:ascii="Times New Roman" w:hAnsi="Times New Roman" w:eastAsia="宋体" w:cs="Times New Roman"/>
          <w:color w:val="auto"/>
        </w:rPr>
      </w:pPr>
    </w:p>
    <w:p>
      <w:pPr>
        <w:jc w:val="center"/>
        <w:rPr>
          <w:rFonts w:hint="default" w:ascii="Times New Roman" w:hAnsi="Times New Roman" w:eastAsia="宋体" w:cs="Times New Roman"/>
          <w:color w:val="auto"/>
        </w:rPr>
      </w:pPr>
      <w:r>
        <w:rPr>
          <w:rFonts w:hint="default" w:ascii="Times New Roman" w:hAnsi="Times New Roman" w:eastAsia="宋体" w:cs="Times New Roman"/>
          <w:lang w:eastAsia="zh-CN"/>
        </w:rPr>
        <w:drawing>
          <wp:inline distT="0" distB="0" distL="114300" distR="114300">
            <wp:extent cx="4880610" cy="8338185"/>
            <wp:effectExtent l="0" t="0" r="11430" b="13335"/>
            <wp:docPr id="88" name="图片 32" descr="7781ce6673017b85e36d1fa748c30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2" descr="7781ce6673017b85e36d1fa748c303a"/>
                    <pic:cNvPicPr>
                      <a:picLocks noChangeAspect="1"/>
                    </pic:cNvPicPr>
                  </pic:nvPicPr>
                  <pic:blipFill>
                    <a:blip r:embed="rId124"/>
                    <a:srcRect t="5882" b="15497"/>
                    <a:stretch>
                      <a:fillRect/>
                    </a:stretch>
                  </pic:blipFill>
                  <pic:spPr>
                    <a:xfrm>
                      <a:off x="0" y="0"/>
                      <a:ext cx="4880610" cy="8338185"/>
                    </a:xfrm>
                    <a:prstGeom prst="rect">
                      <a:avLst/>
                    </a:prstGeom>
                    <a:noFill/>
                    <a:ln>
                      <a:noFill/>
                    </a:ln>
                  </pic:spPr>
                </pic:pic>
              </a:graphicData>
            </a:graphic>
          </wp:inline>
        </w:drawing>
      </w:r>
    </w:p>
    <w:p>
      <w:pPr>
        <w:bidi w:val="0"/>
        <w:jc w:val="center"/>
        <w:rPr>
          <w:rFonts w:hint="default" w:ascii="Times New Roman" w:hAnsi="Times New Roman" w:eastAsia="宋体" w:cs="Times New Roman"/>
        </w:rPr>
      </w:pPr>
      <w:r>
        <w:rPr>
          <w:rFonts w:hint="default" w:ascii="Times New Roman" w:hAnsi="Times New Roman" w:eastAsia="宋体" w:cs="Times New Roman"/>
        </w:rPr>
        <w:br w:type="page"/>
      </w:r>
    </w:p>
    <w:p>
      <w:pPr>
        <w:pStyle w:val="346"/>
        <w:spacing w:beforeLines="50" w:line="240" w:lineRule="auto"/>
        <w:rPr>
          <w:rFonts w:hint="default" w:ascii="Times New Roman" w:hAnsi="Times New Roman" w:eastAsia="宋体" w:cs="Times New Roman"/>
          <w:color w:val="auto"/>
        </w:rPr>
      </w:pPr>
      <w:bookmarkStart w:id="546" w:name="_Toc18367"/>
      <w:bookmarkStart w:id="547" w:name="_Toc32613"/>
      <w:bookmarkStart w:id="548" w:name="_Toc30941"/>
      <w:bookmarkStart w:id="549" w:name="_Toc4225"/>
      <w:bookmarkStart w:id="550" w:name="_Toc14134"/>
      <w:r>
        <w:rPr>
          <w:rFonts w:hint="default" w:ascii="Times New Roman" w:hAnsi="Times New Roman" w:eastAsia="宋体" w:cs="Times New Roman"/>
          <w:color w:val="auto"/>
        </w:rPr>
        <w:t>附件</w:t>
      </w:r>
      <w:r>
        <w:rPr>
          <w:rFonts w:hint="default" w:ascii="Times New Roman" w:hAnsi="Times New Roman" w:eastAsia="宋体" w:cs="Times New Roman"/>
          <w:color w:val="auto"/>
          <w:lang w:val="en-US" w:eastAsia="zh-CN"/>
        </w:rPr>
        <w:t>5</w:t>
      </w:r>
      <w:r>
        <w:rPr>
          <w:rFonts w:hint="default" w:ascii="Times New Roman" w:hAnsi="Times New Roman" w:eastAsia="宋体" w:cs="Times New Roman"/>
          <w:color w:val="auto"/>
          <w:lang w:eastAsia="zh-CN"/>
        </w:rPr>
        <w:t>现有项目验收</w:t>
      </w:r>
      <w:bookmarkEnd w:id="546"/>
      <w:bookmarkEnd w:id="547"/>
      <w:bookmarkEnd w:id="548"/>
      <w:bookmarkEnd w:id="549"/>
      <w:bookmarkEnd w:id="550"/>
    </w:p>
    <w:p>
      <w:pPr>
        <w:bidi w:val="0"/>
        <w:jc w:val="center"/>
        <w:rPr>
          <w:rFonts w:hint="default" w:ascii="Times New Roman" w:hAnsi="Times New Roman" w:eastAsia="宋体" w:cs="Times New Roman"/>
          <w:lang w:eastAsia="zh-CN"/>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lang w:eastAsia="zh-CN"/>
        </w:rPr>
        <w:drawing>
          <wp:inline distT="0" distB="0" distL="114300" distR="114300">
            <wp:extent cx="5031740" cy="7816215"/>
            <wp:effectExtent l="0" t="0" r="12700" b="1905"/>
            <wp:docPr id="62" name="图片 62" descr="2e9db51c3f7e74b2ed1707cb48e56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e9db51c3f7e74b2ed1707cb48e56c5"/>
                    <pic:cNvPicPr>
                      <a:picLocks noChangeAspect="1"/>
                    </pic:cNvPicPr>
                  </pic:nvPicPr>
                  <pic:blipFill>
                    <a:blip r:embed="rId125"/>
                    <a:stretch>
                      <a:fillRect/>
                    </a:stretch>
                  </pic:blipFill>
                  <pic:spPr>
                    <a:xfrm>
                      <a:off x="0" y="0"/>
                      <a:ext cx="5031740" cy="7816215"/>
                    </a:xfrm>
                    <a:prstGeom prst="rect">
                      <a:avLst/>
                    </a:prstGeom>
                  </pic:spPr>
                </pic:pic>
              </a:graphicData>
            </a:graphic>
          </wp:inline>
        </w:drawing>
      </w:r>
    </w:p>
    <w:p>
      <w:pPr>
        <w:pStyle w:val="346"/>
        <w:spacing w:beforeLines="50" w:line="240" w:lineRule="auto"/>
        <w:rPr>
          <w:rFonts w:hint="default" w:ascii="Times New Roman" w:hAnsi="Times New Roman" w:eastAsia="宋体" w:cs="Times New Roman"/>
          <w:color w:val="auto"/>
          <w:lang w:eastAsia="zh-CN"/>
        </w:rPr>
      </w:pPr>
      <w:bookmarkStart w:id="551" w:name="_Toc15949"/>
      <w:bookmarkStart w:id="552" w:name="_Toc7449"/>
      <w:bookmarkStart w:id="553" w:name="_Toc11996"/>
      <w:bookmarkStart w:id="554" w:name="_Toc55"/>
      <w:bookmarkStart w:id="555" w:name="_Toc11480"/>
      <w:r>
        <w:rPr>
          <w:rFonts w:hint="default" w:ascii="Times New Roman" w:hAnsi="Times New Roman" w:eastAsia="宋体" w:cs="Times New Roman"/>
          <w:color w:val="auto"/>
        </w:rPr>
        <w:t>附件</w:t>
      </w:r>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lang w:eastAsia="zh-CN"/>
        </w:rPr>
        <w:t>现有项目排污登记</w:t>
      </w:r>
      <w:bookmarkEnd w:id="551"/>
      <w:bookmarkEnd w:id="552"/>
    </w:p>
    <w:p>
      <w:pPr>
        <w:pStyle w:val="346"/>
        <w:spacing w:beforeLines="50" w:line="240" w:lineRule="auto"/>
        <w:rPr>
          <w:rFonts w:hint="default" w:ascii="Times New Roman" w:hAnsi="Times New Roman" w:eastAsia="宋体" w:cs="Times New Roman"/>
          <w:color w:val="auto"/>
          <w:lang w:eastAsia="zh-CN"/>
        </w:rPr>
      </w:pPr>
    </w:p>
    <w:p>
      <w:pPr>
        <w:bidi w:val="0"/>
        <w:jc w:val="center"/>
        <w:rPr>
          <w:rFonts w:hint="default" w:ascii="Times New Roman" w:hAnsi="Times New Roman" w:eastAsia="宋体" w:cs="Times New Roman"/>
          <w:lang w:eastAsia="zh-CN"/>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lang w:eastAsia="zh-CN"/>
        </w:rPr>
        <w:drawing>
          <wp:inline distT="0" distB="0" distL="114300" distR="114300">
            <wp:extent cx="5420995" cy="7269480"/>
            <wp:effectExtent l="0" t="0" r="4445" b="0"/>
            <wp:docPr id="5" name="图片 5" descr="9628431ece039b7c180abc387d9f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9628431ece039b7c180abc387d9fe34"/>
                    <pic:cNvPicPr>
                      <a:picLocks noChangeAspect="1"/>
                    </pic:cNvPicPr>
                  </pic:nvPicPr>
                  <pic:blipFill>
                    <a:blip r:embed="rId126"/>
                    <a:stretch>
                      <a:fillRect/>
                    </a:stretch>
                  </pic:blipFill>
                  <pic:spPr>
                    <a:xfrm>
                      <a:off x="0" y="0"/>
                      <a:ext cx="5420995" cy="7269480"/>
                    </a:xfrm>
                    <a:prstGeom prst="rect">
                      <a:avLst/>
                    </a:prstGeom>
                  </pic:spPr>
                </pic:pic>
              </a:graphicData>
            </a:graphic>
          </wp:inline>
        </w:drawing>
      </w:r>
    </w:p>
    <w:p>
      <w:pPr>
        <w:pStyle w:val="346"/>
        <w:spacing w:beforeLines="50" w:line="480" w:lineRule="exact"/>
        <w:rPr>
          <w:rFonts w:hint="default" w:ascii="Times New Roman" w:hAnsi="Times New Roman" w:eastAsia="宋体" w:cs="Times New Roman"/>
          <w:color w:val="auto"/>
          <w:lang w:eastAsia="zh-CN"/>
        </w:rPr>
      </w:pPr>
      <w:bookmarkStart w:id="556" w:name="_Toc30363"/>
      <w:bookmarkStart w:id="557" w:name="_Toc10626"/>
      <w:r>
        <w:rPr>
          <w:rFonts w:hint="default" w:ascii="Times New Roman" w:hAnsi="Times New Roman" w:eastAsia="宋体" w:cs="Times New Roman"/>
          <w:color w:val="auto"/>
        </w:rPr>
        <w:t>附件</w:t>
      </w:r>
      <w:r>
        <w:rPr>
          <w:rFonts w:hint="default" w:ascii="Times New Roman" w:hAnsi="Times New Roman" w:eastAsia="宋体" w:cs="Times New Roman"/>
          <w:color w:val="auto"/>
          <w:lang w:val="en-US" w:eastAsia="zh-CN"/>
        </w:rPr>
        <w:t>7</w:t>
      </w:r>
      <w:r>
        <w:rPr>
          <w:rFonts w:hint="default" w:ascii="Times New Roman" w:hAnsi="Times New Roman" w:eastAsia="宋体" w:cs="Times New Roman"/>
          <w:color w:val="auto"/>
        </w:rPr>
        <w:t>监测报告</w:t>
      </w:r>
      <w:bookmarkEnd w:id="553"/>
      <w:r>
        <w:rPr>
          <w:rFonts w:hint="default" w:ascii="Times New Roman" w:hAnsi="Times New Roman" w:eastAsia="宋体" w:cs="Times New Roman"/>
          <w:color w:val="auto"/>
          <w:lang w:eastAsia="zh-CN"/>
        </w:rPr>
        <w:t>（引用）</w:t>
      </w:r>
      <w:bookmarkEnd w:id="554"/>
      <w:bookmarkEnd w:id="555"/>
      <w:bookmarkEnd w:id="556"/>
      <w:bookmarkEnd w:id="557"/>
    </w:p>
    <w:p>
      <w:pPr>
        <w:pStyle w:val="61"/>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894070" cy="7665085"/>
            <wp:effectExtent l="0" t="0" r="3810" b="635"/>
            <wp:docPr id="78" name="图片 78" descr="1635228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635228904(1)"/>
                    <pic:cNvPicPr>
                      <a:picLocks noChangeAspect="1"/>
                    </pic:cNvPicPr>
                  </pic:nvPicPr>
                  <pic:blipFill>
                    <a:blip r:embed="rId127"/>
                    <a:stretch>
                      <a:fillRect/>
                    </a:stretch>
                  </pic:blipFill>
                  <pic:spPr>
                    <a:xfrm>
                      <a:off x="0" y="0"/>
                      <a:ext cx="5894070" cy="7665085"/>
                    </a:xfrm>
                    <a:prstGeom prst="rect">
                      <a:avLst/>
                    </a:prstGeom>
                  </pic:spPr>
                </pic:pic>
              </a:graphicData>
            </a:graphic>
          </wp:inline>
        </w:drawing>
      </w:r>
    </w:p>
    <w:p>
      <w:pPr>
        <w:pStyle w:val="36"/>
        <w:rPr>
          <w:rFonts w:hint="default" w:ascii="Times New Roman" w:hAnsi="Times New Roman" w:eastAsia="宋体" w:cs="Times New Roman"/>
          <w:color w:val="auto"/>
          <w:lang w:eastAsia="zh-CN"/>
        </w:rPr>
      </w:pPr>
    </w:p>
    <w:p>
      <w:pPr>
        <w:rPr>
          <w:rFonts w:hint="default" w:ascii="Times New Roman" w:hAnsi="Times New Roman" w:eastAsia="宋体" w:cs="Times New Roman"/>
          <w:color w:val="auto"/>
          <w:lang w:eastAsia="zh-CN"/>
        </w:rPr>
      </w:pPr>
    </w:p>
    <w:p>
      <w:pPr>
        <w:pStyle w:val="36"/>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676265" cy="7368540"/>
            <wp:effectExtent l="0" t="0" r="8255" b="7620"/>
            <wp:docPr id="81" name="图片 81" descr="16352289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1635228938(1)"/>
                    <pic:cNvPicPr>
                      <a:picLocks noChangeAspect="1"/>
                    </pic:cNvPicPr>
                  </pic:nvPicPr>
                  <pic:blipFill>
                    <a:blip r:embed="rId128"/>
                    <a:stretch>
                      <a:fillRect/>
                    </a:stretch>
                  </pic:blipFill>
                  <pic:spPr>
                    <a:xfrm>
                      <a:off x="0" y="0"/>
                      <a:ext cx="5676265" cy="7368540"/>
                    </a:xfrm>
                    <a:prstGeom prst="rect">
                      <a:avLst/>
                    </a:prstGeom>
                  </pic:spPr>
                </pic:pic>
              </a:graphicData>
            </a:graphic>
          </wp:inline>
        </w:drawing>
      </w:r>
    </w:p>
    <w:p>
      <w:pPr>
        <w:pStyle w:val="346"/>
        <w:spacing w:beforeLines="50" w:line="480" w:lineRule="exact"/>
        <w:rPr>
          <w:rFonts w:hint="default" w:ascii="Times New Roman" w:hAnsi="Times New Roman" w:eastAsia="宋体" w:cs="Times New Roman"/>
          <w:color w:val="auto"/>
        </w:rPr>
      </w:pPr>
      <w:bookmarkStart w:id="558" w:name="_Toc12889"/>
      <w:bookmarkStart w:id="559" w:name="_Toc27242"/>
    </w:p>
    <w:p>
      <w:pPr>
        <w:pStyle w:val="346"/>
        <w:spacing w:beforeLines="50" w:line="480" w:lineRule="exact"/>
        <w:rPr>
          <w:rFonts w:hint="default" w:ascii="Times New Roman" w:hAnsi="Times New Roman" w:eastAsia="宋体" w:cs="Times New Roman"/>
          <w:color w:val="auto"/>
        </w:rPr>
      </w:pPr>
    </w:p>
    <w:p>
      <w:pPr>
        <w:pStyle w:val="346"/>
        <w:spacing w:beforeLines="50" w:line="480" w:lineRule="exact"/>
        <w:rPr>
          <w:rFonts w:hint="default" w:ascii="Times New Roman" w:hAnsi="Times New Roman" w:eastAsia="宋体" w:cs="Times New Roman"/>
          <w:color w:val="auto"/>
        </w:rPr>
      </w:pPr>
    </w:p>
    <w:p>
      <w:pPr>
        <w:bidi w:val="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852160" cy="7596505"/>
            <wp:effectExtent l="0" t="0" r="0" b="8255"/>
            <wp:docPr id="82" name="图片 82" descr="1635228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1635228968(1)"/>
                    <pic:cNvPicPr>
                      <a:picLocks noChangeAspect="1"/>
                    </pic:cNvPicPr>
                  </pic:nvPicPr>
                  <pic:blipFill>
                    <a:blip r:embed="rId129"/>
                    <a:stretch>
                      <a:fillRect/>
                    </a:stretch>
                  </pic:blipFill>
                  <pic:spPr>
                    <a:xfrm>
                      <a:off x="0" y="0"/>
                      <a:ext cx="5852160" cy="7596505"/>
                    </a:xfrm>
                    <a:prstGeom prst="rect">
                      <a:avLst/>
                    </a:prstGeom>
                  </pic:spPr>
                </pic:pic>
              </a:graphicData>
            </a:graphic>
          </wp:inline>
        </w:drawing>
      </w:r>
    </w:p>
    <w:p>
      <w:pPr>
        <w:pStyle w:val="346"/>
        <w:spacing w:beforeLines="50" w:line="480" w:lineRule="exact"/>
        <w:rPr>
          <w:rFonts w:hint="default" w:ascii="Times New Roman" w:hAnsi="Times New Roman" w:eastAsia="宋体" w:cs="Times New Roman"/>
          <w:color w:val="auto"/>
        </w:rPr>
      </w:pPr>
    </w:p>
    <w:p>
      <w:pPr>
        <w:pStyle w:val="346"/>
        <w:spacing w:beforeLines="50" w:line="480" w:lineRule="exact"/>
        <w:rPr>
          <w:rFonts w:hint="default" w:ascii="Times New Roman" w:hAnsi="Times New Roman" w:eastAsia="宋体" w:cs="Times New Roman"/>
          <w:color w:val="auto"/>
        </w:rPr>
      </w:pPr>
    </w:p>
    <w:p>
      <w:pPr>
        <w:pStyle w:val="346"/>
        <w:spacing w:beforeLines="50" w:line="480" w:lineRule="exact"/>
        <w:rPr>
          <w:rFonts w:hint="default" w:ascii="Times New Roman" w:hAnsi="Times New Roman" w:eastAsia="宋体" w:cs="Times New Roman"/>
          <w:color w:val="auto"/>
        </w:rPr>
      </w:pPr>
    </w:p>
    <w:p>
      <w:pPr>
        <w:bidi w:val="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654675" cy="7338060"/>
            <wp:effectExtent l="0" t="0" r="14605" b="7620"/>
            <wp:docPr id="83" name="图片 83" descr="1635229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1635229021(1)"/>
                    <pic:cNvPicPr>
                      <a:picLocks noChangeAspect="1"/>
                    </pic:cNvPicPr>
                  </pic:nvPicPr>
                  <pic:blipFill>
                    <a:blip r:embed="rId130"/>
                    <a:stretch>
                      <a:fillRect/>
                    </a:stretch>
                  </pic:blipFill>
                  <pic:spPr>
                    <a:xfrm>
                      <a:off x="0" y="0"/>
                      <a:ext cx="5654675" cy="7338060"/>
                    </a:xfrm>
                    <a:prstGeom prst="rect">
                      <a:avLst/>
                    </a:prstGeom>
                  </pic:spPr>
                </pic:pic>
              </a:graphicData>
            </a:graphic>
          </wp:inline>
        </w:drawing>
      </w:r>
    </w:p>
    <w:p>
      <w:pPr>
        <w:pStyle w:val="346"/>
        <w:spacing w:beforeLines="50" w:line="480" w:lineRule="exact"/>
        <w:rPr>
          <w:rFonts w:hint="default" w:ascii="Times New Roman" w:hAnsi="Times New Roman" w:eastAsia="宋体" w:cs="Times New Roman"/>
          <w:color w:val="auto"/>
        </w:rPr>
      </w:pPr>
    </w:p>
    <w:p>
      <w:pPr>
        <w:pStyle w:val="346"/>
        <w:spacing w:beforeLines="50" w:line="480" w:lineRule="exact"/>
        <w:rPr>
          <w:rFonts w:hint="default" w:ascii="Times New Roman" w:hAnsi="Times New Roman" w:eastAsia="宋体" w:cs="Times New Roman"/>
          <w:color w:val="auto"/>
        </w:rPr>
      </w:pPr>
    </w:p>
    <w:p>
      <w:pPr>
        <w:pStyle w:val="346"/>
        <w:spacing w:beforeLines="50" w:line="480" w:lineRule="exact"/>
        <w:rPr>
          <w:rFonts w:hint="default" w:ascii="Times New Roman" w:hAnsi="Times New Roman" w:eastAsia="宋体" w:cs="Times New Roman"/>
          <w:color w:val="auto"/>
        </w:rPr>
      </w:pPr>
    </w:p>
    <w:p>
      <w:pPr>
        <w:pStyle w:val="346"/>
        <w:spacing w:beforeLines="50" w:line="480" w:lineRule="exact"/>
        <w:rPr>
          <w:rFonts w:hint="default" w:ascii="Times New Roman" w:hAnsi="Times New Roman" w:eastAsia="宋体" w:cs="Times New Roman"/>
          <w:color w:val="auto"/>
        </w:rPr>
      </w:pPr>
    </w:p>
    <w:p>
      <w:pPr>
        <w:bidi w:val="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781040" cy="7489825"/>
            <wp:effectExtent l="0" t="0" r="10160" b="8255"/>
            <wp:docPr id="84" name="图片 84" descr="1635229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1635229066(1)"/>
                    <pic:cNvPicPr>
                      <a:picLocks noChangeAspect="1"/>
                    </pic:cNvPicPr>
                  </pic:nvPicPr>
                  <pic:blipFill>
                    <a:blip r:embed="rId131"/>
                    <a:stretch>
                      <a:fillRect/>
                    </a:stretch>
                  </pic:blipFill>
                  <pic:spPr>
                    <a:xfrm>
                      <a:off x="0" y="0"/>
                      <a:ext cx="5781040" cy="7489825"/>
                    </a:xfrm>
                    <a:prstGeom prst="rect">
                      <a:avLst/>
                    </a:prstGeom>
                  </pic:spPr>
                </pic:pic>
              </a:graphicData>
            </a:graphic>
          </wp:inline>
        </w:drawing>
      </w:r>
    </w:p>
    <w:p>
      <w:pPr>
        <w:pStyle w:val="346"/>
        <w:spacing w:beforeLines="50" w:line="480" w:lineRule="exact"/>
        <w:rPr>
          <w:rFonts w:hint="default" w:ascii="Times New Roman" w:hAnsi="Times New Roman" w:eastAsia="宋体" w:cs="Times New Roman"/>
          <w:color w:val="auto"/>
        </w:rPr>
      </w:pPr>
    </w:p>
    <w:p>
      <w:pPr>
        <w:pStyle w:val="346"/>
        <w:spacing w:beforeLines="50" w:line="480" w:lineRule="exact"/>
        <w:rPr>
          <w:rFonts w:hint="default" w:ascii="Times New Roman" w:hAnsi="Times New Roman" w:eastAsia="宋体" w:cs="Times New Roman"/>
          <w:color w:val="auto"/>
        </w:rPr>
      </w:pPr>
    </w:p>
    <w:p>
      <w:pPr>
        <w:pStyle w:val="346"/>
        <w:spacing w:beforeLines="50" w:line="480" w:lineRule="exact"/>
        <w:rPr>
          <w:rFonts w:hint="default" w:ascii="Times New Roman" w:hAnsi="Times New Roman" w:eastAsia="宋体" w:cs="Times New Roman"/>
          <w:color w:val="auto"/>
        </w:rPr>
      </w:pPr>
    </w:p>
    <w:p>
      <w:pPr>
        <w:bidi w:val="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833110" cy="7539355"/>
            <wp:effectExtent l="0" t="0" r="3810" b="4445"/>
            <wp:docPr id="90" name="图片 90" descr="1635229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1635229104(1)"/>
                    <pic:cNvPicPr>
                      <a:picLocks noChangeAspect="1"/>
                    </pic:cNvPicPr>
                  </pic:nvPicPr>
                  <pic:blipFill>
                    <a:blip r:embed="rId132"/>
                    <a:stretch>
                      <a:fillRect/>
                    </a:stretch>
                  </pic:blipFill>
                  <pic:spPr>
                    <a:xfrm>
                      <a:off x="0" y="0"/>
                      <a:ext cx="5833110" cy="7539355"/>
                    </a:xfrm>
                    <a:prstGeom prst="rect">
                      <a:avLst/>
                    </a:prstGeom>
                  </pic:spPr>
                </pic:pic>
              </a:graphicData>
            </a:graphic>
          </wp:inline>
        </w:drawing>
      </w:r>
    </w:p>
    <w:p>
      <w:pPr>
        <w:pStyle w:val="346"/>
        <w:spacing w:beforeLines="50" w:line="480" w:lineRule="exact"/>
        <w:rPr>
          <w:rFonts w:hint="default" w:ascii="Times New Roman" w:hAnsi="Times New Roman" w:eastAsia="宋体" w:cs="Times New Roman"/>
          <w:color w:val="auto"/>
        </w:rPr>
      </w:pPr>
    </w:p>
    <w:p>
      <w:pPr>
        <w:pStyle w:val="346"/>
        <w:spacing w:beforeLines="50" w:line="480" w:lineRule="exact"/>
        <w:rPr>
          <w:rFonts w:hint="default" w:ascii="Times New Roman" w:hAnsi="Times New Roman" w:eastAsia="宋体" w:cs="Times New Roman"/>
          <w:color w:val="auto"/>
        </w:rPr>
      </w:pPr>
    </w:p>
    <w:p>
      <w:pPr>
        <w:pStyle w:val="346"/>
        <w:spacing w:beforeLines="50" w:line="480" w:lineRule="exact"/>
        <w:rPr>
          <w:rFonts w:hint="default" w:ascii="Times New Roman" w:hAnsi="Times New Roman" w:eastAsia="宋体" w:cs="Times New Roman"/>
          <w:color w:val="auto"/>
        </w:rPr>
      </w:pPr>
    </w:p>
    <w:p>
      <w:pPr>
        <w:bidi w:val="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859780" cy="7612380"/>
            <wp:effectExtent l="0" t="0" r="7620" b="7620"/>
            <wp:docPr id="95" name="图片 95" descr="1635229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1635229140(1)"/>
                    <pic:cNvPicPr>
                      <a:picLocks noChangeAspect="1"/>
                    </pic:cNvPicPr>
                  </pic:nvPicPr>
                  <pic:blipFill>
                    <a:blip r:embed="rId133"/>
                    <a:stretch>
                      <a:fillRect/>
                    </a:stretch>
                  </pic:blipFill>
                  <pic:spPr>
                    <a:xfrm>
                      <a:off x="0" y="0"/>
                      <a:ext cx="5859780" cy="7612380"/>
                    </a:xfrm>
                    <a:prstGeom prst="rect">
                      <a:avLst/>
                    </a:prstGeom>
                  </pic:spPr>
                </pic:pic>
              </a:graphicData>
            </a:graphic>
          </wp:inline>
        </w:drawing>
      </w:r>
    </w:p>
    <w:p>
      <w:pPr>
        <w:pStyle w:val="346"/>
        <w:spacing w:beforeLines="50" w:line="480" w:lineRule="exact"/>
        <w:rPr>
          <w:rFonts w:hint="default" w:ascii="Times New Roman" w:hAnsi="Times New Roman" w:eastAsia="宋体" w:cs="Times New Roman"/>
          <w:color w:val="auto"/>
        </w:rPr>
      </w:pPr>
    </w:p>
    <w:p>
      <w:pPr>
        <w:pStyle w:val="346"/>
        <w:spacing w:beforeLines="50" w:line="480" w:lineRule="exact"/>
        <w:rPr>
          <w:rFonts w:hint="default" w:ascii="Times New Roman" w:hAnsi="Times New Roman" w:eastAsia="宋体" w:cs="Times New Roman"/>
          <w:color w:val="auto"/>
        </w:rPr>
      </w:pPr>
    </w:p>
    <w:p>
      <w:pPr>
        <w:pStyle w:val="346"/>
        <w:spacing w:beforeLines="50" w:line="480" w:lineRule="exact"/>
        <w:rPr>
          <w:rFonts w:hint="default" w:ascii="Times New Roman" w:hAnsi="Times New Roman" w:eastAsia="宋体" w:cs="Times New Roman"/>
          <w:color w:val="auto"/>
        </w:rPr>
      </w:pPr>
    </w:p>
    <w:p>
      <w:pPr>
        <w:pStyle w:val="346"/>
        <w:spacing w:beforeLines="50" w:line="480" w:lineRule="exact"/>
        <w:rPr>
          <w:rFonts w:hint="default" w:ascii="Times New Roman" w:hAnsi="Times New Roman" w:eastAsia="宋体" w:cs="Times New Roman"/>
          <w:color w:val="auto"/>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bookmarkStart w:id="560" w:name="_Toc19428"/>
    </w:p>
    <w:p>
      <w:pPr>
        <w:pStyle w:val="346"/>
        <w:spacing w:beforeLines="50" w:line="480" w:lineRule="exact"/>
        <w:rPr>
          <w:rFonts w:hint="default" w:ascii="Times New Roman" w:hAnsi="Times New Roman" w:eastAsia="宋体" w:cs="Times New Roman"/>
          <w:color w:val="auto"/>
          <w:highlight w:val="none"/>
        </w:rPr>
      </w:pPr>
      <w:bookmarkStart w:id="561" w:name="_Toc6166"/>
      <w:r>
        <w:rPr>
          <w:rFonts w:hint="default" w:ascii="Times New Roman" w:hAnsi="Times New Roman" w:eastAsia="宋体" w:cs="Times New Roman"/>
          <w:color w:val="auto"/>
          <w:highlight w:val="none"/>
        </w:rPr>
        <w:t>附件</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监测报告</w:t>
      </w:r>
      <w:bookmarkEnd w:id="558"/>
      <w:bookmarkEnd w:id="559"/>
      <w:bookmarkEnd w:id="560"/>
      <w:bookmarkEnd w:id="561"/>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710555" cy="7261860"/>
            <wp:effectExtent l="0" t="0" r="4445" b="7620"/>
            <wp:docPr id="49" name="图片 49" descr="1638944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638944188(1)"/>
                    <pic:cNvPicPr>
                      <a:picLocks noChangeAspect="1"/>
                    </pic:cNvPicPr>
                  </pic:nvPicPr>
                  <pic:blipFill>
                    <a:blip r:embed="rId134"/>
                    <a:stretch>
                      <a:fillRect/>
                    </a:stretch>
                  </pic:blipFill>
                  <pic:spPr>
                    <a:xfrm>
                      <a:off x="0" y="0"/>
                      <a:ext cx="5710555" cy="7261860"/>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675630" cy="7352030"/>
            <wp:effectExtent l="0" t="0" r="8890" b="8890"/>
            <wp:docPr id="80" name="图片 80" descr="1638944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1638944230(1)"/>
                    <pic:cNvPicPr>
                      <a:picLocks noChangeAspect="1"/>
                    </pic:cNvPicPr>
                  </pic:nvPicPr>
                  <pic:blipFill>
                    <a:blip r:embed="rId135"/>
                    <a:stretch>
                      <a:fillRect/>
                    </a:stretch>
                  </pic:blipFill>
                  <pic:spPr>
                    <a:xfrm>
                      <a:off x="0" y="0"/>
                      <a:ext cx="5675630" cy="7352030"/>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780405" cy="7497445"/>
            <wp:effectExtent l="0" t="0" r="10795" b="635"/>
            <wp:docPr id="86" name="图片 86" descr="1638944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1638944275(1)"/>
                    <pic:cNvPicPr>
                      <a:picLocks noChangeAspect="1"/>
                    </pic:cNvPicPr>
                  </pic:nvPicPr>
                  <pic:blipFill>
                    <a:blip r:embed="rId136"/>
                    <a:stretch>
                      <a:fillRect/>
                    </a:stretch>
                  </pic:blipFill>
                  <pic:spPr>
                    <a:xfrm>
                      <a:off x="0" y="0"/>
                      <a:ext cx="5780405" cy="7497445"/>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835015" cy="7566025"/>
            <wp:effectExtent l="0" t="0" r="1905" b="8255"/>
            <wp:docPr id="94" name="图片 94" descr="1638944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638944309(1)"/>
                    <pic:cNvPicPr>
                      <a:picLocks noChangeAspect="1"/>
                    </pic:cNvPicPr>
                  </pic:nvPicPr>
                  <pic:blipFill>
                    <a:blip r:embed="rId137"/>
                    <a:stretch>
                      <a:fillRect/>
                    </a:stretch>
                  </pic:blipFill>
                  <pic:spPr>
                    <a:xfrm>
                      <a:off x="0" y="0"/>
                      <a:ext cx="5835015" cy="7566025"/>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793740" cy="7482840"/>
            <wp:effectExtent l="0" t="0" r="12700" b="0"/>
            <wp:docPr id="99" name="图片 99" descr="1638944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1638944342(1)"/>
                    <pic:cNvPicPr>
                      <a:picLocks noChangeAspect="1"/>
                    </pic:cNvPicPr>
                  </pic:nvPicPr>
                  <pic:blipFill>
                    <a:blip r:embed="rId138"/>
                    <a:stretch>
                      <a:fillRect/>
                    </a:stretch>
                  </pic:blipFill>
                  <pic:spPr>
                    <a:xfrm>
                      <a:off x="0" y="0"/>
                      <a:ext cx="5793740" cy="7482840"/>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pStyle w:val="16"/>
        <w:ind w:left="0" w:leftChars="0" w:firstLine="0" w:firstLineChars="0"/>
        <w:rPr>
          <w:rFonts w:hint="default" w:ascii="Times New Roman" w:hAnsi="Times New Roman" w:eastAsia="宋体" w:cs="Times New Roman"/>
          <w:lang w:eastAsia="zh-CN"/>
        </w:rPr>
      </w:pPr>
    </w:p>
    <w:p>
      <w:pPr>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858510" cy="7604760"/>
            <wp:effectExtent l="0" t="0" r="8890" b="0"/>
            <wp:docPr id="100" name="图片 100" descr="1638944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1638944380(1)"/>
                    <pic:cNvPicPr>
                      <a:picLocks noChangeAspect="1"/>
                    </pic:cNvPicPr>
                  </pic:nvPicPr>
                  <pic:blipFill>
                    <a:blip r:embed="rId139"/>
                    <a:stretch>
                      <a:fillRect/>
                    </a:stretch>
                  </pic:blipFill>
                  <pic:spPr>
                    <a:xfrm>
                      <a:off x="0" y="0"/>
                      <a:ext cx="5858510" cy="7604760"/>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868670" cy="7581900"/>
            <wp:effectExtent l="0" t="0" r="13970" b="7620"/>
            <wp:docPr id="101" name="图片 101" descr="1638944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1638944418(1)"/>
                    <pic:cNvPicPr>
                      <a:picLocks noChangeAspect="1"/>
                    </pic:cNvPicPr>
                  </pic:nvPicPr>
                  <pic:blipFill>
                    <a:blip r:embed="rId140"/>
                    <a:stretch>
                      <a:fillRect/>
                    </a:stretch>
                  </pic:blipFill>
                  <pic:spPr>
                    <a:xfrm>
                      <a:off x="0" y="0"/>
                      <a:ext cx="5868670" cy="7581900"/>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908040" cy="7650480"/>
            <wp:effectExtent l="0" t="0" r="5080" b="0"/>
            <wp:docPr id="102" name="图片 102" descr="1638944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1638944449(1)"/>
                    <pic:cNvPicPr>
                      <a:picLocks noChangeAspect="1"/>
                    </pic:cNvPicPr>
                  </pic:nvPicPr>
                  <pic:blipFill>
                    <a:blip r:embed="rId141"/>
                    <a:stretch>
                      <a:fillRect/>
                    </a:stretch>
                  </pic:blipFill>
                  <pic:spPr>
                    <a:xfrm>
                      <a:off x="0" y="0"/>
                      <a:ext cx="5908040" cy="7650480"/>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890260" cy="7619365"/>
            <wp:effectExtent l="0" t="0" r="7620" b="635"/>
            <wp:docPr id="103" name="图片 103" descr="1638944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1638944485(1)"/>
                    <pic:cNvPicPr>
                      <a:picLocks noChangeAspect="1"/>
                    </pic:cNvPicPr>
                  </pic:nvPicPr>
                  <pic:blipFill>
                    <a:blip r:embed="rId142"/>
                    <a:stretch>
                      <a:fillRect/>
                    </a:stretch>
                  </pic:blipFill>
                  <pic:spPr>
                    <a:xfrm>
                      <a:off x="0" y="0"/>
                      <a:ext cx="5890260" cy="7619365"/>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792470" cy="7512685"/>
            <wp:effectExtent l="0" t="0" r="13970" b="635"/>
            <wp:docPr id="104" name="图片 104" descr="16389445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1638944521(1)"/>
                    <pic:cNvPicPr>
                      <a:picLocks noChangeAspect="1"/>
                    </pic:cNvPicPr>
                  </pic:nvPicPr>
                  <pic:blipFill>
                    <a:blip r:embed="rId143"/>
                    <a:stretch>
                      <a:fillRect/>
                    </a:stretch>
                  </pic:blipFill>
                  <pic:spPr>
                    <a:xfrm>
                      <a:off x="0" y="0"/>
                      <a:ext cx="5792470" cy="7512685"/>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760720" cy="7497445"/>
            <wp:effectExtent l="0" t="0" r="0" b="635"/>
            <wp:docPr id="105" name="图片 105" descr="16389446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638944633(1)"/>
                    <pic:cNvPicPr>
                      <a:picLocks noChangeAspect="1"/>
                    </pic:cNvPicPr>
                  </pic:nvPicPr>
                  <pic:blipFill>
                    <a:blip r:embed="rId144"/>
                    <a:stretch>
                      <a:fillRect/>
                    </a:stretch>
                  </pic:blipFill>
                  <pic:spPr>
                    <a:xfrm>
                      <a:off x="0" y="0"/>
                      <a:ext cx="5760720" cy="7497445"/>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842635" cy="7575550"/>
            <wp:effectExtent l="0" t="0" r="9525" b="13970"/>
            <wp:docPr id="106" name="图片 106" descr="1638944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1638944666(1)"/>
                    <pic:cNvPicPr>
                      <a:picLocks noChangeAspect="1"/>
                    </pic:cNvPicPr>
                  </pic:nvPicPr>
                  <pic:blipFill>
                    <a:blip r:embed="rId145"/>
                    <a:stretch>
                      <a:fillRect/>
                    </a:stretch>
                  </pic:blipFill>
                  <pic:spPr>
                    <a:xfrm>
                      <a:off x="0" y="0"/>
                      <a:ext cx="5842635" cy="7575550"/>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840095" cy="7565390"/>
            <wp:effectExtent l="0" t="0" r="12065" b="8890"/>
            <wp:docPr id="107" name="图片 107" descr="16389446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1638944699(1)"/>
                    <pic:cNvPicPr>
                      <a:picLocks noChangeAspect="1"/>
                    </pic:cNvPicPr>
                  </pic:nvPicPr>
                  <pic:blipFill>
                    <a:blip r:embed="rId146"/>
                    <a:stretch>
                      <a:fillRect/>
                    </a:stretch>
                  </pic:blipFill>
                  <pic:spPr>
                    <a:xfrm>
                      <a:off x="0" y="0"/>
                      <a:ext cx="5840095" cy="7565390"/>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783580" cy="7487920"/>
            <wp:effectExtent l="0" t="0" r="7620" b="10160"/>
            <wp:docPr id="108" name="图片 108" descr="1638944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1638944733(1)"/>
                    <pic:cNvPicPr>
                      <a:picLocks noChangeAspect="1"/>
                    </pic:cNvPicPr>
                  </pic:nvPicPr>
                  <pic:blipFill>
                    <a:blip r:embed="rId147"/>
                    <a:stretch>
                      <a:fillRect/>
                    </a:stretch>
                  </pic:blipFill>
                  <pic:spPr>
                    <a:xfrm>
                      <a:off x="0" y="0"/>
                      <a:ext cx="5783580" cy="7487920"/>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805170" cy="7543165"/>
            <wp:effectExtent l="0" t="0" r="1270" b="635"/>
            <wp:docPr id="109" name="图片 109" descr="1638944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1638944768(1)"/>
                    <pic:cNvPicPr>
                      <a:picLocks noChangeAspect="1"/>
                    </pic:cNvPicPr>
                  </pic:nvPicPr>
                  <pic:blipFill>
                    <a:blip r:embed="rId148"/>
                    <a:stretch>
                      <a:fillRect/>
                    </a:stretch>
                  </pic:blipFill>
                  <pic:spPr>
                    <a:xfrm>
                      <a:off x="0" y="0"/>
                      <a:ext cx="5805170" cy="7543165"/>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769610" cy="7505700"/>
            <wp:effectExtent l="0" t="0" r="6350" b="7620"/>
            <wp:docPr id="110" name="图片 110" descr="16389448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1638944802(1)"/>
                    <pic:cNvPicPr>
                      <a:picLocks noChangeAspect="1"/>
                    </pic:cNvPicPr>
                  </pic:nvPicPr>
                  <pic:blipFill>
                    <a:blip r:embed="rId149"/>
                    <a:stretch>
                      <a:fillRect/>
                    </a:stretch>
                  </pic:blipFill>
                  <pic:spPr>
                    <a:xfrm>
                      <a:off x="0" y="0"/>
                      <a:ext cx="5769610" cy="7505700"/>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781675" cy="7512050"/>
            <wp:effectExtent l="0" t="0" r="9525" b="1270"/>
            <wp:docPr id="111" name="图片 111" descr="1638944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1638944840(1)"/>
                    <pic:cNvPicPr>
                      <a:picLocks noChangeAspect="1"/>
                    </pic:cNvPicPr>
                  </pic:nvPicPr>
                  <pic:blipFill>
                    <a:blip r:embed="rId150"/>
                    <a:stretch>
                      <a:fillRect/>
                    </a:stretch>
                  </pic:blipFill>
                  <pic:spPr>
                    <a:xfrm>
                      <a:off x="0" y="0"/>
                      <a:ext cx="5781675" cy="7512050"/>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927090" cy="7741285"/>
            <wp:effectExtent l="0" t="0" r="1270" b="635"/>
            <wp:docPr id="112" name="图片 112" descr="16389448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1638944873(1)"/>
                    <pic:cNvPicPr>
                      <a:picLocks noChangeAspect="1"/>
                    </pic:cNvPicPr>
                  </pic:nvPicPr>
                  <pic:blipFill>
                    <a:blip r:embed="rId151"/>
                    <a:stretch>
                      <a:fillRect/>
                    </a:stretch>
                  </pic:blipFill>
                  <pic:spPr>
                    <a:xfrm>
                      <a:off x="0" y="0"/>
                      <a:ext cx="5927090" cy="7741285"/>
                    </a:xfrm>
                    <a:prstGeom prst="rect">
                      <a:avLst/>
                    </a:prstGeom>
                  </pic:spPr>
                </pic:pic>
              </a:graphicData>
            </a:graphic>
          </wp:inline>
        </w:drawing>
      </w: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pStyle w:val="16"/>
        <w:rPr>
          <w:rFonts w:hint="default" w:ascii="Times New Roman" w:hAnsi="Times New Roman" w:eastAsia="宋体" w:cs="Times New Roman"/>
          <w:lang w:eastAsia="zh-CN"/>
        </w:rPr>
      </w:pPr>
    </w:p>
    <w:p>
      <w:pPr>
        <w:jc w:val="center"/>
        <w:rPr>
          <w:rFonts w:hint="default" w:ascii="Times New Roman" w:hAnsi="Times New Roman" w:eastAsia="宋体" w:cs="Times New Roman"/>
          <w:lang w:eastAsia="zh-CN"/>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lang w:eastAsia="zh-CN"/>
        </w:rPr>
        <w:drawing>
          <wp:inline distT="0" distB="0" distL="114300" distR="114300">
            <wp:extent cx="5791200" cy="7474585"/>
            <wp:effectExtent l="0" t="0" r="0" b="8255"/>
            <wp:docPr id="113" name="图片 113" descr="16389449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1638944907(1)"/>
                    <pic:cNvPicPr>
                      <a:picLocks noChangeAspect="1"/>
                    </pic:cNvPicPr>
                  </pic:nvPicPr>
                  <pic:blipFill>
                    <a:blip r:embed="rId152"/>
                    <a:stretch>
                      <a:fillRect/>
                    </a:stretch>
                  </pic:blipFill>
                  <pic:spPr>
                    <a:xfrm>
                      <a:off x="0" y="0"/>
                      <a:ext cx="5791200" cy="7474585"/>
                    </a:xfrm>
                    <a:prstGeom prst="rect">
                      <a:avLst/>
                    </a:prstGeom>
                  </pic:spPr>
                </pic:pic>
              </a:graphicData>
            </a:graphic>
          </wp:inline>
        </w:drawing>
      </w:r>
    </w:p>
    <w:p>
      <w:pPr>
        <w:pStyle w:val="346"/>
        <w:spacing w:beforeLines="50" w:line="480" w:lineRule="exact"/>
        <w:rPr>
          <w:rFonts w:hint="default" w:ascii="Times New Roman" w:hAnsi="Times New Roman" w:eastAsia="宋体" w:cs="Times New Roman"/>
          <w:color w:val="auto"/>
          <w:lang w:eastAsia="zh-CN"/>
        </w:rPr>
      </w:pPr>
      <w:bookmarkStart w:id="562" w:name="_Toc18542"/>
      <w:bookmarkStart w:id="563" w:name="_Toc14732"/>
      <w:r>
        <w:rPr>
          <w:rFonts w:hint="default" w:ascii="Times New Roman" w:hAnsi="Times New Roman" w:eastAsia="宋体" w:cs="Times New Roman"/>
          <w:color w:val="auto"/>
        </w:rPr>
        <w:t>附件</w:t>
      </w:r>
      <w:r>
        <w:rPr>
          <w:rFonts w:hint="default" w:ascii="Times New Roman" w:hAnsi="Times New Roman" w:eastAsia="宋体" w:cs="Times New Roman"/>
          <w:color w:val="auto"/>
          <w:lang w:val="en-US" w:eastAsia="zh-CN"/>
        </w:rPr>
        <w:t>9</w:t>
      </w:r>
      <w:r>
        <w:rPr>
          <w:rFonts w:hint="default" w:ascii="Times New Roman" w:hAnsi="Times New Roman" w:eastAsia="宋体" w:cs="Times New Roman"/>
          <w:color w:val="auto"/>
          <w:lang w:eastAsia="zh-CN"/>
        </w:rPr>
        <w:t>采矿经营权证</w:t>
      </w:r>
      <w:bookmarkEnd w:id="562"/>
      <w:bookmarkEnd w:id="563"/>
    </w:p>
    <w:p>
      <w:pPr>
        <w:bidi w:val="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758815" cy="8098155"/>
            <wp:effectExtent l="0" t="0" r="1905" b="9525"/>
            <wp:docPr id="1" name="图片 1" descr="847e968c50c768959a45eae20f563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847e968c50c768959a45eae20f5635d"/>
                    <pic:cNvPicPr>
                      <a:picLocks noChangeAspect="1"/>
                    </pic:cNvPicPr>
                  </pic:nvPicPr>
                  <pic:blipFill>
                    <a:blip r:embed="rId153"/>
                    <a:stretch>
                      <a:fillRect/>
                    </a:stretch>
                  </pic:blipFill>
                  <pic:spPr>
                    <a:xfrm>
                      <a:off x="0" y="0"/>
                      <a:ext cx="5758815" cy="8098155"/>
                    </a:xfrm>
                    <a:prstGeom prst="rect">
                      <a:avLst/>
                    </a:prstGeom>
                  </pic:spPr>
                </pic:pic>
              </a:graphicData>
            </a:graphic>
          </wp:inline>
        </w:drawing>
      </w:r>
    </w:p>
    <w:p>
      <w:pPr>
        <w:pStyle w:val="2"/>
        <w:rPr>
          <w:rFonts w:hint="default" w:ascii="Times New Roman" w:hAnsi="Times New Roman" w:eastAsia="宋体" w:cs="Times New Roman"/>
          <w:lang w:eastAsia="zh-CN"/>
        </w:rPr>
      </w:pPr>
    </w:p>
    <w:p>
      <w:pPr>
        <w:bidi w:val="0"/>
        <w:rPr>
          <w:rFonts w:hint="default" w:ascii="Times New Roman" w:hAnsi="Times New Roman" w:eastAsia="宋体" w:cs="Times New Roman"/>
          <w:color w:val="auto"/>
          <w:lang w:eastAsia="zh-CN"/>
        </w:rPr>
      </w:pPr>
    </w:p>
    <w:p>
      <w:pPr>
        <w:pStyle w:val="346"/>
        <w:spacing w:beforeLines="50" w:line="480" w:lineRule="exact"/>
        <w:rPr>
          <w:rFonts w:hint="default" w:ascii="Times New Roman" w:hAnsi="Times New Roman" w:eastAsia="宋体" w:cs="Times New Roman"/>
          <w:color w:val="auto"/>
          <w:lang w:eastAsia="zh-CN"/>
        </w:rPr>
      </w:pPr>
      <w:bookmarkStart w:id="564" w:name="_Toc14513"/>
      <w:bookmarkStart w:id="565" w:name="_Toc21415"/>
      <w:r>
        <w:rPr>
          <w:rFonts w:hint="default" w:ascii="Times New Roman" w:hAnsi="Times New Roman" w:eastAsia="宋体" w:cs="Times New Roman"/>
          <w:color w:val="auto"/>
        </w:rPr>
        <w:t>附件</w:t>
      </w:r>
      <w:r>
        <w:rPr>
          <w:rFonts w:hint="default" w:ascii="Times New Roman" w:hAnsi="Times New Roman" w:eastAsia="宋体" w:cs="Times New Roman"/>
          <w:color w:val="auto"/>
          <w:lang w:val="en-US" w:eastAsia="zh-CN"/>
        </w:rPr>
        <w:t>10取水证</w:t>
      </w:r>
      <w:bookmarkEnd w:id="564"/>
      <w:bookmarkEnd w:id="565"/>
    </w:p>
    <w:p>
      <w:pPr>
        <w:jc w:val="both"/>
        <w:rPr>
          <w:rFonts w:hint="default" w:ascii="Times New Roman" w:hAnsi="Times New Roman" w:eastAsia="宋体" w:cs="Times New Roman"/>
          <w:color w:val="auto"/>
          <w:lang w:eastAsia="zh-CN"/>
        </w:rPr>
      </w:pPr>
    </w:p>
    <w:p>
      <w:pPr>
        <w:bidi w:val="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756275" cy="7836535"/>
            <wp:effectExtent l="0" t="0" r="4445" b="12065"/>
            <wp:docPr id="4" name="图片 4" descr="取水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取水证"/>
                    <pic:cNvPicPr>
                      <a:picLocks noChangeAspect="1"/>
                    </pic:cNvPicPr>
                  </pic:nvPicPr>
                  <pic:blipFill>
                    <a:blip r:embed="rId154"/>
                    <a:stretch>
                      <a:fillRect/>
                    </a:stretch>
                  </pic:blipFill>
                  <pic:spPr>
                    <a:xfrm>
                      <a:off x="0" y="0"/>
                      <a:ext cx="5756275" cy="7836535"/>
                    </a:xfrm>
                    <a:prstGeom prst="rect">
                      <a:avLst/>
                    </a:prstGeom>
                  </pic:spPr>
                </pic:pic>
              </a:graphicData>
            </a:graphic>
          </wp:inline>
        </w:drawing>
      </w:r>
    </w:p>
    <w:p>
      <w:pPr>
        <w:pStyle w:val="2"/>
        <w:rPr>
          <w:rFonts w:hint="default" w:ascii="Times New Roman" w:hAnsi="Times New Roman" w:eastAsia="宋体" w:cs="Times New Roman"/>
          <w:lang w:eastAsia="zh-CN"/>
        </w:rPr>
      </w:pPr>
    </w:p>
    <w:p>
      <w:pPr>
        <w:pStyle w:val="2"/>
        <w:rPr>
          <w:rFonts w:hint="default" w:ascii="Times New Roman" w:hAnsi="Times New Roman" w:eastAsia="宋体" w:cs="Times New Roman"/>
          <w:lang w:eastAsia="zh-CN"/>
        </w:rPr>
      </w:pPr>
    </w:p>
    <w:p>
      <w:pPr>
        <w:pStyle w:val="2"/>
        <w:rPr>
          <w:rFonts w:hint="default" w:ascii="Times New Roman" w:hAnsi="Times New Roman" w:eastAsia="宋体" w:cs="Times New Roman"/>
          <w:lang w:eastAsia="zh-CN"/>
        </w:rPr>
      </w:pPr>
    </w:p>
    <w:p>
      <w:pPr>
        <w:pStyle w:val="346"/>
        <w:spacing w:beforeLines="50" w:line="480" w:lineRule="exact"/>
        <w:rPr>
          <w:rFonts w:hint="default" w:ascii="Times New Roman" w:hAnsi="Times New Roman" w:eastAsia="宋体" w:cs="Times New Roman"/>
          <w:lang w:eastAsia="zh-CN"/>
        </w:rPr>
      </w:pPr>
      <w:bookmarkStart w:id="566" w:name="_Toc17267"/>
      <w:bookmarkStart w:id="567" w:name="_Toc6478"/>
      <w:r>
        <w:rPr>
          <w:rFonts w:hint="default" w:ascii="Times New Roman" w:hAnsi="Times New Roman" w:eastAsia="宋体" w:cs="Times New Roman"/>
          <w:color w:val="auto"/>
        </w:rPr>
        <w:t>附件</w:t>
      </w:r>
      <w:r>
        <w:rPr>
          <w:rFonts w:hint="default" w:ascii="Times New Roman" w:hAnsi="Times New Roman" w:eastAsia="宋体" w:cs="Times New Roman"/>
          <w:color w:val="auto"/>
          <w:lang w:val="en-US" w:eastAsia="zh-CN"/>
        </w:rPr>
        <w:t>11土地手续</w:t>
      </w:r>
      <w:bookmarkEnd w:id="566"/>
      <w:bookmarkEnd w:id="567"/>
    </w:p>
    <w:p>
      <w:pPr>
        <w:bidi w:val="0"/>
        <w:jc w:val="center"/>
        <w:rPr>
          <w:rFonts w:hint="default" w:ascii="Times New Roman" w:hAnsi="Times New Roman" w:eastAsia="宋体" w:cs="Times New Roman"/>
          <w:lang w:eastAsia="zh-CN"/>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lang w:eastAsia="zh-CN"/>
        </w:rPr>
        <w:drawing>
          <wp:inline distT="0" distB="0" distL="114300" distR="114300">
            <wp:extent cx="5557520" cy="8324850"/>
            <wp:effectExtent l="0" t="0" r="5080" b="11430"/>
            <wp:docPr id="13" name="图片 13" descr="65900b27f368957b870c90fbca50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65900b27f368957b870c90fbca50641"/>
                    <pic:cNvPicPr>
                      <a:picLocks noChangeAspect="1"/>
                    </pic:cNvPicPr>
                  </pic:nvPicPr>
                  <pic:blipFill>
                    <a:blip r:embed="rId155"/>
                    <a:srcRect t="13114" b="19492"/>
                    <a:stretch>
                      <a:fillRect/>
                    </a:stretch>
                  </pic:blipFill>
                  <pic:spPr>
                    <a:xfrm>
                      <a:off x="0" y="0"/>
                      <a:ext cx="5557520" cy="8324850"/>
                    </a:xfrm>
                    <a:prstGeom prst="rect">
                      <a:avLst/>
                    </a:prstGeom>
                  </pic:spPr>
                </pic:pic>
              </a:graphicData>
            </a:graphic>
          </wp:inline>
        </w:drawing>
      </w:r>
    </w:p>
    <w:p>
      <w:pPr>
        <w:pStyle w:val="346"/>
        <w:spacing w:beforeLines="50" w:line="480" w:lineRule="exact"/>
        <w:rPr>
          <w:rFonts w:hint="default" w:ascii="Times New Roman" w:hAnsi="Times New Roman" w:eastAsia="宋体" w:cs="Times New Roman"/>
          <w:color w:val="auto"/>
        </w:rPr>
      </w:pPr>
      <w:bookmarkStart w:id="568" w:name="_Toc7713"/>
      <w:bookmarkStart w:id="569" w:name="_Toc5212"/>
      <w:bookmarkStart w:id="570" w:name="_Toc15586"/>
      <w:bookmarkStart w:id="571" w:name="_Toc10492"/>
      <w:bookmarkStart w:id="572" w:name="_Toc3300"/>
      <w:bookmarkStart w:id="573" w:name="_Toc3824"/>
      <w:r>
        <w:rPr>
          <w:rFonts w:hint="default" w:ascii="Times New Roman" w:hAnsi="Times New Roman" w:eastAsia="宋体" w:cs="Times New Roman"/>
          <w:color w:val="auto"/>
        </w:rPr>
        <w:t>附表1大气环境影响评价自查表</w:t>
      </w:r>
      <w:bookmarkEnd w:id="568"/>
      <w:bookmarkEnd w:id="569"/>
      <w:bookmarkEnd w:id="570"/>
      <w:bookmarkEnd w:id="571"/>
      <w:bookmarkEnd w:id="572"/>
      <w:bookmarkEnd w:id="573"/>
    </w:p>
    <w:tbl>
      <w:tblPr>
        <w:tblStyle w:val="51"/>
        <w:tblW w:w="5000" w:type="pct"/>
        <w:tblInd w:w="0" w:type="dxa"/>
        <w:tblLayout w:type="fixed"/>
        <w:tblCellMar>
          <w:top w:w="0" w:type="dxa"/>
          <w:left w:w="108" w:type="dxa"/>
          <w:bottom w:w="0" w:type="dxa"/>
          <w:right w:w="108" w:type="dxa"/>
        </w:tblCellMar>
      </w:tblPr>
      <w:tblGrid>
        <w:gridCol w:w="305"/>
        <w:gridCol w:w="934"/>
        <w:gridCol w:w="1203"/>
        <w:gridCol w:w="799"/>
        <w:gridCol w:w="881"/>
        <w:gridCol w:w="573"/>
        <w:gridCol w:w="1424"/>
        <w:gridCol w:w="1129"/>
        <w:gridCol w:w="517"/>
        <w:gridCol w:w="1336"/>
      </w:tblGrid>
      <w:tr>
        <w:tblPrEx>
          <w:tblCellMar>
            <w:top w:w="0" w:type="dxa"/>
            <w:left w:w="108" w:type="dxa"/>
            <w:bottom w:w="0" w:type="dxa"/>
            <w:right w:w="108" w:type="dxa"/>
          </w:tblCellMar>
        </w:tblPrEx>
        <w:trPr>
          <w:trHeight w:val="454" w:hRule="exact"/>
        </w:trPr>
        <w:tc>
          <w:tcPr>
            <w:tcW w:w="1239" w:type="dxa"/>
            <w:gridSpan w:val="2"/>
            <w:tcBorders>
              <w:top w:val="single" w:color="000000" w:sz="12" w:space="0"/>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工作内容</w:t>
            </w:r>
          </w:p>
        </w:tc>
        <w:tc>
          <w:tcPr>
            <w:tcW w:w="7858" w:type="dxa"/>
            <w:gridSpan w:val="8"/>
            <w:tcBorders>
              <w:top w:val="single" w:color="000000" w:sz="12" w:space="0"/>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自查项目</w:t>
            </w:r>
          </w:p>
        </w:tc>
      </w:tr>
      <w:tr>
        <w:tblPrEx>
          <w:tblCellMar>
            <w:top w:w="0" w:type="dxa"/>
            <w:left w:w="108" w:type="dxa"/>
            <w:bottom w:w="0" w:type="dxa"/>
            <w:right w:w="108" w:type="dxa"/>
          </w:tblCellMar>
        </w:tblPrEx>
        <w:trPr>
          <w:trHeight w:val="454" w:hRule="exact"/>
        </w:trPr>
        <w:tc>
          <w:tcPr>
            <w:tcW w:w="305" w:type="dxa"/>
            <w:vMerge w:val="restart"/>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评价等级与范围</w:t>
            </w: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评价等级</w:t>
            </w:r>
          </w:p>
        </w:tc>
        <w:tc>
          <w:tcPr>
            <w:tcW w:w="3455" w:type="dxa"/>
            <w:gridSpan w:val="4"/>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一级□</w:t>
            </w:r>
          </w:p>
        </w:tc>
        <w:tc>
          <w:tcPr>
            <w:tcW w:w="2552"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二级☑</w:t>
            </w:r>
          </w:p>
        </w:tc>
        <w:tc>
          <w:tcPr>
            <w:tcW w:w="1851"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三级</w:t>
            </w:r>
            <w:r>
              <w:rPr>
                <w:rFonts w:hint="default" w:ascii="Times New Roman" w:hAnsi="Times New Roman" w:eastAsia="宋体" w:cs="Times New Roman"/>
                <w:kern w:val="0"/>
                <w:szCs w:val="21"/>
              </w:rPr>
              <w:t>□</w:t>
            </w: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评价范围</w:t>
            </w:r>
          </w:p>
        </w:tc>
        <w:tc>
          <w:tcPr>
            <w:tcW w:w="3455" w:type="dxa"/>
            <w:gridSpan w:val="4"/>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边长</w:t>
            </w:r>
            <w:r>
              <w:rPr>
                <w:rStyle w:val="489"/>
                <w:rFonts w:hint="default" w:ascii="Times New Roman" w:hAnsi="Times New Roman" w:eastAsia="宋体" w:cs="Times New Roman"/>
                <w:color w:val="auto"/>
              </w:rPr>
              <w:t>=50km</w:t>
            </w:r>
            <w:r>
              <w:rPr>
                <w:rStyle w:val="488"/>
                <w:rFonts w:hint="default" w:ascii="Times New Roman" w:hAnsi="Times New Roman" w:eastAsia="宋体" w:cs="Times New Roman"/>
                <w:color w:val="auto"/>
                <w:szCs w:val="21"/>
              </w:rPr>
              <w:t>□</w:t>
            </w:r>
          </w:p>
        </w:tc>
        <w:tc>
          <w:tcPr>
            <w:tcW w:w="2552"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边长</w:t>
            </w:r>
            <w:r>
              <w:rPr>
                <w:rStyle w:val="489"/>
                <w:rFonts w:hint="default" w:ascii="Times New Roman" w:hAnsi="Times New Roman" w:eastAsia="宋体" w:cs="Times New Roman"/>
                <w:color w:val="auto"/>
              </w:rPr>
              <w:t>=5~50km</w:t>
            </w:r>
            <w:r>
              <w:rPr>
                <w:rStyle w:val="488"/>
                <w:rFonts w:hint="default" w:ascii="Times New Roman" w:hAnsi="Times New Roman" w:eastAsia="宋体" w:cs="Times New Roman"/>
                <w:color w:val="auto"/>
                <w:szCs w:val="21"/>
              </w:rPr>
              <w:t>□</w:t>
            </w:r>
          </w:p>
        </w:tc>
        <w:tc>
          <w:tcPr>
            <w:tcW w:w="1851"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边长</w:t>
            </w:r>
            <w:r>
              <w:rPr>
                <w:rStyle w:val="489"/>
                <w:rFonts w:hint="default" w:ascii="Times New Roman" w:hAnsi="Times New Roman" w:eastAsia="宋体" w:cs="Times New Roman"/>
                <w:color w:val="auto"/>
              </w:rPr>
              <w:t>=5km</w:t>
            </w:r>
            <w:r>
              <w:rPr>
                <w:rFonts w:hint="default" w:ascii="Times New Roman" w:hAnsi="Times New Roman" w:eastAsia="宋体" w:cs="Times New Roman"/>
                <w:kern w:val="0"/>
                <w:szCs w:val="21"/>
              </w:rPr>
              <w:t>☑</w:t>
            </w:r>
          </w:p>
        </w:tc>
      </w:tr>
      <w:tr>
        <w:tblPrEx>
          <w:tblCellMar>
            <w:top w:w="0" w:type="dxa"/>
            <w:left w:w="108" w:type="dxa"/>
            <w:bottom w:w="0" w:type="dxa"/>
            <w:right w:w="108" w:type="dxa"/>
          </w:tblCellMar>
        </w:tblPrEx>
        <w:trPr>
          <w:trHeight w:val="454" w:hRule="exact"/>
        </w:trPr>
        <w:tc>
          <w:tcPr>
            <w:tcW w:w="305" w:type="dxa"/>
            <w:vMerge w:val="restart"/>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评价因子</w:t>
            </w: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SO</w:t>
            </w:r>
            <w:r>
              <w:rPr>
                <w:rFonts w:hint="default" w:ascii="Times New Roman" w:hAnsi="Times New Roman" w:eastAsia="宋体" w:cs="Times New Roman"/>
                <w:sz w:val="22"/>
                <w:szCs w:val="21"/>
                <w:vertAlign w:val="subscript"/>
              </w:rPr>
              <w:t>2</w:t>
            </w:r>
            <w:r>
              <w:rPr>
                <w:rStyle w:val="489"/>
                <w:rFonts w:hint="default" w:ascii="Times New Roman" w:hAnsi="Times New Roman" w:eastAsia="宋体" w:cs="Times New Roman"/>
                <w:color w:val="auto"/>
              </w:rPr>
              <w:t>+NOx</w:t>
            </w:r>
            <w:r>
              <w:rPr>
                <w:rStyle w:val="488"/>
                <w:rFonts w:hint="default" w:ascii="Times New Roman" w:hAnsi="Times New Roman" w:eastAsia="宋体" w:cs="Times New Roman"/>
                <w:color w:val="auto"/>
                <w:szCs w:val="21"/>
              </w:rPr>
              <w:t>排放量</w:t>
            </w:r>
          </w:p>
        </w:tc>
        <w:tc>
          <w:tcPr>
            <w:tcW w:w="2001"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w:t>
            </w:r>
            <w:r>
              <w:rPr>
                <w:rStyle w:val="489"/>
                <w:rFonts w:hint="default" w:ascii="Times New Roman" w:hAnsi="Times New Roman" w:eastAsia="宋体" w:cs="Times New Roman"/>
                <w:color w:val="auto"/>
              </w:rPr>
              <w:t>2000t/a</w:t>
            </w:r>
            <w:r>
              <w:rPr>
                <w:rStyle w:val="488"/>
                <w:rFonts w:hint="default" w:ascii="Times New Roman" w:hAnsi="Times New Roman" w:eastAsia="宋体" w:cs="Times New Roman"/>
                <w:color w:val="auto"/>
                <w:szCs w:val="21"/>
              </w:rPr>
              <w:t>□</w:t>
            </w:r>
          </w:p>
        </w:tc>
        <w:tc>
          <w:tcPr>
            <w:tcW w:w="2877" w:type="dxa"/>
            <w:gridSpan w:val="3"/>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500~2000t/a</w:t>
            </w:r>
            <w:r>
              <w:rPr>
                <w:rStyle w:val="488"/>
                <w:rFonts w:hint="default" w:ascii="Times New Roman" w:hAnsi="Times New Roman" w:eastAsia="宋体" w:cs="Times New Roman"/>
                <w:color w:val="auto"/>
                <w:szCs w:val="21"/>
              </w:rPr>
              <w:t>□</w:t>
            </w:r>
          </w:p>
        </w:tc>
        <w:tc>
          <w:tcPr>
            <w:tcW w:w="2980" w:type="dxa"/>
            <w:gridSpan w:val="3"/>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&lt;500t/a</w:t>
            </w:r>
            <w:r>
              <w:rPr>
                <w:rStyle w:val="488"/>
                <w:rFonts w:hint="default" w:ascii="Times New Roman" w:hAnsi="Times New Roman" w:eastAsia="宋体" w:cs="Times New Roman"/>
                <w:color w:val="auto"/>
                <w:szCs w:val="21"/>
              </w:rPr>
              <w:t>□</w:t>
            </w:r>
            <w:r>
              <w:rPr>
                <w:rStyle w:val="490"/>
                <w:rFonts w:hint="default" w:ascii="Times New Roman" w:hAnsi="Times New Roman" w:eastAsia="宋体" w:cs="Times New Roman"/>
                <w:color w:val="auto"/>
                <w:szCs w:val="21"/>
              </w:rPr>
              <w:t></w:t>
            </w: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highlight w:val="red"/>
              </w:rPr>
            </w:pPr>
          </w:p>
        </w:tc>
        <w:tc>
          <w:tcPr>
            <w:tcW w:w="934" w:type="dxa"/>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评价因子</w:t>
            </w:r>
          </w:p>
        </w:tc>
        <w:tc>
          <w:tcPr>
            <w:tcW w:w="4878" w:type="dxa"/>
            <w:gridSpan w:val="5"/>
            <w:tcBorders>
              <w:top w:val="nil"/>
              <w:left w:val="nil"/>
              <w:bottom w:val="nil"/>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基本污染物（PM</w:t>
            </w:r>
            <w:r>
              <w:rPr>
                <w:rStyle w:val="488"/>
                <w:rFonts w:hint="default" w:ascii="Times New Roman" w:hAnsi="Times New Roman" w:eastAsia="宋体" w:cs="Times New Roman"/>
                <w:color w:val="auto"/>
                <w:szCs w:val="21"/>
                <w:vertAlign w:val="subscript"/>
              </w:rPr>
              <w:t>10</w:t>
            </w:r>
            <w:r>
              <w:rPr>
                <w:rStyle w:val="488"/>
                <w:rFonts w:hint="default" w:ascii="Times New Roman" w:hAnsi="Times New Roman" w:eastAsia="宋体" w:cs="Times New Roman"/>
                <w:color w:val="auto"/>
                <w:szCs w:val="21"/>
              </w:rPr>
              <w:t>、PM</w:t>
            </w:r>
            <w:r>
              <w:rPr>
                <w:rStyle w:val="488"/>
                <w:rFonts w:hint="default" w:ascii="Times New Roman" w:hAnsi="Times New Roman" w:eastAsia="宋体" w:cs="Times New Roman"/>
                <w:color w:val="auto"/>
                <w:szCs w:val="21"/>
                <w:vertAlign w:val="subscript"/>
              </w:rPr>
              <w:t>2.5</w:t>
            </w:r>
            <w:r>
              <w:rPr>
                <w:rStyle w:val="488"/>
                <w:rFonts w:hint="default" w:ascii="Times New Roman" w:hAnsi="Times New Roman" w:eastAsia="宋体" w:cs="Times New Roman"/>
                <w:color w:val="auto"/>
                <w:szCs w:val="21"/>
              </w:rPr>
              <w:t>、CO、NO</w:t>
            </w:r>
            <w:r>
              <w:rPr>
                <w:rStyle w:val="488"/>
                <w:rFonts w:hint="default" w:ascii="Times New Roman" w:hAnsi="Times New Roman" w:eastAsia="宋体" w:cs="Times New Roman"/>
                <w:color w:val="auto"/>
                <w:szCs w:val="21"/>
                <w:vertAlign w:val="subscript"/>
              </w:rPr>
              <w:t>2</w:t>
            </w:r>
            <w:r>
              <w:rPr>
                <w:rStyle w:val="488"/>
                <w:rFonts w:hint="default" w:ascii="Times New Roman" w:hAnsi="Times New Roman" w:eastAsia="宋体" w:cs="Times New Roman"/>
                <w:color w:val="auto"/>
                <w:szCs w:val="21"/>
              </w:rPr>
              <w:t>、SO</w:t>
            </w:r>
            <w:r>
              <w:rPr>
                <w:rStyle w:val="488"/>
                <w:rFonts w:hint="default" w:ascii="Times New Roman" w:hAnsi="Times New Roman" w:eastAsia="宋体" w:cs="Times New Roman"/>
                <w:color w:val="auto"/>
                <w:szCs w:val="21"/>
                <w:vertAlign w:val="subscript"/>
              </w:rPr>
              <w:t>2</w:t>
            </w:r>
            <w:r>
              <w:rPr>
                <w:rStyle w:val="488"/>
                <w:rFonts w:hint="default" w:ascii="Times New Roman" w:hAnsi="Times New Roman" w:eastAsia="宋体" w:cs="Times New Roman"/>
                <w:color w:val="auto"/>
                <w:szCs w:val="21"/>
              </w:rPr>
              <w:t>、O</w:t>
            </w:r>
            <w:r>
              <w:rPr>
                <w:rStyle w:val="488"/>
                <w:rFonts w:hint="default" w:ascii="Times New Roman" w:hAnsi="Times New Roman" w:eastAsia="宋体" w:cs="Times New Roman"/>
                <w:color w:val="auto"/>
                <w:szCs w:val="21"/>
                <w:vertAlign w:val="subscript"/>
              </w:rPr>
              <w:t>3</w:t>
            </w:r>
            <w:r>
              <w:rPr>
                <w:rStyle w:val="488"/>
                <w:rFonts w:hint="default" w:ascii="Times New Roman" w:hAnsi="Times New Roman" w:eastAsia="宋体" w:cs="Times New Roman"/>
                <w:color w:val="auto"/>
                <w:szCs w:val="21"/>
              </w:rPr>
              <w:t>）</w:t>
            </w:r>
          </w:p>
        </w:tc>
        <w:tc>
          <w:tcPr>
            <w:tcW w:w="2980" w:type="dxa"/>
            <w:gridSpan w:val="3"/>
            <w:tcBorders>
              <w:top w:val="nil"/>
              <w:left w:val="nil"/>
              <w:bottom w:val="nil"/>
              <w:right w:val="single" w:color="000000" w:sz="12" w:space="0"/>
            </w:tcBorders>
            <w:tcMar>
              <w:top w:w="15" w:type="dxa"/>
              <w:left w:w="15" w:type="dxa"/>
              <w:bottom w:w="15" w:type="dxa"/>
              <w:right w:w="15" w:type="dxa"/>
            </w:tcMar>
            <w:vAlign w:val="center"/>
          </w:tcPr>
          <w:p>
            <w:pPr>
              <w:widowControl/>
              <w:jc w:val="center"/>
              <w:textAlignment w:val="bottom"/>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包括二次</w:t>
            </w:r>
            <w:r>
              <w:rPr>
                <w:rStyle w:val="489"/>
                <w:rFonts w:hint="default" w:ascii="Times New Roman" w:hAnsi="Times New Roman" w:eastAsia="宋体" w:cs="Times New Roman"/>
                <w:color w:val="auto"/>
              </w:rPr>
              <w:t>PM</w:t>
            </w:r>
            <w:r>
              <w:rPr>
                <w:rFonts w:hint="default" w:ascii="Times New Roman" w:hAnsi="Times New Roman" w:eastAsia="宋体" w:cs="Times New Roman"/>
                <w:sz w:val="22"/>
                <w:szCs w:val="21"/>
                <w:vertAlign w:val="subscript"/>
              </w:rPr>
              <w:t>2.5</w:t>
            </w:r>
            <w:r>
              <w:rPr>
                <w:rStyle w:val="488"/>
                <w:rFonts w:hint="default" w:ascii="Times New Roman" w:hAnsi="Times New Roman" w:eastAsia="宋体" w:cs="Times New Roman"/>
                <w:color w:val="auto"/>
                <w:szCs w:val="21"/>
              </w:rPr>
              <w:t>□</w:t>
            </w: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highlight w:val="red"/>
              </w:rPr>
            </w:pPr>
          </w:p>
        </w:tc>
        <w:tc>
          <w:tcPr>
            <w:tcW w:w="934" w:type="dxa"/>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4878" w:type="dxa"/>
            <w:gridSpan w:val="5"/>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其他污染物（TSP）</w:t>
            </w:r>
          </w:p>
        </w:tc>
        <w:tc>
          <w:tcPr>
            <w:tcW w:w="2980" w:type="dxa"/>
            <w:gridSpan w:val="3"/>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bottom"/>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不包括二次</w:t>
            </w:r>
            <w:r>
              <w:rPr>
                <w:rStyle w:val="489"/>
                <w:rFonts w:hint="default" w:ascii="Times New Roman" w:hAnsi="Times New Roman" w:eastAsia="宋体" w:cs="Times New Roman"/>
                <w:color w:val="auto"/>
              </w:rPr>
              <w:t>PM</w:t>
            </w:r>
            <w:r>
              <w:rPr>
                <w:rFonts w:hint="default" w:ascii="Times New Roman" w:hAnsi="Times New Roman" w:eastAsia="宋体" w:cs="Times New Roman"/>
                <w:sz w:val="22"/>
                <w:szCs w:val="21"/>
                <w:vertAlign w:val="subscript"/>
              </w:rPr>
              <w:t>2.5</w:t>
            </w:r>
            <w:r>
              <w:rPr>
                <w:rFonts w:hint="default" w:ascii="Times New Roman" w:hAnsi="Times New Roman" w:eastAsia="宋体" w:cs="Times New Roman"/>
                <w:kern w:val="0"/>
                <w:szCs w:val="21"/>
              </w:rPr>
              <w:t>☑</w:t>
            </w:r>
          </w:p>
        </w:tc>
      </w:tr>
      <w:tr>
        <w:tblPrEx>
          <w:tblCellMar>
            <w:top w:w="0" w:type="dxa"/>
            <w:left w:w="108" w:type="dxa"/>
            <w:bottom w:w="0" w:type="dxa"/>
            <w:right w:w="108" w:type="dxa"/>
          </w:tblCellMar>
        </w:tblPrEx>
        <w:trPr>
          <w:trHeight w:val="454" w:hRule="exact"/>
        </w:trPr>
        <w:tc>
          <w:tcPr>
            <w:tcW w:w="305" w:type="dxa"/>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评价标准</w:t>
            </w: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评价标准</w:t>
            </w:r>
          </w:p>
        </w:tc>
        <w:tc>
          <w:tcPr>
            <w:tcW w:w="2882" w:type="dxa"/>
            <w:gridSpan w:val="3"/>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国家标准</w:t>
            </w:r>
            <w:r>
              <w:rPr>
                <w:rFonts w:hint="default" w:ascii="Times New Roman" w:hAnsi="Times New Roman" w:eastAsia="宋体" w:cs="Times New Roman"/>
                <w:kern w:val="0"/>
                <w:szCs w:val="21"/>
              </w:rPr>
              <w:t>☑</w:t>
            </w:r>
            <w:r>
              <w:rPr>
                <w:rStyle w:val="490"/>
                <w:rFonts w:hint="default" w:ascii="Times New Roman" w:hAnsi="Times New Roman" w:eastAsia="宋体" w:cs="Times New Roman"/>
                <w:color w:val="auto"/>
                <w:szCs w:val="21"/>
              </w:rPr>
              <w:t></w:t>
            </w:r>
          </w:p>
        </w:tc>
        <w:tc>
          <w:tcPr>
            <w:tcW w:w="1996"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地方标准□</w:t>
            </w:r>
          </w:p>
        </w:tc>
        <w:tc>
          <w:tcPr>
            <w:tcW w:w="1129"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附录</w:t>
            </w:r>
            <w:r>
              <w:rPr>
                <w:rStyle w:val="489"/>
                <w:rFonts w:hint="default" w:ascii="Times New Roman" w:hAnsi="Times New Roman" w:eastAsia="宋体" w:cs="Times New Roman"/>
                <w:color w:val="auto"/>
              </w:rPr>
              <w:t>D</w:t>
            </w:r>
            <w:r>
              <w:rPr>
                <w:rFonts w:hint="default" w:ascii="Times New Roman" w:hAnsi="Times New Roman" w:eastAsia="宋体" w:cs="Times New Roman"/>
                <w:kern w:val="0"/>
                <w:szCs w:val="21"/>
              </w:rPr>
              <w:t>□</w:t>
            </w:r>
          </w:p>
        </w:tc>
        <w:tc>
          <w:tcPr>
            <w:tcW w:w="1851"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其他标准□</w:t>
            </w:r>
          </w:p>
        </w:tc>
      </w:tr>
      <w:tr>
        <w:tblPrEx>
          <w:tblCellMar>
            <w:top w:w="0" w:type="dxa"/>
            <w:left w:w="108" w:type="dxa"/>
            <w:bottom w:w="0" w:type="dxa"/>
            <w:right w:w="108" w:type="dxa"/>
          </w:tblCellMar>
        </w:tblPrEx>
        <w:trPr>
          <w:trHeight w:val="454" w:hRule="exact"/>
        </w:trPr>
        <w:tc>
          <w:tcPr>
            <w:tcW w:w="305" w:type="dxa"/>
            <w:vMerge w:val="restart"/>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现状评价</w:t>
            </w: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评价功能区</w:t>
            </w:r>
          </w:p>
        </w:tc>
        <w:tc>
          <w:tcPr>
            <w:tcW w:w="3455" w:type="dxa"/>
            <w:gridSpan w:val="4"/>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一类区□</w:t>
            </w:r>
          </w:p>
        </w:tc>
        <w:tc>
          <w:tcPr>
            <w:tcW w:w="2552"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二类区</w:t>
            </w:r>
            <w:r>
              <w:rPr>
                <w:rFonts w:hint="default" w:ascii="Times New Roman" w:hAnsi="Times New Roman" w:eastAsia="宋体" w:cs="Times New Roman"/>
                <w:kern w:val="0"/>
                <w:szCs w:val="21"/>
              </w:rPr>
              <w:t>☑</w:t>
            </w:r>
          </w:p>
        </w:tc>
        <w:tc>
          <w:tcPr>
            <w:tcW w:w="1851"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一类区和二类区□</w:t>
            </w: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评价基准年</w:t>
            </w:r>
          </w:p>
        </w:tc>
        <w:tc>
          <w:tcPr>
            <w:tcW w:w="7858" w:type="dxa"/>
            <w:gridSpan w:val="8"/>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w:t>
            </w:r>
            <w:r>
              <w:rPr>
                <w:rStyle w:val="489"/>
                <w:rFonts w:hint="default" w:ascii="Times New Roman" w:hAnsi="Times New Roman" w:eastAsia="宋体" w:cs="Times New Roman"/>
                <w:color w:val="auto"/>
              </w:rPr>
              <w:t>20</w:t>
            </w:r>
            <w:r>
              <w:rPr>
                <w:rStyle w:val="489"/>
                <w:rFonts w:hint="default" w:ascii="Times New Roman" w:hAnsi="Times New Roman" w:eastAsia="宋体" w:cs="Times New Roman"/>
                <w:color w:val="auto"/>
                <w:lang w:val="en-US" w:eastAsia="zh-CN"/>
              </w:rPr>
              <w:t>20</w:t>
            </w:r>
            <w:r>
              <w:rPr>
                <w:rStyle w:val="488"/>
                <w:rFonts w:hint="default" w:ascii="Times New Roman" w:hAnsi="Times New Roman" w:eastAsia="宋体" w:cs="Times New Roman"/>
                <w:color w:val="auto"/>
                <w:szCs w:val="21"/>
              </w:rPr>
              <w:t>）年</w:t>
            </w: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环境空气质量现状调查数据来源</w:t>
            </w:r>
          </w:p>
        </w:tc>
        <w:tc>
          <w:tcPr>
            <w:tcW w:w="3455" w:type="dxa"/>
            <w:gridSpan w:val="4"/>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长期例行监测数据□</w:t>
            </w:r>
          </w:p>
        </w:tc>
        <w:tc>
          <w:tcPr>
            <w:tcW w:w="2552"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主管部门发布的数据</w:t>
            </w:r>
            <w:r>
              <w:rPr>
                <w:rFonts w:hint="default" w:ascii="Times New Roman" w:hAnsi="Times New Roman" w:eastAsia="宋体" w:cs="Times New Roman"/>
                <w:kern w:val="0"/>
                <w:szCs w:val="21"/>
              </w:rPr>
              <w:t>☑</w:t>
            </w:r>
            <w:r>
              <w:rPr>
                <w:rStyle w:val="490"/>
                <w:rFonts w:hint="default" w:ascii="Times New Roman" w:hAnsi="Times New Roman" w:eastAsia="宋体" w:cs="Times New Roman"/>
                <w:color w:val="auto"/>
                <w:szCs w:val="21"/>
              </w:rPr>
              <w:t></w:t>
            </w:r>
          </w:p>
        </w:tc>
        <w:tc>
          <w:tcPr>
            <w:tcW w:w="1851"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现状补充检测</w:t>
            </w:r>
            <w:r>
              <w:rPr>
                <w:rFonts w:hint="default" w:ascii="Times New Roman" w:hAnsi="Times New Roman" w:eastAsia="宋体" w:cs="Times New Roman"/>
                <w:kern w:val="0"/>
                <w:szCs w:val="21"/>
              </w:rPr>
              <w:t>☑</w:t>
            </w:r>
            <w:r>
              <w:rPr>
                <w:rStyle w:val="490"/>
                <w:rFonts w:hint="default" w:ascii="Times New Roman" w:hAnsi="Times New Roman" w:eastAsia="宋体" w:cs="Times New Roman"/>
                <w:color w:val="auto"/>
                <w:szCs w:val="21"/>
              </w:rPr>
              <w:t></w:t>
            </w: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现状评价</w:t>
            </w:r>
          </w:p>
        </w:tc>
        <w:tc>
          <w:tcPr>
            <w:tcW w:w="4878" w:type="dxa"/>
            <w:gridSpan w:val="5"/>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lang w:eastAsia="zh-CN"/>
              </w:rPr>
            </w:pPr>
            <w:r>
              <w:rPr>
                <w:rFonts w:hint="default" w:ascii="Times New Roman" w:hAnsi="Times New Roman" w:eastAsia="宋体" w:cs="Times New Roman"/>
                <w:kern w:val="0"/>
                <w:szCs w:val="21"/>
              </w:rPr>
              <w:t>达标区</w:t>
            </w:r>
            <w:r>
              <w:rPr>
                <w:rFonts w:hint="default" w:ascii="Times New Roman" w:hAnsi="Times New Roman" w:eastAsia="宋体" w:cs="Times New Roman"/>
                <w:kern w:val="0"/>
                <w:szCs w:val="21"/>
                <w:lang w:eastAsia="zh-CN"/>
              </w:rPr>
              <w:t>☑</w:t>
            </w:r>
          </w:p>
        </w:tc>
        <w:tc>
          <w:tcPr>
            <w:tcW w:w="2980" w:type="dxa"/>
            <w:gridSpan w:val="3"/>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不达标区</w:t>
            </w:r>
            <w:r>
              <w:rPr>
                <w:rFonts w:hint="default" w:ascii="Times New Roman" w:hAnsi="Times New Roman" w:eastAsia="宋体" w:cs="Times New Roman"/>
                <w:kern w:val="0"/>
                <w:szCs w:val="21"/>
                <w:lang w:eastAsia="zh-CN"/>
              </w:rPr>
              <w:t>□</w:t>
            </w:r>
            <w:r>
              <w:rPr>
                <w:rStyle w:val="490"/>
                <w:rFonts w:hint="default" w:ascii="Times New Roman" w:hAnsi="Times New Roman" w:eastAsia="宋体" w:cs="Times New Roman"/>
                <w:color w:val="auto"/>
                <w:szCs w:val="21"/>
              </w:rPr>
              <w:t></w:t>
            </w:r>
          </w:p>
        </w:tc>
      </w:tr>
      <w:tr>
        <w:tblPrEx>
          <w:tblCellMar>
            <w:top w:w="0" w:type="dxa"/>
            <w:left w:w="108" w:type="dxa"/>
            <w:bottom w:w="0" w:type="dxa"/>
            <w:right w:w="108" w:type="dxa"/>
          </w:tblCellMar>
        </w:tblPrEx>
        <w:trPr>
          <w:trHeight w:val="454" w:hRule="atLeast"/>
        </w:trPr>
        <w:tc>
          <w:tcPr>
            <w:tcW w:w="305" w:type="dxa"/>
            <w:vMerge w:val="restart"/>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污染源调查</w:t>
            </w:r>
          </w:p>
        </w:tc>
        <w:tc>
          <w:tcPr>
            <w:tcW w:w="934" w:type="dxa"/>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调查内容</w:t>
            </w:r>
          </w:p>
        </w:tc>
        <w:tc>
          <w:tcPr>
            <w:tcW w:w="2882" w:type="dxa"/>
            <w:gridSpan w:val="3"/>
            <w:tcBorders>
              <w:top w:val="nil"/>
              <w:left w:val="nil"/>
              <w:bottom w:val="nil"/>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本项目正常排放源</w:t>
            </w:r>
            <w:r>
              <w:rPr>
                <w:rFonts w:hint="default" w:ascii="Times New Roman" w:hAnsi="Times New Roman" w:eastAsia="宋体" w:cs="Times New Roman"/>
                <w:kern w:val="0"/>
                <w:szCs w:val="21"/>
              </w:rPr>
              <w:t>□</w:t>
            </w:r>
            <w:r>
              <w:rPr>
                <w:rStyle w:val="490"/>
                <w:rFonts w:hint="default" w:ascii="Times New Roman" w:hAnsi="Times New Roman" w:eastAsia="宋体" w:cs="Times New Roman"/>
                <w:color w:val="auto"/>
                <w:szCs w:val="21"/>
              </w:rPr>
              <w:t></w:t>
            </w:r>
          </w:p>
        </w:tc>
        <w:tc>
          <w:tcPr>
            <w:tcW w:w="1996" w:type="dxa"/>
            <w:gridSpan w:val="2"/>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拟替代的污染源□</w:t>
            </w:r>
          </w:p>
        </w:tc>
        <w:tc>
          <w:tcPr>
            <w:tcW w:w="1129" w:type="dxa"/>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其他在建、拟建项目污染源□</w:t>
            </w:r>
          </w:p>
        </w:tc>
        <w:tc>
          <w:tcPr>
            <w:tcW w:w="1851" w:type="dxa"/>
            <w:gridSpan w:val="2"/>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区域污染源□</w:t>
            </w:r>
          </w:p>
        </w:tc>
      </w:tr>
      <w:tr>
        <w:tblPrEx>
          <w:tblCellMar>
            <w:top w:w="0" w:type="dxa"/>
            <w:left w:w="108" w:type="dxa"/>
            <w:bottom w:w="0" w:type="dxa"/>
            <w:right w:w="108" w:type="dxa"/>
          </w:tblCellMar>
        </w:tblPrEx>
        <w:trPr>
          <w:trHeight w:val="454" w:hRule="atLeas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highlight w:val="red"/>
              </w:rPr>
            </w:pPr>
          </w:p>
        </w:tc>
        <w:tc>
          <w:tcPr>
            <w:tcW w:w="934" w:type="dxa"/>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highlight w:val="red"/>
              </w:rPr>
            </w:pPr>
          </w:p>
        </w:tc>
        <w:tc>
          <w:tcPr>
            <w:tcW w:w="2882" w:type="dxa"/>
            <w:gridSpan w:val="3"/>
            <w:tcBorders>
              <w:top w:val="nil"/>
              <w:left w:val="nil"/>
              <w:bottom w:val="nil"/>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本项目非正常排放源□</w:t>
            </w:r>
          </w:p>
        </w:tc>
        <w:tc>
          <w:tcPr>
            <w:tcW w:w="1996" w:type="dxa"/>
            <w:gridSpan w:val="2"/>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highlight w:val="red"/>
              </w:rPr>
            </w:pPr>
          </w:p>
        </w:tc>
        <w:tc>
          <w:tcPr>
            <w:tcW w:w="1129" w:type="dxa"/>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highlight w:val="red"/>
              </w:rPr>
            </w:pPr>
          </w:p>
        </w:tc>
        <w:tc>
          <w:tcPr>
            <w:tcW w:w="1851" w:type="dxa"/>
            <w:gridSpan w:val="2"/>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highlight w:val="red"/>
              </w:rPr>
            </w:pPr>
          </w:p>
        </w:tc>
      </w:tr>
      <w:tr>
        <w:tblPrEx>
          <w:tblCellMar>
            <w:top w:w="0" w:type="dxa"/>
            <w:left w:w="108" w:type="dxa"/>
            <w:bottom w:w="0" w:type="dxa"/>
            <w:right w:w="108" w:type="dxa"/>
          </w:tblCellMar>
        </w:tblPrEx>
        <w:trPr>
          <w:trHeight w:val="454" w:hRule="atLeas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highlight w:val="red"/>
              </w:rPr>
            </w:pPr>
          </w:p>
        </w:tc>
        <w:tc>
          <w:tcPr>
            <w:tcW w:w="934" w:type="dxa"/>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highlight w:val="red"/>
              </w:rPr>
            </w:pPr>
          </w:p>
        </w:tc>
        <w:tc>
          <w:tcPr>
            <w:tcW w:w="2882" w:type="dxa"/>
            <w:gridSpan w:val="3"/>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现有污染源□</w:t>
            </w:r>
          </w:p>
        </w:tc>
        <w:tc>
          <w:tcPr>
            <w:tcW w:w="1996" w:type="dxa"/>
            <w:gridSpan w:val="2"/>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highlight w:val="red"/>
              </w:rPr>
            </w:pPr>
          </w:p>
        </w:tc>
        <w:tc>
          <w:tcPr>
            <w:tcW w:w="1129" w:type="dxa"/>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highlight w:val="red"/>
              </w:rPr>
            </w:pPr>
          </w:p>
        </w:tc>
        <w:tc>
          <w:tcPr>
            <w:tcW w:w="1851" w:type="dxa"/>
            <w:gridSpan w:val="2"/>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highlight w:val="red"/>
              </w:rPr>
            </w:pPr>
          </w:p>
        </w:tc>
      </w:tr>
      <w:tr>
        <w:tblPrEx>
          <w:tblCellMar>
            <w:top w:w="0" w:type="dxa"/>
            <w:left w:w="108" w:type="dxa"/>
            <w:bottom w:w="0" w:type="dxa"/>
            <w:right w:w="108" w:type="dxa"/>
          </w:tblCellMar>
        </w:tblPrEx>
        <w:trPr>
          <w:trHeight w:val="454" w:hRule="exact"/>
        </w:trPr>
        <w:tc>
          <w:tcPr>
            <w:tcW w:w="305" w:type="dxa"/>
            <w:vMerge w:val="restart"/>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大气环境影响预测与评价</w:t>
            </w:r>
          </w:p>
          <w:p>
            <w:pPr>
              <w:widowControl/>
              <w:textAlignment w:val="bottom"/>
              <w:rPr>
                <w:rFonts w:hint="default" w:ascii="Times New Roman" w:hAnsi="Times New Roman" w:eastAsia="宋体" w:cs="Times New Roman"/>
                <w:szCs w:val="21"/>
              </w:rPr>
            </w:pP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预测模型</w:t>
            </w:r>
          </w:p>
        </w:tc>
        <w:tc>
          <w:tcPr>
            <w:tcW w:w="1202"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AERMOD</w:t>
            </w:r>
            <w:r>
              <w:rPr>
                <w:rStyle w:val="488"/>
                <w:rFonts w:hint="default" w:ascii="Times New Roman" w:hAnsi="Times New Roman" w:eastAsia="宋体" w:cs="Times New Roman"/>
                <w:color w:val="auto"/>
                <w:szCs w:val="21"/>
              </w:rPr>
              <w:t>□</w:t>
            </w:r>
          </w:p>
        </w:tc>
        <w:tc>
          <w:tcPr>
            <w:tcW w:w="799"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ADMS</w:t>
            </w:r>
            <w:r>
              <w:rPr>
                <w:rStyle w:val="488"/>
                <w:rFonts w:hint="default" w:ascii="Times New Roman" w:hAnsi="Times New Roman" w:eastAsia="宋体" w:cs="Times New Roman"/>
                <w:color w:val="auto"/>
                <w:szCs w:val="21"/>
              </w:rPr>
              <w:t>□</w:t>
            </w:r>
          </w:p>
        </w:tc>
        <w:tc>
          <w:tcPr>
            <w:tcW w:w="1454"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AUSTAL2000</w:t>
            </w:r>
            <w:r>
              <w:rPr>
                <w:rStyle w:val="488"/>
                <w:rFonts w:hint="default" w:ascii="Times New Roman" w:hAnsi="Times New Roman" w:eastAsia="宋体" w:cs="Times New Roman"/>
                <w:color w:val="auto"/>
                <w:szCs w:val="21"/>
              </w:rPr>
              <w:t>□</w:t>
            </w:r>
          </w:p>
        </w:tc>
        <w:tc>
          <w:tcPr>
            <w:tcW w:w="1423"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EDMS/AEDT</w:t>
            </w:r>
            <w:r>
              <w:rPr>
                <w:rStyle w:val="488"/>
                <w:rFonts w:hint="default" w:ascii="Times New Roman" w:hAnsi="Times New Roman" w:eastAsia="宋体" w:cs="Times New Roman"/>
                <w:color w:val="auto"/>
                <w:szCs w:val="21"/>
              </w:rPr>
              <w:t>□</w:t>
            </w:r>
          </w:p>
        </w:tc>
        <w:tc>
          <w:tcPr>
            <w:tcW w:w="1129"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CALPUFF</w:t>
            </w:r>
            <w:r>
              <w:rPr>
                <w:rStyle w:val="488"/>
                <w:rFonts w:hint="default" w:ascii="Times New Roman" w:hAnsi="Times New Roman" w:eastAsia="宋体" w:cs="Times New Roman"/>
                <w:color w:val="auto"/>
                <w:szCs w:val="21"/>
              </w:rPr>
              <w:t>□</w:t>
            </w:r>
          </w:p>
        </w:tc>
        <w:tc>
          <w:tcPr>
            <w:tcW w:w="517"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网格模型□</w:t>
            </w:r>
          </w:p>
        </w:tc>
        <w:tc>
          <w:tcPr>
            <w:tcW w:w="13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其他☑</w:t>
            </w: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预测范围</w:t>
            </w:r>
          </w:p>
        </w:tc>
        <w:tc>
          <w:tcPr>
            <w:tcW w:w="3455" w:type="dxa"/>
            <w:gridSpan w:val="4"/>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边长≥</w:t>
            </w:r>
            <w:r>
              <w:rPr>
                <w:rStyle w:val="489"/>
                <w:rFonts w:hint="default" w:ascii="Times New Roman" w:hAnsi="Times New Roman" w:eastAsia="宋体" w:cs="Times New Roman"/>
                <w:color w:val="auto"/>
              </w:rPr>
              <w:t>50km</w:t>
            </w:r>
            <w:r>
              <w:rPr>
                <w:rStyle w:val="488"/>
                <w:rFonts w:hint="default" w:ascii="Times New Roman" w:hAnsi="Times New Roman" w:eastAsia="宋体" w:cs="Times New Roman"/>
                <w:color w:val="auto"/>
                <w:szCs w:val="21"/>
              </w:rPr>
              <w:t>□</w:t>
            </w:r>
          </w:p>
        </w:tc>
        <w:tc>
          <w:tcPr>
            <w:tcW w:w="2552"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边长</w:t>
            </w:r>
            <w:r>
              <w:rPr>
                <w:rStyle w:val="489"/>
                <w:rFonts w:hint="default" w:ascii="Times New Roman" w:hAnsi="Times New Roman" w:eastAsia="宋体" w:cs="Times New Roman"/>
                <w:color w:val="auto"/>
              </w:rPr>
              <w:t>5~50km</w:t>
            </w:r>
            <w:r>
              <w:rPr>
                <w:rStyle w:val="488"/>
                <w:rFonts w:hint="default" w:ascii="Times New Roman" w:hAnsi="Times New Roman" w:eastAsia="宋体" w:cs="Times New Roman"/>
                <w:color w:val="auto"/>
                <w:szCs w:val="21"/>
              </w:rPr>
              <w:t>□</w:t>
            </w:r>
          </w:p>
        </w:tc>
        <w:tc>
          <w:tcPr>
            <w:tcW w:w="1851"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边长</w:t>
            </w:r>
            <w:r>
              <w:rPr>
                <w:rStyle w:val="489"/>
                <w:rFonts w:hint="default" w:ascii="Times New Roman" w:hAnsi="Times New Roman" w:eastAsia="宋体" w:cs="Times New Roman"/>
                <w:color w:val="auto"/>
              </w:rPr>
              <w:t>=5km</w:t>
            </w:r>
            <w:r>
              <w:rPr>
                <w:rStyle w:val="488"/>
                <w:rFonts w:hint="default" w:ascii="Times New Roman" w:hAnsi="Times New Roman" w:eastAsia="宋体" w:cs="Times New Roman"/>
                <w:color w:val="auto"/>
                <w:szCs w:val="21"/>
              </w:rPr>
              <w:t>□</w:t>
            </w: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934" w:type="dxa"/>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预测因子</w:t>
            </w:r>
          </w:p>
        </w:tc>
        <w:tc>
          <w:tcPr>
            <w:tcW w:w="4878" w:type="dxa"/>
            <w:gridSpan w:val="5"/>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预测因子（）</w:t>
            </w:r>
          </w:p>
        </w:tc>
        <w:tc>
          <w:tcPr>
            <w:tcW w:w="2980" w:type="dxa"/>
            <w:gridSpan w:val="3"/>
            <w:tcBorders>
              <w:top w:val="nil"/>
              <w:left w:val="nil"/>
              <w:bottom w:val="nil"/>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包括二次</w:t>
            </w:r>
            <w:r>
              <w:rPr>
                <w:rStyle w:val="489"/>
                <w:rFonts w:hint="default" w:ascii="Times New Roman" w:hAnsi="Times New Roman" w:eastAsia="宋体" w:cs="Times New Roman"/>
                <w:color w:val="auto"/>
              </w:rPr>
              <w:t>PM</w:t>
            </w:r>
            <w:r>
              <w:rPr>
                <w:rFonts w:hint="default" w:ascii="Times New Roman" w:hAnsi="Times New Roman" w:eastAsia="宋体" w:cs="Times New Roman"/>
                <w:sz w:val="22"/>
                <w:szCs w:val="21"/>
                <w:vertAlign w:val="subscript"/>
              </w:rPr>
              <w:t>2.5</w:t>
            </w:r>
            <w:r>
              <w:rPr>
                <w:rStyle w:val="488"/>
                <w:rFonts w:hint="default" w:ascii="Times New Roman" w:hAnsi="Times New Roman" w:eastAsia="宋体" w:cs="Times New Roman"/>
                <w:color w:val="auto"/>
                <w:szCs w:val="21"/>
              </w:rPr>
              <w:t>□</w:t>
            </w:r>
          </w:p>
        </w:tc>
      </w:tr>
      <w:tr>
        <w:tblPrEx>
          <w:tblCellMar>
            <w:top w:w="0" w:type="dxa"/>
            <w:left w:w="108" w:type="dxa"/>
            <w:bottom w:w="0" w:type="dxa"/>
            <w:right w:w="108" w:type="dxa"/>
          </w:tblCellMar>
        </w:tblPrEx>
        <w:trPr>
          <w:trHeight w:val="454" w:hRule="atLeas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934" w:type="dxa"/>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4878" w:type="dxa"/>
            <w:gridSpan w:val="5"/>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2980" w:type="dxa"/>
            <w:gridSpan w:val="3"/>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不包括二次</w:t>
            </w:r>
            <w:r>
              <w:rPr>
                <w:rStyle w:val="489"/>
                <w:rFonts w:hint="default" w:ascii="Times New Roman" w:hAnsi="Times New Roman" w:eastAsia="宋体" w:cs="Times New Roman"/>
                <w:color w:val="auto"/>
              </w:rPr>
              <w:t>PM</w:t>
            </w:r>
            <w:r>
              <w:rPr>
                <w:rFonts w:hint="default" w:ascii="Times New Roman" w:hAnsi="Times New Roman" w:eastAsia="宋体" w:cs="Times New Roman"/>
                <w:sz w:val="22"/>
                <w:szCs w:val="21"/>
                <w:vertAlign w:val="subscript"/>
              </w:rPr>
              <w:t>2.5</w:t>
            </w:r>
            <w:r>
              <w:rPr>
                <w:rStyle w:val="488"/>
                <w:rFonts w:hint="default" w:ascii="Times New Roman" w:hAnsi="Times New Roman" w:eastAsia="宋体" w:cs="Times New Roman"/>
                <w:color w:val="auto"/>
                <w:szCs w:val="21"/>
              </w:rPr>
              <w:t>□</w:t>
            </w: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正常排放短期浓度贡献值</w:t>
            </w:r>
          </w:p>
        </w:tc>
        <w:tc>
          <w:tcPr>
            <w:tcW w:w="4878" w:type="dxa"/>
            <w:gridSpan w:val="5"/>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C</w:t>
            </w:r>
            <w:r>
              <w:rPr>
                <w:rStyle w:val="488"/>
                <w:rFonts w:hint="default" w:ascii="Times New Roman" w:hAnsi="Times New Roman" w:eastAsia="宋体" w:cs="Times New Roman"/>
                <w:color w:val="auto"/>
                <w:szCs w:val="21"/>
              </w:rPr>
              <w:t>本项目最大占标率≤</w:t>
            </w:r>
            <w:r>
              <w:rPr>
                <w:rStyle w:val="489"/>
                <w:rFonts w:hint="default" w:ascii="Times New Roman" w:hAnsi="Times New Roman" w:eastAsia="宋体" w:cs="Times New Roman"/>
                <w:color w:val="auto"/>
              </w:rPr>
              <w:t>100%</w:t>
            </w:r>
            <w:r>
              <w:rPr>
                <w:rStyle w:val="488"/>
                <w:rFonts w:hint="default" w:ascii="Times New Roman" w:hAnsi="Times New Roman" w:eastAsia="宋体" w:cs="Times New Roman"/>
                <w:color w:val="auto"/>
                <w:szCs w:val="21"/>
              </w:rPr>
              <w:t>□</w:t>
            </w:r>
          </w:p>
        </w:tc>
        <w:tc>
          <w:tcPr>
            <w:tcW w:w="2980" w:type="dxa"/>
            <w:gridSpan w:val="3"/>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C</w:t>
            </w:r>
            <w:r>
              <w:rPr>
                <w:rStyle w:val="488"/>
                <w:rFonts w:hint="default" w:ascii="Times New Roman" w:hAnsi="Times New Roman" w:eastAsia="宋体" w:cs="Times New Roman"/>
                <w:color w:val="auto"/>
                <w:szCs w:val="21"/>
              </w:rPr>
              <w:t>本项目最大占标率</w:t>
            </w:r>
            <w:r>
              <w:rPr>
                <w:rStyle w:val="489"/>
                <w:rFonts w:hint="default" w:ascii="Times New Roman" w:hAnsi="Times New Roman" w:eastAsia="宋体" w:cs="Times New Roman"/>
                <w:color w:val="auto"/>
              </w:rPr>
              <w:t>&gt;100%</w:t>
            </w:r>
            <w:r>
              <w:rPr>
                <w:rStyle w:val="488"/>
                <w:rFonts w:hint="default" w:ascii="Times New Roman" w:hAnsi="Times New Roman" w:eastAsia="宋体" w:cs="Times New Roman"/>
                <w:color w:val="auto"/>
                <w:szCs w:val="21"/>
              </w:rPr>
              <w:t>□</w:t>
            </w: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934" w:type="dxa"/>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spacing w:line="240" w:lineRule="atLeast"/>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正常排放年均浓度贡献值</w:t>
            </w:r>
          </w:p>
        </w:tc>
        <w:tc>
          <w:tcPr>
            <w:tcW w:w="2001"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一类区</w:t>
            </w:r>
          </w:p>
        </w:tc>
        <w:tc>
          <w:tcPr>
            <w:tcW w:w="2877" w:type="dxa"/>
            <w:gridSpan w:val="3"/>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C</w:t>
            </w:r>
            <w:r>
              <w:rPr>
                <w:rStyle w:val="491"/>
                <w:rFonts w:hint="default" w:ascii="Times New Roman" w:hAnsi="Times New Roman" w:eastAsia="宋体" w:cs="Times New Roman"/>
                <w:color w:val="auto"/>
                <w:szCs w:val="21"/>
              </w:rPr>
              <w:t>本项目</w:t>
            </w:r>
            <w:r>
              <w:rPr>
                <w:rStyle w:val="488"/>
                <w:rFonts w:hint="default" w:ascii="Times New Roman" w:hAnsi="Times New Roman" w:eastAsia="宋体" w:cs="Times New Roman"/>
                <w:color w:val="auto"/>
                <w:szCs w:val="21"/>
              </w:rPr>
              <w:t>最大占标率≤</w:t>
            </w:r>
            <w:r>
              <w:rPr>
                <w:rStyle w:val="489"/>
                <w:rFonts w:hint="default" w:ascii="Times New Roman" w:hAnsi="Times New Roman" w:eastAsia="宋体" w:cs="Times New Roman"/>
                <w:color w:val="auto"/>
              </w:rPr>
              <w:t>10%</w:t>
            </w:r>
            <w:r>
              <w:rPr>
                <w:rStyle w:val="488"/>
                <w:rFonts w:hint="default" w:ascii="Times New Roman" w:hAnsi="Times New Roman" w:eastAsia="宋体" w:cs="Times New Roman"/>
                <w:color w:val="auto"/>
                <w:szCs w:val="21"/>
              </w:rPr>
              <w:t>□</w:t>
            </w:r>
          </w:p>
        </w:tc>
        <w:tc>
          <w:tcPr>
            <w:tcW w:w="2980" w:type="dxa"/>
            <w:gridSpan w:val="3"/>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C</w:t>
            </w:r>
            <w:r>
              <w:rPr>
                <w:rStyle w:val="491"/>
                <w:rFonts w:hint="default" w:ascii="Times New Roman" w:hAnsi="Times New Roman" w:eastAsia="宋体" w:cs="Times New Roman"/>
                <w:color w:val="auto"/>
                <w:szCs w:val="21"/>
              </w:rPr>
              <w:t>本项目</w:t>
            </w:r>
            <w:r>
              <w:rPr>
                <w:rStyle w:val="488"/>
                <w:rFonts w:hint="default" w:ascii="Times New Roman" w:hAnsi="Times New Roman" w:eastAsia="宋体" w:cs="Times New Roman"/>
                <w:color w:val="auto"/>
                <w:szCs w:val="21"/>
              </w:rPr>
              <w:t>最大占标率</w:t>
            </w:r>
            <w:r>
              <w:rPr>
                <w:rStyle w:val="489"/>
                <w:rFonts w:hint="default" w:ascii="Times New Roman" w:hAnsi="Times New Roman" w:eastAsia="宋体" w:cs="Times New Roman"/>
                <w:color w:val="auto"/>
              </w:rPr>
              <w:t>&gt;10%</w:t>
            </w:r>
            <w:r>
              <w:rPr>
                <w:rStyle w:val="488"/>
                <w:rFonts w:hint="default" w:ascii="Times New Roman" w:hAnsi="Times New Roman" w:eastAsia="宋体" w:cs="Times New Roman"/>
                <w:color w:val="auto"/>
                <w:szCs w:val="21"/>
              </w:rPr>
              <w:t>□</w:t>
            </w: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934" w:type="dxa"/>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2001"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二类区</w:t>
            </w:r>
          </w:p>
        </w:tc>
        <w:tc>
          <w:tcPr>
            <w:tcW w:w="2877" w:type="dxa"/>
            <w:gridSpan w:val="3"/>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C</w:t>
            </w:r>
            <w:r>
              <w:rPr>
                <w:rStyle w:val="491"/>
                <w:rFonts w:hint="default" w:ascii="Times New Roman" w:hAnsi="Times New Roman" w:eastAsia="宋体" w:cs="Times New Roman"/>
                <w:color w:val="auto"/>
                <w:szCs w:val="21"/>
              </w:rPr>
              <w:t>本项目</w:t>
            </w:r>
            <w:r>
              <w:rPr>
                <w:rStyle w:val="488"/>
                <w:rFonts w:hint="default" w:ascii="Times New Roman" w:hAnsi="Times New Roman" w:eastAsia="宋体" w:cs="Times New Roman"/>
                <w:color w:val="auto"/>
                <w:szCs w:val="21"/>
              </w:rPr>
              <w:t>最大占标率≤</w:t>
            </w:r>
            <w:r>
              <w:rPr>
                <w:rStyle w:val="489"/>
                <w:rFonts w:hint="default" w:ascii="Times New Roman" w:hAnsi="Times New Roman" w:eastAsia="宋体" w:cs="Times New Roman"/>
                <w:color w:val="auto"/>
              </w:rPr>
              <w:t>30%</w:t>
            </w:r>
            <w:r>
              <w:rPr>
                <w:rStyle w:val="488"/>
                <w:rFonts w:hint="default" w:ascii="Times New Roman" w:hAnsi="Times New Roman" w:eastAsia="宋体" w:cs="Times New Roman"/>
                <w:color w:val="auto"/>
                <w:szCs w:val="21"/>
              </w:rPr>
              <w:t>□</w:t>
            </w:r>
          </w:p>
        </w:tc>
        <w:tc>
          <w:tcPr>
            <w:tcW w:w="2980" w:type="dxa"/>
            <w:gridSpan w:val="3"/>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C</w:t>
            </w:r>
            <w:r>
              <w:rPr>
                <w:rStyle w:val="491"/>
                <w:rFonts w:hint="default" w:ascii="Times New Roman" w:hAnsi="Times New Roman" w:eastAsia="宋体" w:cs="Times New Roman"/>
                <w:color w:val="auto"/>
                <w:szCs w:val="21"/>
              </w:rPr>
              <w:t>本项目</w:t>
            </w:r>
            <w:r>
              <w:rPr>
                <w:rStyle w:val="488"/>
                <w:rFonts w:hint="default" w:ascii="Times New Roman" w:hAnsi="Times New Roman" w:eastAsia="宋体" w:cs="Times New Roman"/>
                <w:color w:val="auto"/>
                <w:szCs w:val="21"/>
              </w:rPr>
              <w:t>最大占标率</w:t>
            </w:r>
            <w:r>
              <w:rPr>
                <w:rStyle w:val="489"/>
                <w:rFonts w:hint="default" w:ascii="Times New Roman" w:hAnsi="Times New Roman" w:eastAsia="宋体" w:cs="Times New Roman"/>
                <w:color w:val="auto"/>
              </w:rPr>
              <w:t>&gt;30%</w:t>
            </w:r>
            <w:r>
              <w:rPr>
                <w:rStyle w:val="488"/>
                <w:rFonts w:hint="default" w:ascii="Times New Roman" w:hAnsi="Times New Roman" w:eastAsia="宋体" w:cs="Times New Roman"/>
                <w:color w:val="auto"/>
                <w:szCs w:val="21"/>
              </w:rPr>
              <w:t>□</w:t>
            </w: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highlight w:val="red"/>
              </w:rPr>
            </w:pPr>
          </w:p>
        </w:tc>
        <w:tc>
          <w:tcPr>
            <w:tcW w:w="934" w:type="dxa"/>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非正常</w:t>
            </w:r>
            <w:r>
              <w:rPr>
                <w:rStyle w:val="489"/>
                <w:rFonts w:hint="default" w:ascii="Times New Roman" w:hAnsi="Times New Roman" w:eastAsia="宋体" w:cs="Times New Roman"/>
                <w:color w:val="auto"/>
              </w:rPr>
              <w:t>1h</w:t>
            </w:r>
            <w:r>
              <w:rPr>
                <w:rStyle w:val="488"/>
                <w:rFonts w:hint="default" w:ascii="Times New Roman" w:hAnsi="Times New Roman" w:eastAsia="宋体" w:cs="Times New Roman"/>
                <w:color w:val="auto"/>
                <w:szCs w:val="21"/>
              </w:rPr>
              <w:t>浓度贡献值</w:t>
            </w:r>
          </w:p>
        </w:tc>
        <w:tc>
          <w:tcPr>
            <w:tcW w:w="2882" w:type="dxa"/>
            <w:gridSpan w:val="3"/>
            <w:tcBorders>
              <w:top w:val="nil"/>
              <w:left w:val="nil"/>
              <w:bottom w:val="nil"/>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非正常持续时长</w:t>
            </w:r>
          </w:p>
        </w:tc>
        <w:tc>
          <w:tcPr>
            <w:tcW w:w="3125" w:type="dxa"/>
            <w:gridSpan w:val="3"/>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C</w:t>
            </w:r>
            <w:r>
              <w:rPr>
                <w:rStyle w:val="491"/>
                <w:rFonts w:hint="default" w:ascii="Times New Roman" w:hAnsi="Times New Roman" w:eastAsia="宋体" w:cs="Times New Roman"/>
                <w:color w:val="auto"/>
                <w:szCs w:val="21"/>
              </w:rPr>
              <w:t>非正常</w:t>
            </w:r>
            <w:r>
              <w:rPr>
                <w:rStyle w:val="488"/>
                <w:rFonts w:hint="default" w:ascii="Times New Roman" w:hAnsi="Times New Roman" w:eastAsia="宋体" w:cs="Times New Roman"/>
                <w:color w:val="auto"/>
                <w:szCs w:val="21"/>
              </w:rPr>
              <w:t>占标率≤</w:t>
            </w:r>
            <w:r>
              <w:rPr>
                <w:rStyle w:val="489"/>
                <w:rFonts w:hint="default" w:ascii="Times New Roman" w:hAnsi="Times New Roman" w:eastAsia="宋体" w:cs="Times New Roman"/>
                <w:color w:val="auto"/>
              </w:rPr>
              <w:t>100%</w:t>
            </w:r>
            <w:r>
              <w:rPr>
                <w:rStyle w:val="488"/>
                <w:rFonts w:hint="default" w:ascii="Times New Roman" w:hAnsi="Times New Roman" w:eastAsia="宋体" w:cs="Times New Roman"/>
                <w:color w:val="auto"/>
                <w:szCs w:val="21"/>
              </w:rPr>
              <w:t>□</w:t>
            </w:r>
          </w:p>
        </w:tc>
        <w:tc>
          <w:tcPr>
            <w:tcW w:w="1851" w:type="dxa"/>
            <w:gridSpan w:val="2"/>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C</w:t>
            </w:r>
            <w:r>
              <w:rPr>
                <w:rStyle w:val="491"/>
                <w:rFonts w:hint="default" w:ascii="Times New Roman" w:hAnsi="Times New Roman" w:eastAsia="宋体" w:cs="Times New Roman"/>
                <w:color w:val="auto"/>
                <w:szCs w:val="21"/>
              </w:rPr>
              <w:t>非正常</w:t>
            </w:r>
            <w:r>
              <w:rPr>
                <w:rStyle w:val="488"/>
                <w:rFonts w:hint="default" w:ascii="Times New Roman" w:hAnsi="Times New Roman" w:eastAsia="宋体" w:cs="Times New Roman"/>
                <w:color w:val="auto"/>
                <w:szCs w:val="21"/>
              </w:rPr>
              <w:t>占标率</w:t>
            </w:r>
            <w:r>
              <w:rPr>
                <w:rStyle w:val="489"/>
                <w:rFonts w:hint="default" w:ascii="Times New Roman" w:hAnsi="Times New Roman" w:eastAsia="宋体" w:cs="Times New Roman"/>
                <w:color w:val="auto"/>
              </w:rPr>
              <w:t>&gt;100%</w:t>
            </w:r>
            <w:r>
              <w:rPr>
                <w:rStyle w:val="488"/>
                <w:rFonts w:hint="default" w:ascii="Times New Roman" w:hAnsi="Times New Roman" w:eastAsia="宋体" w:cs="Times New Roman"/>
                <w:color w:val="auto"/>
                <w:szCs w:val="21"/>
              </w:rPr>
              <w:t>□</w:t>
            </w:r>
          </w:p>
        </w:tc>
      </w:tr>
      <w:tr>
        <w:tblPrEx>
          <w:tblCellMar>
            <w:top w:w="0" w:type="dxa"/>
            <w:left w:w="108" w:type="dxa"/>
            <w:bottom w:w="0" w:type="dxa"/>
            <w:right w:w="108" w:type="dxa"/>
          </w:tblCellMar>
        </w:tblPrEx>
        <w:trPr>
          <w:trHeight w:val="454" w:hRule="atLeas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highlight w:val="red"/>
              </w:rPr>
            </w:pPr>
          </w:p>
        </w:tc>
        <w:tc>
          <w:tcPr>
            <w:tcW w:w="934" w:type="dxa"/>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2882" w:type="dxa"/>
            <w:gridSpan w:val="3"/>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w:t>
            </w:r>
            <w:r>
              <w:rPr>
                <w:rStyle w:val="489"/>
                <w:rFonts w:hint="default" w:ascii="Times New Roman" w:hAnsi="Times New Roman" w:eastAsia="宋体" w:cs="Times New Roman"/>
                <w:color w:val="auto"/>
              </w:rPr>
              <w:t>h</w:t>
            </w:r>
          </w:p>
        </w:tc>
        <w:tc>
          <w:tcPr>
            <w:tcW w:w="3125" w:type="dxa"/>
            <w:gridSpan w:val="3"/>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1851" w:type="dxa"/>
            <w:gridSpan w:val="2"/>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highlight w:val="red"/>
              </w:rPr>
            </w:pP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保证率日平均浓度和年平均浓度叠加值</w:t>
            </w:r>
          </w:p>
        </w:tc>
        <w:tc>
          <w:tcPr>
            <w:tcW w:w="4878" w:type="dxa"/>
            <w:gridSpan w:val="5"/>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C</w:t>
            </w:r>
            <w:r>
              <w:rPr>
                <w:rStyle w:val="488"/>
                <w:rFonts w:hint="default" w:ascii="Times New Roman" w:hAnsi="Times New Roman" w:eastAsia="宋体" w:cs="Times New Roman"/>
                <w:color w:val="auto"/>
                <w:szCs w:val="21"/>
              </w:rPr>
              <w:t>叠加达标□</w:t>
            </w:r>
          </w:p>
        </w:tc>
        <w:tc>
          <w:tcPr>
            <w:tcW w:w="2980" w:type="dxa"/>
            <w:gridSpan w:val="3"/>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C</w:t>
            </w:r>
            <w:r>
              <w:rPr>
                <w:rStyle w:val="488"/>
                <w:rFonts w:hint="default" w:ascii="Times New Roman" w:hAnsi="Times New Roman" w:eastAsia="宋体" w:cs="Times New Roman"/>
                <w:color w:val="auto"/>
                <w:szCs w:val="21"/>
              </w:rPr>
              <w:t>叠加不达标□</w:t>
            </w: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highlight w:val="red"/>
              </w:rPr>
            </w:pP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区域环境质量的整体变化情况</w:t>
            </w:r>
          </w:p>
        </w:tc>
        <w:tc>
          <w:tcPr>
            <w:tcW w:w="4878" w:type="dxa"/>
            <w:gridSpan w:val="5"/>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k</w:t>
            </w:r>
            <w:r>
              <w:rPr>
                <w:rStyle w:val="488"/>
                <w:rFonts w:hint="default" w:ascii="Times New Roman" w:hAnsi="Times New Roman" w:eastAsia="宋体" w:cs="Times New Roman"/>
                <w:color w:val="auto"/>
                <w:szCs w:val="21"/>
              </w:rPr>
              <w:t>≤</w:t>
            </w:r>
            <w:r>
              <w:rPr>
                <w:rStyle w:val="489"/>
                <w:rFonts w:hint="default" w:ascii="Times New Roman" w:hAnsi="Times New Roman" w:eastAsia="宋体" w:cs="Times New Roman"/>
                <w:color w:val="auto"/>
              </w:rPr>
              <w:t>-20%</w:t>
            </w:r>
            <w:r>
              <w:rPr>
                <w:rStyle w:val="488"/>
                <w:rFonts w:hint="default" w:ascii="Times New Roman" w:hAnsi="Times New Roman" w:eastAsia="宋体" w:cs="Times New Roman"/>
                <w:color w:val="auto"/>
                <w:szCs w:val="21"/>
              </w:rPr>
              <w:t>□</w:t>
            </w:r>
          </w:p>
        </w:tc>
        <w:tc>
          <w:tcPr>
            <w:tcW w:w="2980" w:type="dxa"/>
            <w:gridSpan w:val="3"/>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9"/>
                <w:rFonts w:hint="default" w:ascii="Times New Roman" w:hAnsi="Times New Roman" w:eastAsia="宋体" w:cs="Times New Roman"/>
                <w:color w:val="auto"/>
              </w:rPr>
              <w:t>k&gt;-20%</w:t>
            </w:r>
            <w:r>
              <w:rPr>
                <w:rStyle w:val="488"/>
                <w:rFonts w:hint="default" w:ascii="Times New Roman" w:hAnsi="Times New Roman" w:eastAsia="宋体" w:cs="Times New Roman"/>
                <w:color w:val="auto"/>
                <w:szCs w:val="21"/>
              </w:rPr>
              <w:t>□</w:t>
            </w:r>
          </w:p>
        </w:tc>
      </w:tr>
      <w:tr>
        <w:tblPrEx>
          <w:tblCellMar>
            <w:top w:w="0" w:type="dxa"/>
            <w:left w:w="108" w:type="dxa"/>
            <w:bottom w:w="0" w:type="dxa"/>
            <w:right w:w="108" w:type="dxa"/>
          </w:tblCellMar>
        </w:tblPrEx>
        <w:trPr>
          <w:trHeight w:val="454" w:hRule="atLeast"/>
        </w:trPr>
        <w:tc>
          <w:tcPr>
            <w:tcW w:w="305" w:type="dxa"/>
            <w:vMerge w:val="restart"/>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环境监测计划</w:t>
            </w:r>
          </w:p>
        </w:tc>
        <w:tc>
          <w:tcPr>
            <w:tcW w:w="934" w:type="dxa"/>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rPr>
              <w:t>污染源</w:t>
            </w:r>
          </w:p>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监测</w:t>
            </w:r>
          </w:p>
        </w:tc>
        <w:tc>
          <w:tcPr>
            <w:tcW w:w="3455" w:type="dxa"/>
            <w:gridSpan w:val="4"/>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监测因子：（颗粒物</w:t>
            </w:r>
            <w:r>
              <w:rPr>
                <w:rFonts w:hint="default" w:ascii="Times New Roman" w:hAnsi="Times New Roman" w:eastAsia="宋体" w:cs="Times New Roman"/>
                <w:szCs w:val="21"/>
              </w:rPr>
              <w:t>）</w:t>
            </w:r>
          </w:p>
        </w:tc>
        <w:tc>
          <w:tcPr>
            <w:tcW w:w="2552" w:type="dxa"/>
            <w:gridSpan w:val="2"/>
            <w:tcBorders>
              <w:top w:val="nil"/>
              <w:left w:val="nil"/>
              <w:bottom w:val="nil"/>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有组织废气监测</w:t>
            </w:r>
            <w:r>
              <w:rPr>
                <w:rFonts w:hint="default" w:ascii="Times New Roman" w:hAnsi="Times New Roman" w:eastAsia="宋体" w:cs="Times New Roman"/>
                <w:kern w:val="0"/>
                <w:szCs w:val="21"/>
              </w:rPr>
              <w:t>☑</w:t>
            </w:r>
          </w:p>
        </w:tc>
        <w:tc>
          <w:tcPr>
            <w:tcW w:w="1851" w:type="dxa"/>
            <w:gridSpan w:val="2"/>
            <w:vMerge w:val="restart"/>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无监测□</w:t>
            </w:r>
          </w:p>
        </w:tc>
      </w:tr>
      <w:tr>
        <w:tblPrEx>
          <w:tblCellMar>
            <w:top w:w="0" w:type="dxa"/>
            <w:left w:w="108" w:type="dxa"/>
            <w:bottom w:w="0" w:type="dxa"/>
            <w:right w:w="108" w:type="dxa"/>
          </w:tblCellMar>
        </w:tblPrEx>
        <w:trPr>
          <w:trHeight w:val="454" w:hRule="atLeas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934" w:type="dxa"/>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3455" w:type="dxa"/>
            <w:gridSpan w:val="4"/>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2552"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无组织废气监测</w:t>
            </w:r>
            <w:r>
              <w:rPr>
                <w:rFonts w:hint="default" w:ascii="Times New Roman" w:hAnsi="Times New Roman" w:eastAsia="宋体" w:cs="Times New Roman"/>
                <w:kern w:val="0"/>
                <w:szCs w:val="21"/>
              </w:rPr>
              <w:t>☑</w:t>
            </w:r>
          </w:p>
        </w:tc>
        <w:tc>
          <w:tcPr>
            <w:tcW w:w="1851" w:type="dxa"/>
            <w:gridSpan w:val="2"/>
            <w:vMerge w:val="continue"/>
            <w:tcBorders>
              <w:top w:val="nil"/>
              <w:left w:val="nil"/>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环境质量监测</w:t>
            </w:r>
          </w:p>
        </w:tc>
        <w:tc>
          <w:tcPr>
            <w:tcW w:w="3455" w:type="dxa"/>
            <w:gridSpan w:val="4"/>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监测因子：（）</w:t>
            </w:r>
          </w:p>
        </w:tc>
        <w:tc>
          <w:tcPr>
            <w:tcW w:w="2552"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监测点位数（）</w:t>
            </w:r>
          </w:p>
        </w:tc>
        <w:tc>
          <w:tcPr>
            <w:tcW w:w="1851" w:type="dxa"/>
            <w:gridSpan w:val="2"/>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无监测☑</w:t>
            </w:r>
            <w:r>
              <w:rPr>
                <w:rStyle w:val="490"/>
                <w:rFonts w:hint="default" w:ascii="Times New Roman" w:hAnsi="Times New Roman" w:eastAsia="宋体" w:cs="Times New Roman"/>
                <w:color w:val="auto"/>
                <w:szCs w:val="21"/>
              </w:rPr>
              <w:t></w:t>
            </w:r>
          </w:p>
        </w:tc>
      </w:tr>
      <w:tr>
        <w:tblPrEx>
          <w:tblCellMar>
            <w:top w:w="0" w:type="dxa"/>
            <w:left w:w="108" w:type="dxa"/>
            <w:bottom w:w="0" w:type="dxa"/>
            <w:right w:w="108" w:type="dxa"/>
          </w:tblCellMar>
        </w:tblPrEx>
        <w:trPr>
          <w:trHeight w:val="454" w:hRule="exact"/>
        </w:trPr>
        <w:tc>
          <w:tcPr>
            <w:tcW w:w="305" w:type="dxa"/>
            <w:vMerge w:val="restart"/>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评价结论</w:t>
            </w: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环境影响</w:t>
            </w:r>
          </w:p>
        </w:tc>
        <w:tc>
          <w:tcPr>
            <w:tcW w:w="7858" w:type="dxa"/>
            <w:gridSpan w:val="8"/>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可以接受</w:t>
            </w:r>
            <w:r>
              <w:rPr>
                <w:rFonts w:hint="default" w:ascii="Times New Roman" w:hAnsi="Times New Roman" w:eastAsia="宋体" w:cs="Times New Roman"/>
                <w:kern w:val="0"/>
                <w:szCs w:val="21"/>
              </w:rPr>
              <w:t>☑</w:t>
            </w:r>
            <w:r>
              <w:rPr>
                <w:rStyle w:val="490"/>
                <w:rFonts w:hint="default" w:ascii="Times New Roman" w:hAnsi="Times New Roman" w:eastAsia="宋体" w:cs="Times New Roman"/>
                <w:color w:val="auto"/>
                <w:szCs w:val="21"/>
              </w:rPr>
              <w:t></w:t>
            </w:r>
            <w:r>
              <w:rPr>
                <w:rStyle w:val="488"/>
                <w:rFonts w:hint="default" w:ascii="Times New Roman" w:hAnsi="Times New Roman" w:eastAsia="宋体" w:cs="Times New Roman"/>
                <w:color w:val="auto"/>
                <w:szCs w:val="21"/>
              </w:rPr>
              <w:t>不可以接受□</w:t>
            </w: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大气环境防护距离</w:t>
            </w:r>
          </w:p>
        </w:tc>
        <w:tc>
          <w:tcPr>
            <w:tcW w:w="7858" w:type="dxa"/>
            <w:gridSpan w:val="8"/>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距（</w:t>
            </w:r>
            <w:r>
              <w:rPr>
                <w:rStyle w:val="489"/>
                <w:rFonts w:hint="default" w:ascii="Times New Roman" w:hAnsi="Times New Roman" w:eastAsia="宋体" w:cs="Times New Roman"/>
                <w:color w:val="auto"/>
              </w:rPr>
              <w:t xml:space="preserve">    )</w:t>
            </w:r>
            <w:r>
              <w:rPr>
                <w:rStyle w:val="488"/>
                <w:rFonts w:hint="default" w:ascii="Times New Roman" w:hAnsi="Times New Roman" w:eastAsia="宋体" w:cs="Times New Roman"/>
                <w:color w:val="auto"/>
                <w:szCs w:val="21"/>
              </w:rPr>
              <w:t>厂界最远（）</w:t>
            </w:r>
            <w:r>
              <w:rPr>
                <w:rStyle w:val="489"/>
                <w:rFonts w:hint="default" w:ascii="Times New Roman" w:hAnsi="Times New Roman" w:eastAsia="宋体" w:cs="Times New Roman"/>
                <w:color w:val="auto"/>
              </w:rPr>
              <w:t>m</w:t>
            </w:r>
          </w:p>
        </w:tc>
      </w:tr>
      <w:tr>
        <w:tblPrEx>
          <w:tblCellMar>
            <w:top w:w="0" w:type="dxa"/>
            <w:left w:w="108" w:type="dxa"/>
            <w:bottom w:w="0" w:type="dxa"/>
            <w:right w:w="108" w:type="dxa"/>
          </w:tblCellMar>
        </w:tblPrEx>
        <w:trPr>
          <w:trHeight w:val="454" w:hRule="exact"/>
        </w:trPr>
        <w:tc>
          <w:tcPr>
            <w:tcW w:w="305" w:type="dxa"/>
            <w:vMerge w:val="continue"/>
            <w:tcBorders>
              <w:top w:val="nil"/>
              <w:left w:val="single" w:color="000000" w:sz="12" w:space="0"/>
              <w:bottom w:val="single" w:color="000000" w:sz="12" w:space="0"/>
              <w:right w:val="single" w:color="000000" w:sz="12" w:space="0"/>
            </w:tcBorders>
            <w:vAlign w:val="center"/>
          </w:tcPr>
          <w:p>
            <w:pPr>
              <w:widowControl/>
              <w:jc w:val="left"/>
              <w:rPr>
                <w:rFonts w:hint="default" w:ascii="Times New Roman" w:hAnsi="Times New Roman" w:eastAsia="宋体" w:cs="Times New Roman"/>
                <w:szCs w:val="21"/>
              </w:rPr>
            </w:pPr>
          </w:p>
        </w:tc>
        <w:tc>
          <w:tcPr>
            <w:tcW w:w="934" w:type="dxa"/>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污染源年排放量</w:t>
            </w:r>
          </w:p>
        </w:tc>
        <w:tc>
          <w:tcPr>
            <w:tcW w:w="7858" w:type="dxa"/>
            <w:gridSpan w:val="8"/>
            <w:tcBorders>
              <w:top w:val="nil"/>
              <w:left w:val="nil"/>
              <w:bottom w:val="single" w:color="000000" w:sz="12" w:space="0"/>
              <w:right w:val="single" w:color="000000" w:sz="12" w:space="0"/>
            </w:tcBorders>
            <w:tcMar>
              <w:top w:w="15" w:type="dxa"/>
              <w:left w:w="15" w:type="dxa"/>
              <w:bottom w:w="15" w:type="dxa"/>
              <w:right w:w="15" w:type="dxa"/>
            </w:tcMar>
            <w:vAlign w:val="center"/>
          </w:tcPr>
          <w:p>
            <w:pPr>
              <w:widowControl/>
              <w:textAlignment w:val="center"/>
              <w:rPr>
                <w:rFonts w:hint="default" w:ascii="Times New Roman" w:hAnsi="Times New Roman" w:eastAsia="宋体" w:cs="Times New Roman"/>
              </w:rPr>
            </w:pPr>
            <w:r>
              <w:rPr>
                <w:rFonts w:hint="default" w:ascii="Times New Roman" w:hAnsi="Times New Roman" w:eastAsia="宋体" w:cs="Times New Roman"/>
                <w:kern w:val="0"/>
                <w:szCs w:val="21"/>
              </w:rPr>
              <w:t>颗粒物：2.</w:t>
            </w:r>
            <w:r>
              <w:rPr>
                <w:rFonts w:hint="default" w:ascii="Times New Roman" w:hAnsi="Times New Roman" w:eastAsia="宋体" w:cs="Times New Roman"/>
                <w:kern w:val="0"/>
                <w:szCs w:val="21"/>
                <w:lang w:val="en-US" w:eastAsia="zh-CN"/>
              </w:rPr>
              <w:t>38</w:t>
            </w:r>
            <w:r>
              <w:rPr>
                <w:rFonts w:hint="default" w:ascii="Times New Roman" w:hAnsi="Times New Roman" w:eastAsia="宋体" w:cs="Times New Roman"/>
                <w:kern w:val="0"/>
                <w:szCs w:val="21"/>
              </w:rPr>
              <w:t>t/a</w:t>
            </w:r>
          </w:p>
        </w:tc>
      </w:tr>
      <w:tr>
        <w:tblPrEx>
          <w:tblCellMar>
            <w:top w:w="0" w:type="dxa"/>
            <w:left w:w="108" w:type="dxa"/>
            <w:bottom w:w="0" w:type="dxa"/>
            <w:right w:w="108" w:type="dxa"/>
          </w:tblCellMar>
        </w:tblPrEx>
        <w:trPr>
          <w:trHeight w:val="454" w:hRule="atLeast"/>
        </w:trPr>
        <w:tc>
          <w:tcPr>
            <w:tcW w:w="9097" w:type="dxa"/>
            <w:gridSpan w:val="10"/>
            <w:tcBorders>
              <w:top w:val="nil"/>
              <w:left w:val="single" w:color="000000" w:sz="12" w:space="0"/>
              <w:bottom w:val="single" w:color="000000" w:sz="12" w:space="0"/>
              <w:right w:val="single" w:color="000000" w:sz="12" w:space="0"/>
            </w:tcBorders>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Cs w:val="21"/>
              </w:rPr>
              <w:t>注：</w:t>
            </w:r>
            <w:r>
              <w:rPr>
                <w:rStyle w:val="489"/>
                <w:rFonts w:hint="default" w:ascii="Times New Roman" w:hAnsi="Times New Roman" w:eastAsia="宋体" w:cs="Times New Roman"/>
                <w:color w:val="auto"/>
              </w:rPr>
              <w:t>“</w:t>
            </w:r>
            <w:r>
              <w:rPr>
                <w:rStyle w:val="488"/>
                <w:rFonts w:hint="default" w:ascii="Times New Roman" w:hAnsi="Times New Roman" w:eastAsia="宋体" w:cs="Times New Roman"/>
                <w:color w:val="auto"/>
                <w:szCs w:val="21"/>
              </w:rPr>
              <w:t>□</w:t>
            </w:r>
            <w:r>
              <w:rPr>
                <w:rStyle w:val="489"/>
                <w:rFonts w:hint="default" w:ascii="Times New Roman" w:hAnsi="Times New Roman" w:eastAsia="宋体" w:cs="Times New Roman"/>
                <w:color w:val="auto"/>
              </w:rPr>
              <w:t>”</w:t>
            </w:r>
            <w:r>
              <w:rPr>
                <w:rStyle w:val="488"/>
                <w:rFonts w:hint="default" w:ascii="Times New Roman" w:hAnsi="Times New Roman" w:eastAsia="宋体" w:cs="Times New Roman"/>
                <w:color w:val="auto"/>
                <w:szCs w:val="21"/>
              </w:rPr>
              <w:t>，填</w:t>
            </w:r>
            <w:r>
              <w:rPr>
                <w:rStyle w:val="489"/>
                <w:rFonts w:hint="default" w:ascii="Times New Roman" w:hAnsi="Times New Roman" w:eastAsia="宋体" w:cs="Times New Roman"/>
                <w:color w:val="auto"/>
              </w:rPr>
              <w:t>“</w:t>
            </w:r>
            <w:r>
              <w:rPr>
                <w:rStyle w:val="488"/>
                <w:rFonts w:hint="default" w:ascii="Times New Roman" w:hAnsi="Times New Roman" w:eastAsia="宋体" w:cs="Times New Roman"/>
                <w:color w:val="auto"/>
                <w:szCs w:val="21"/>
              </w:rPr>
              <w:t>√</w:t>
            </w:r>
            <w:r>
              <w:rPr>
                <w:rStyle w:val="489"/>
                <w:rFonts w:hint="default" w:ascii="Times New Roman" w:hAnsi="Times New Roman" w:eastAsia="宋体" w:cs="Times New Roman"/>
                <w:color w:val="auto"/>
              </w:rPr>
              <w:t>”</w:t>
            </w:r>
            <w:r>
              <w:rPr>
                <w:rStyle w:val="488"/>
                <w:rFonts w:hint="default" w:ascii="Times New Roman" w:hAnsi="Times New Roman" w:eastAsia="宋体" w:cs="Times New Roman"/>
                <w:color w:val="auto"/>
                <w:szCs w:val="21"/>
              </w:rPr>
              <w:t>；</w:t>
            </w:r>
            <w:r>
              <w:rPr>
                <w:rStyle w:val="489"/>
                <w:rFonts w:hint="default" w:ascii="Times New Roman" w:hAnsi="Times New Roman" w:eastAsia="宋体" w:cs="Times New Roman"/>
                <w:color w:val="auto"/>
              </w:rPr>
              <w:t>“</w:t>
            </w:r>
            <w:r>
              <w:rPr>
                <w:rStyle w:val="488"/>
                <w:rFonts w:hint="default" w:ascii="Times New Roman" w:hAnsi="Times New Roman" w:eastAsia="宋体" w:cs="Times New Roman"/>
                <w:color w:val="auto"/>
                <w:szCs w:val="21"/>
              </w:rPr>
              <w:t>（）</w:t>
            </w:r>
            <w:r>
              <w:rPr>
                <w:rStyle w:val="489"/>
                <w:rFonts w:hint="default" w:ascii="Times New Roman" w:hAnsi="Times New Roman" w:eastAsia="宋体" w:cs="Times New Roman"/>
                <w:color w:val="auto"/>
              </w:rPr>
              <w:t>”</w:t>
            </w:r>
            <w:r>
              <w:rPr>
                <w:rStyle w:val="488"/>
                <w:rFonts w:hint="default" w:ascii="Times New Roman" w:hAnsi="Times New Roman" w:eastAsia="宋体" w:cs="Times New Roman"/>
                <w:color w:val="auto"/>
                <w:szCs w:val="21"/>
              </w:rPr>
              <w:t>为内容填写项</w:t>
            </w:r>
          </w:p>
        </w:tc>
      </w:tr>
    </w:tbl>
    <w:p>
      <w:pPr>
        <w:bidi w:val="0"/>
        <w:rPr>
          <w:rFonts w:hint="default" w:ascii="Times New Roman" w:hAnsi="Times New Roman" w:eastAsia="宋体" w:cs="Times New Roman"/>
          <w:color w:val="auto"/>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p>
      <w:pPr>
        <w:pStyle w:val="346"/>
        <w:spacing w:beforeLines="50" w:line="480" w:lineRule="exact"/>
        <w:rPr>
          <w:rFonts w:hint="default" w:ascii="Times New Roman" w:hAnsi="Times New Roman" w:eastAsia="宋体" w:cs="Times New Roman"/>
          <w:color w:val="auto"/>
        </w:rPr>
      </w:pPr>
      <w:bookmarkStart w:id="574" w:name="_Toc27545"/>
      <w:bookmarkStart w:id="575" w:name="_Toc23973"/>
      <w:bookmarkStart w:id="576" w:name="_Toc10553"/>
      <w:bookmarkStart w:id="577" w:name="_Toc5853"/>
      <w:bookmarkStart w:id="578" w:name="_Toc24465"/>
      <w:bookmarkStart w:id="579" w:name="_Toc6470"/>
      <w:r>
        <w:rPr>
          <w:rFonts w:hint="default" w:ascii="Times New Roman" w:hAnsi="Times New Roman" w:eastAsia="宋体" w:cs="Times New Roman"/>
          <w:color w:val="auto"/>
        </w:rPr>
        <w:t>附表2地表水环境影响评价自查表</w:t>
      </w:r>
      <w:bookmarkEnd w:id="574"/>
      <w:bookmarkEnd w:id="575"/>
      <w:bookmarkEnd w:id="576"/>
      <w:bookmarkEnd w:id="577"/>
      <w:bookmarkEnd w:id="578"/>
      <w:bookmarkEnd w:id="579"/>
    </w:p>
    <w:tbl>
      <w:tblPr>
        <w:tblStyle w:val="51"/>
        <w:tblW w:w="5000"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108" w:type="dxa"/>
          <w:bottom w:w="0" w:type="dxa"/>
          <w:right w:w="108" w:type="dxa"/>
        </w:tblCellMar>
      </w:tblPr>
      <w:tblGrid>
        <w:gridCol w:w="510"/>
        <w:gridCol w:w="2205"/>
        <w:gridCol w:w="1105"/>
        <w:gridCol w:w="535"/>
        <w:gridCol w:w="486"/>
        <w:gridCol w:w="422"/>
        <w:gridCol w:w="772"/>
        <w:gridCol w:w="242"/>
        <w:gridCol w:w="690"/>
        <w:gridCol w:w="488"/>
        <w:gridCol w:w="156"/>
        <w:gridCol w:w="149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2715" w:type="dxa"/>
            <w:gridSpan w:val="2"/>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bookmarkStart w:id="580" w:name="_Toc14422"/>
            <w:r>
              <w:rPr>
                <w:rFonts w:hint="default" w:ascii="Times New Roman" w:hAnsi="Times New Roman" w:eastAsia="宋体" w:cs="Times New Roman"/>
                <w:kern w:val="0"/>
                <w:szCs w:val="21"/>
              </w:rPr>
              <w:t>工作内容</w:t>
            </w:r>
          </w:p>
        </w:tc>
        <w:tc>
          <w:tcPr>
            <w:tcW w:w="6384" w:type="dxa"/>
            <w:gridSpan w:val="10"/>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自查项目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restart"/>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影</w:t>
            </w:r>
          </w:p>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响</w:t>
            </w:r>
          </w:p>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识</w:t>
            </w:r>
          </w:p>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别</w:t>
            </w:r>
          </w:p>
        </w:tc>
        <w:tc>
          <w:tcPr>
            <w:tcW w:w="2205" w:type="dxa"/>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影响类型</w:t>
            </w:r>
          </w:p>
        </w:tc>
        <w:tc>
          <w:tcPr>
            <w:tcW w:w="6384" w:type="dxa"/>
            <w:gridSpan w:val="10"/>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水环境影响型</w:t>
            </w:r>
            <w:r>
              <w:rPr>
                <w:rFonts w:hint="default" w:ascii="Times New Roman" w:hAnsi="Times New Roman" w:eastAsia="宋体" w:cs="Times New Roman"/>
                <w:kern w:val="0"/>
                <w:szCs w:val="21"/>
              </w:rPr>
              <w:t>☑；水文要素影响型□；</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p>
        </w:tc>
        <w:tc>
          <w:tcPr>
            <w:tcW w:w="2205" w:type="dxa"/>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水环境保护目标</w:t>
            </w:r>
          </w:p>
        </w:tc>
        <w:tc>
          <w:tcPr>
            <w:tcW w:w="6384" w:type="dxa"/>
            <w:gridSpan w:val="10"/>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饮用水水源保护区 □；饮用水取水口 □；涉水的自然保护区 □；</w:t>
            </w:r>
          </w:p>
          <w:p>
            <w:pPr>
              <w:pStyle w:val="33"/>
              <w:spacing w:line="240" w:lineRule="auto"/>
              <w:rPr>
                <w:rFonts w:hint="default" w:ascii="Times New Roman" w:hAnsi="Times New Roman" w:eastAsia="宋体" w:cs="Times New Roman"/>
                <w:szCs w:val="21"/>
              </w:rPr>
            </w:pPr>
            <w:r>
              <w:rPr>
                <w:rFonts w:hint="default" w:ascii="Times New Roman" w:hAnsi="Times New Roman" w:eastAsia="宋体" w:cs="Times New Roman"/>
                <w:szCs w:val="21"/>
              </w:rPr>
              <w:t>重点保护与珍惜水生生物栖息地 □；重要水生生物的自然产卵场及索饵场、越冬场和洄游通道、天然渔场等渔业水体 □；</w:t>
            </w:r>
          </w:p>
          <w:p>
            <w:pPr>
              <w:rPr>
                <w:rFonts w:hint="default" w:ascii="Times New Roman" w:hAnsi="Times New Roman" w:eastAsia="宋体" w:cs="Times New Roman"/>
                <w:szCs w:val="21"/>
              </w:rPr>
            </w:pPr>
            <w:r>
              <w:rPr>
                <w:rFonts w:hint="default" w:ascii="Times New Roman" w:hAnsi="Times New Roman" w:eastAsia="宋体" w:cs="Times New Roman"/>
                <w:szCs w:val="21"/>
              </w:rPr>
              <w:t xml:space="preserve">涉水的名胜风景区 </w:t>
            </w:r>
            <w:r>
              <w:rPr>
                <w:rFonts w:hint="default" w:ascii="Times New Roman" w:hAnsi="Times New Roman" w:eastAsia="宋体" w:cs="Times New Roman"/>
                <w:kern w:val="0"/>
                <w:szCs w:val="21"/>
              </w:rPr>
              <w:t>□；其他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p>
        </w:tc>
        <w:tc>
          <w:tcPr>
            <w:tcW w:w="2205" w:type="dxa"/>
            <w:vMerge w:val="restart"/>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影响途径</w:t>
            </w:r>
          </w:p>
        </w:tc>
        <w:tc>
          <w:tcPr>
            <w:tcW w:w="3320" w:type="dxa"/>
            <w:gridSpan w:val="5"/>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水污染影响型</w:t>
            </w:r>
          </w:p>
        </w:tc>
        <w:tc>
          <w:tcPr>
            <w:tcW w:w="3064" w:type="dxa"/>
            <w:gridSpan w:val="5"/>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水文要素影响型</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p>
        </w:tc>
        <w:tc>
          <w:tcPr>
            <w:tcW w:w="2205" w:type="dxa"/>
            <w:vMerge w:val="continue"/>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p>
        </w:tc>
        <w:tc>
          <w:tcPr>
            <w:tcW w:w="3320" w:type="dxa"/>
            <w:gridSpan w:val="5"/>
            <w:tcMar>
              <w:top w:w="15" w:type="dxa"/>
              <w:left w:w="15" w:type="dxa"/>
              <w:bottom w:w="15" w:type="dxa"/>
              <w:right w:w="15" w:type="dxa"/>
            </w:tcMar>
            <w:vAlign w:val="center"/>
          </w:tcPr>
          <w:p>
            <w:pPr>
              <w:widowControl/>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直接排放</w:t>
            </w:r>
            <w:r>
              <w:rPr>
                <w:rFonts w:hint="default" w:ascii="Times New Roman" w:hAnsi="Times New Roman" w:eastAsia="宋体" w:cs="Times New Roman"/>
                <w:kern w:val="0"/>
                <w:szCs w:val="21"/>
              </w:rPr>
              <w:t>□；间接排放☑；其他□；</w:t>
            </w:r>
          </w:p>
        </w:tc>
        <w:tc>
          <w:tcPr>
            <w:tcW w:w="3064" w:type="dxa"/>
            <w:gridSpan w:val="5"/>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水温</w:t>
            </w:r>
            <w:r>
              <w:rPr>
                <w:rFonts w:hint="default" w:ascii="Times New Roman" w:hAnsi="Times New Roman" w:eastAsia="宋体" w:cs="Times New Roman"/>
                <w:kern w:val="0"/>
                <w:szCs w:val="21"/>
              </w:rPr>
              <w:t>□；径流□；水域面积□；</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p>
        </w:tc>
        <w:tc>
          <w:tcPr>
            <w:tcW w:w="2205" w:type="dxa"/>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影响因子</w:t>
            </w:r>
          </w:p>
        </w:tc>
        <w:tc>
          <w:tcPr>
            <w:tcW w:w="3320" w:type="dxa"/>
            <w:gridSpan w:val="5"/>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持久性污染物 □；有毒有害污染物□；非持久性污染物 </w:t>
            </w:r>
            <w:r>
              <w:rPr>
                <w:rFonts w:hint="default" w:ascii="Times New Roman" w:hAnsi="Times New Roman" w:eastAsia="宋体" w:cs="Times New Roman"/>
                <w:kern w:val="0"/>
                <w:szCs w:val="21"/>
              </w:rPr>
              <w:t>☑；</w:t>
            </w:r>
            <w:r>
              <w:rPr>
                <w:rFonts w:hint="default" w:ascii="Times New Roman" w:hAnsi="Times New Roman" w:eastAsia="宋体" w:cs="Times New Roman"/>
                <w:szCs w:val="21"/>
              </w:rPr>
              <w:t xml:space="preserve">pH值 </w:t>
            </w:r>
            <w:r>
              <w:rPr>
                <w:rFonts w:hint="default" w:ascii="Times New Roman" w:hAnsi="Times New Roman" w:eastAsia="宋体" w:cs="Times New Roman"/>
                <w:kern w:val="0"/>
                <w:szCs w:val="21"/>
              </w:rPr>
              <w:t>□；热污染 □；富营养化 □； 其他 □；</w:t>
            </w:r>
          </w:p>
        </w:tc>
        <w:tc>
          <w:tcPr>
            <w:tcW w:w="3064" w:type="dxa"/>
            <w:gridSpan w:val="5"/>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水温 </w:t>
            </w:r>
            <w:r>
              <w:rPr>
                <w:rFonts w:hint="default" w:ascii="Times New Roman" w:hAnsi="Times New Roman" w:eastAsia="宋体" w:cs="Times New Roman"/>
                <w:kern w:val="0"/>
                <w:szCs w:val="21"/>
              </w:rPr>
              <w:t>□；水位（水深） □；流速□；流量 □；其他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2715" w:type="dxa"/>
            <w:gridSpan w:val="2"/>
            <w:vMerge w:val="restart"/>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评价等级</w:t>
            </w:r>
          </w:p>
        </w:tc>
        <w:tc>
          <w:tcPr>
            <w:tcW w:w="3320" w:type="dxa"/>
            <w:gridSpan w:val="5"/>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水污染影响型</w:t>
            </w:r>
          </w:p>
        </w:tc>
        <w:tc>
          <w:tcPr>
            <w:tcW w:w="3064" w:type="dxa"/>
            <w:gridSpan w:val="5"/>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kern w:val="0"/>
                <w:szCs w:val="21"/>
              </w:rPr>
              <w:t>水文要素影响型</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2715" w:type="dxa"/>
            <w:gridSpan w:val="2"/>
            <w:vMerge w:val="continue"/>
            <w:vAlign w:val="center"/>
          </w:tcPr>
          <w:p>
            <w:pPr>
              <w:widowControl/>
              <w:jc w:val="center"/>
              <w:textAlignment w:val="center"/>
              <w:rPr>
                <w:rFonts w:hint="default" w:ascii="Times New Roman" w:hAnsi="Times New Roman" w:eastAsia="宋体" w:cs="Times New Roman"/>
                <w:szCs w:val="21"/>
              </w:rPr>
            </w:pPr>
          </w:p>
        </w:tc>
        <w:tc>
          <w:tcPr>
            <w:tcW w:w="3320" w:type="dxa"/>
            <w:gridSpan w:val="5"/>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一级 </w:t>
            </w:r>
            <w:r>
              <w:rPr>
                <w:rFonts w:hint="default" w:ascii="Times New Roman" w:hAnsi="Times New Roman" w:eastAsia="宋体" w:cs="Times New Roman"/>
                <w:kern w:val="0"/>
                <w:szCs w:val="21"/>
              </w:rPr>
              <w:t>□；二级 □；三级A □；三级B□；</w:t>
            </w:r>
          </w:p>
        </w:tc>
        <w:tc>
          <w:tcPr>
            <w:tcW w:w="3064" w:type="dxa"/>
            <w:gridSpan w:val="5"/>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一级 </w:t>
            </w:r>
            <w:r>
              <w:rPr>
                <w:rFonts w:hint="default" w:ascii="Times New Roman" w:hAnsi="Times New Roman" w:eastAsia="宋体" w:cs="Times New Roman"/>
                <w:kern w:val="0"/>
                <w:szCs w:val="21"/>
              </w:rPr>
              <w:t>□；二级 □；三级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restart"/>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现状调查</w:t>
            </w:r>
          </w:p>
        </w:tc>
        <w:tc>
          <w:tcPr>
            <w:tcW w:w="2205" w:type="dxa"/>
            <w:vMerge w:val="restart"/>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区域污染源</w:t>
            </w:r>
          </w:p>
        </w:tc>
        <w:tc>
          <w:tcPr>
            <w:tcW w:w="3320" w:type="dxa"/>
            <w:gridSpan w:val="5"/>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调查项目</w:t>
            </w:r>
          </w:p>
        </w:tc>
        <w:tc>
          <w:tcPr>
            <w:tcW w:w="3064" w:type="dxa"/>
            <w:gridSpan w:val="5"/>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数据来源</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continue"/>
            <w:vAlign w:val="center"/>
          </w:tcPr>
          <w:p>
            <w:pPr>
              <w:widowControl/>
              <w:jc w:val="center"/>
              <w:textAlignment w:val="center"/>
              <w:rPr>
                <w:rFonts w:hint="default" w:ascii="Times New Roman" w:hAnsi="Times New Roman" w:eastAsia="宋体" w:cs="Times New Roman"/>
                <w:szCs w:val="21"/>
              </w:rPr>
            </w:pPr>
          </w:p>
        </w:tc>
        <w:tc>
          <w:tcPr>
            <w:tcW w:w="1640" w:type="dxa"/>
            <w:gridSpan w:val="2"/>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已建 </w:t>
            </w:r>
            <w:r>
              <w:rPr>
                <w:rFonts w:hint="default" w:ascii="Times New Roman" w:hAnsi="Times New Roman" w:eastAsia="宋体" w:cs="Times New Roman"/>
                <w:kern w:val="0"/>
                <w:szCs w:val="21"/>
              </w:rPr>
              <w:t>□；在建 □；拟建 □；其他 □；</w:t>
            </w:r>
          </w:p>
        </w:tc>
        <w:tc>
          <w:tcPr>
            <w:tcW w:w="1680" w:type="dxa"/>
            <w:gridSpan w:val="3"/>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拟替代的污染源 </w:t>
            </w:r>
            <w:r>
              <w:rPr>
                <w:rFonts w:hint="default" w:ascii="Times New Roman" w:hAnsi="Times New Roman" w:eastAsia="宋体" w:cs="Times New Roman"/>
                <w:kern w:val="0"/>
                <w:szCs w:val="21"/>
              </w:rPr>
              <w:t>□；</w:t>
            </w:r>
          </w:p>
        </w:tc>
        <w:tc>
          <w:tcPr>
            <w:tcW w:w="3064" w:type="dxa"/>
            <w:gridSpan w:val="5"/>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排污许可证 </w:t>
            </w:r>
            <w:r>
              <w:rPr>
                <w:rFonts w:hint="default" w:ascii="Times New Roman" w:hAnsi="Times New Roman" w:eastAsia="宋体" w:cs="Times New Roman"/>
                <w:kern w:val="0"/>
                <w:szCs w:val="21"/>
              </w:rPr>
              <w:t>□；环评 □；环保验收 □；既有实测 □；现场监测 □；入河排放口数据 □；其他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restart"/>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受影响水体环境质量</w:t>
            </w:r>
          </w:p>
        </w:tc>
        <w:tc>
          <w:tcPr>
            <w:tcW w:w="3320" w:type="dxa"/>
            <w:gridSpan w:val="5"/>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调查时期</w:t>
            </w:r>
          </w:p>
        </w:tc>
        <w:tc>
          <w:tcPr>
            <w:tcW w:w="3064" w:type="dxa"/>
            <w:gridSpan w:val="5"/>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数据来源</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continue"/>
            <w:vAlign w:val="center"/>
          </w:tcPr>
          <w:p>
            <w:pPr>
              <w:widowControl/>
              <w:jc w:val="center"/>
              <w:textAlignment w:val="center"/>
              <w:rPr>
                <w:rFonts w:hint="default" w:ascii="Times New Roman" w:hAnsi="Times New Roman" w:eastAsia="宋体" w:cs="Times New Roman"/>
                <w:szCs w:val="21"/>
              </w:rPr>
            </w:pPr>
          </w:p>
        </w:tc>
        <w:tc>
          <w:tcPr>
            <w:tcW w:w="3320" w:type="dxa"/>
            <w:gridSpan w:val="5"/>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丰水期 □；平水期 □；枯水期 ☑；冰封期 □；春季 </w:t>
            </w:r>
            <w:r>
              <w:rPr>
                <w:rFonts w:hint="default" w:ascii="Times New Roman" w:hAnsi="Times New Roman" w:eastAsia="宋体" w:cs="Times New Roman"/>
                <w:kern w:val="0"/>
                <w:szCs w:val="21"/>
              </w:rPr>
              <w:t>□；夏季 □；秋季 □；冬季 □；</w:t>
            </w:r>
          </w:p>
        </w:tc>
        <w:tc>
          <w:tcPr>
            <w:tcW w:w="3064" w:type="dxa"/>
            <w:gridSpan w:val="5"/>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生态环境保护主管部门 </w:t>
            </w:r>
            <w:r>
              <w:rPr>
                <w:rFonts w:hint="default" w:ascii="Times New Roman" w:hAnsi="Times New Roman" w:eastAsia="宋体" w:cs="Times New Roman"/>
                <w:kern w:val="0"/>
                <w:szCs w:val="21"/>
              </w:rPr>
              <w:t>☑；补充监测 □；其他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区域水资源开发利用状况</w:t>
            </w:r>
          </w:p>
        </w:tc>
        <w:tc>
          <w:tcPr>
            <w:tcW w:w="6384" w:type="dxa"/>
            <w:gridSpan w:val="10"/>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未开发 </w:t>
            </w:r>
            <w:r>
              <w:rPr>
                <w:rFonts w:hint="default" w:ascii="Times New Roman" w:hAnsi="Times New Roman" w:eastAsia="宋体" w:cs="Times New Roman"/>
                <w:kern w:val="0"/>
                <w:szCs w:val="21"/>
              </w:rPr>
              <w:t>☑；开发量40%以下 □；开发量40%以上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restart"/>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水文情势调查</w:t>
            </w:r>
          </w:p>
        </w:tc>
        <w:tc>
          <w:tcPr>
            <w:tcW w:w="3320" w:type="dxa"/>
            <w:gridSpan w:val="5"/>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调查时期</w:t>
            </w:r>
          </w:p>
        </w:tc>
        <w:tc>
          <w:tcPr>
            <w:tcW w:w="3064" w:type="dxa"/>
            <w:gridSpan w:val="5"/>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数据来源</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continue"/>
            <w:vAlign w:val="center"/>
          </w:tcPr>
          <w:p>
            <w:pPr>
              <w:widowControl/>
              <w:jc w:val="center"/>
              <w:textAlignment w:val="center"/>
              <w:rPr>
                <w:rFonts w:hint="default" w:ascii="Times New Roman" w:hAnsi="Times New Roman" w:eastAsia="宋体" w:cs="Times New Roman"/>
                <w:szCs w:val="21"/>
              </w:rPr>
            </w:pPr>
          </w:p>
        </w:tc>
        <w:tc>
          <w:tcPr>
            <w:tcW w:w="3320" w:type="dxa"/>
            <w:gridSpan w:val="5"/>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丰水期 □；平水期 □；枯水期 □；冰封期 □；春季 </w:t>
            </w:r>
            <w:r>
              <w:rPr>
                <w:rFonts w:hint="default" w:ascii="Times New Roman" w:hAnsi="Times New Roman" w:eastAsia="宋体" w:cs="Times New Roman"/>
                <w:kern w:val="0"/>
                <w:szCs w:val="21"/>
              </w:rPr>
              <w:t>□；夏季 □；秋季 □；冬季 □；</w:t>
            </w:r>
          </w:p>
        </w:tc>
        <w:tc>
          <w:tcPr>
            <w:tcW w:w="3064" w:type="dxa"/>
            <w:gridSpan w:val="5"/>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水行政主管部门 </w:t>
            </w:r>
            <w:r>
              <w:rPr>
                <w:rFonts w:hint="default" w:ascii="Times New Roman" w:hAnsi="Times New Roman" w:eastAsia="宋体" w:cs="Times New Roman"/>
                <w:kern w:val="0"/>
                <w:szCs w:val="21"/>
              </w:rPr>
              <w:t>□；补充监测 □；其他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restart"/>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补充监测</w:t>
            </w:r>
          </w:p>
        </w:tc>
        <w:tc>
          <w:tcPr>
            <w:tcW w:w="3320" w:type="dxa"/>
            <w:gridSpan w:val="5"/>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监测时期</w:t>
            </w:r>
          </w:p>
        </w:tc>
        <w:tc>
          <w:tcPr>
            <w:tcW w:w="1575" w:type="dxa"/>
            <w:gridSpan w:val="4"/>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监测因子</w:t>
            </w:r>
          </w:p>
        </w:tc>
        <w:tc>
          <w:tcPr>
            <w:tcW w:w="1489" w:type="dxa"/>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监测断面或点位</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continue"/>
            <w:vAlign w:val="center"/>
          </w:tcPr>
          <w:p>
            <w:pPr>
              <w:widowControl/>
              <w:jc w:val="center"/>
              <w:textAlignment w:val="center"/>
              <w:rPr>
                <w:rFonts w:hint="default" w:ascii="Times New Roman" w:hAnsi="Times New Roman" w:eastAsia="宋体" w:cs="Times New Roman"/>
                <w:szCs w:val="21"/>
              </w:rPr>
            </w:pPr>
          </w:p>
        </w:tc>
        <w:tc>
          <w:tcPr>
            <w:tcW w:w="3320" w:type="dxa"/>
            <w:gridSpan w:val="5"/>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丰水期 □；平水期 □；枯水期 □；冰封期 □；春季 </w:t>
            </w:r>
            <w:r>
              <w:rPr>
                <w:rFonts w:hint="default" w:ascii="Times New Roman" w:hAnsi="Times New Roman" w:eastAsia="宋体" w:cs="Times New Roman"/>
                <w:kern w:val="0"/>
                <w:szCs w:val="21"/>
              </w:rPr>
              <w:t>□；夏季 □；秋季 □；冬季 □；</w:t>
            </w:r>
          </w:p>
        </w:tc>
        <w:tc>
          <w:tcPr>
            <w:tcW w:w="1575" w:type="dxa"/>
            <w:gridSpan w:val="4"/>
            <w:tcMar>
              <w:top w:w="15" w:type="dxa"/>
              <w:left w:w="15" w:type="dxa"/>
              <w:bottom w:w="15" w:type="dxa"/>
              <w:right w:w="15" w:type="dxa"/>
            </w:tcMar>
            <w:vAlign w:val="center"/>
          </w:tcPr>
          <w:p>
            <w:pPr>
              <w:widowControl/>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1489" w:type="dxa"/>
            <w:tcMar>
              <w:top w:w="15" w:type="dxa"/>
              <w:left w:w="15" w:type="dxa"/>
              <w:bottom w:w="15" w:type="dxa"/>
              <w:right w:w="15" w:type="dxa"/>
            </w:tcMar>
            <w:vAlign w:val="center"/>
          </w:tcPr>
          <w:p>
            <w:pPr>
              <w:widowControl/>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监测断面或点位个数（）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restart"/>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现状评价</w:t>
            </w:r>
          </w:p>
        </w:tc>
        <w:tc>
          <w:tcPr>
            <w:tcW w:w="2205" w:type="dxa"/>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评价范围</w:t>
            </w:r>
          </w:p>
        </w:tc>
        <w:tc>
          <w:tcPr>
            <w:tcW w:w="6384" w:type="dxa"/>
            <w:gridSpan w:val="10"/>
            <w:tcMar>
              <w:top w:w="15" w:type="dxa"/>
              <w:left w:w="15" w:type="dxa"/>
              <w:bottom w:w="15" w:type="dxa"/>
              <w:right w:w="15" w:type="dxa"/>
            </w:tcMar>
            <w:vAlign w:val="center"/>
          </w:tcPr>
          <w:p>
            <w:pPr>
              <w:widowControl/>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河流：长度（）km；湖库、河口及近岸海域：（）km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评价因子</w:t>
            </w:r>
          </w:p>
        </w:tc>
        <w:tc>
          <w:tcPr>
            <w:tcW w:w="6384" w:type="dxa"/>
            <w:gridSpan w:val="10"/>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评价标准</w:t>
            </w:r>
          </w:p>
        </w:tc>
        <w:tc>
          <w:tcPr>
            <w:tcW w:w="6384" w:type="dxa"/>
            <w:gridSpan w:val="10"/>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河流、湖库、河口：Ⅰ类 □；Ⅱ类 □；Ⅲ □；Ⅳ ☑；Ⅴ □；</w:t>
            </w:r>
          </w:p>
          <w:p>
            <w:pPr>
              <w:pStyle w:val="33"/>
              <w:spacing w:line="240" w:lineRule="auto"/>
              <w:rPr>
                <w:rFonts w:hint="default" w:ascii="Times New Roman" w:hAnsi="Times New Roman" w:eastAsia="宋体" w:cs="Times New Roman"/>
                <w:szCs w:val="21"/>
              </w:rPr>
            </w:pPr>
            <w:r>
              <w:rPr>
                <w:rFonts w:hint="default" w:ascii="Times New Roman" w:hAnsi="Times New Roman" w:eastAsia="宋体" w:cs="Times New Roman"/>
                <w:szCs w:val="21"/>
              </w:rPr>
              <w:t>近岸海域：第一类 □；第二类 □；第三类 □；</w:t>
            </w:r>
          </w:p>
          <w:p>
            <w:pPr>
              <w:rPr>
                <w:rFonts w:hint="default" w:ascii="Times New Roman" w:hAnsi="Times New Roman" w:eastAsia="宋体" w:cs="Times New Roman"/>
                <w:szCs w:val="21"/>
              </w:rPr>
            </w:pPr>
            <w:r>
              <w:rPr>
                <w:rFonts w:hint="default" w:ascii="Times New Roman" w:hAnsi="Times New Roman" w:eastAsia="宋体" w:cs="Times New Roman"/>
                <w:szCs w:val="21"/>
              </w:rPr>
              <w:t>规划年评价标准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评价时期</w:t>
            </w:r>
          </w:p>
        </w:tc>
        <w:tc>
          <w:tcPr>
            <w:tcW w:w="6384" w:type="dxa"/>
            <w:gridSpan w:val="10"/>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丰水期 □；平水期 □；枯水期 □；冰封期 □；</w:t>
            </w:r>
          </w:p>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春季 </w:t>
            </w:r>
            <w:r>
              <w:rPr>
                <w:rFonts w:hint="default" w:ascii="Times New Roman" w:hAnsi="Times New Roman" w:eastAsia="宋体" w:cs="Times New Roman"/>
                <w:kern w:val="0"/>
                <w:szCs w:val="21"/>
              </w:rPr>
              <w:t>□；夏季 □；秋季 □；冬季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评价结论</w:t>
            </w:r>
          </w:p>
        </w:tc>
        <w:tc>
          <w:tcPr>
            <w:tcW w:w="4740" w:type="dxa"/>
            <w:gridSpan w:val="8"/>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水环境功能区或水功能区、近岸海域环境功能区水质达标状况：达标 □；不达标 ☑；</w:t>
            </w:r>
          </w:p>
          <w:p>
            <w:pPr>
              <w:pStyle w:val="33"/>
              <w:spacing w:after="0" w:line="240" w:lineRule="auto"/>
              <w:ind w:left="0" w:leftChars="0"/>
              <w:rPr>
                <w:rFonts w:hint="default" w:ascii="Times New Roman" w:hAnsi="Times New Roman" w:eastAsia="宋体" w:cs="Times New Roman"/>
                <w:szCs w:val="21"/>
              </w:rPr>
            </w:pPr>
            <w:r>
              <w:rPr>
                <w:rFonts w:hint="default" w:ascii="Times New Roman" w:hAnsi="Times New Roman" w:eastAsia="宋体" w:cs="Times New Roman"/>
                <w:szCs w:val="21"/>
              </w:rPr>
              <w:t>水环境控制单元或断面水质达标状况：达标 □；不达标 □；</w:t>
            </w:r>
          </w:p>
          <w:p>
            <w:pPr>
              <w:rPr>
                <w:rFonts w:hint="default" w:ascii="Times New Roman" w:hAnsi="Times New Roman" w:eastAsia="宋体" w:cs="Times New Roman"/>
                <w:szCs w:val="21"/>
              </w:rPr>
            </w:pPr>
            <w:r>
              <w:rPr>
                <w:rFonts w:hint="default" w:ascii="Times New Roman" w:hAnsi="Times New Roman" w:eastAsia="宋体" w:cs="Times New Roman"/>
                <w:szCs w:val="21"/>
              </w:rPr>
              <w:t>水环境保护目标质量状况 达标 □；不达标 □；</w:t>
            </w:r>
          </w:p>
          <w:p>
            <w:pPr>
              <w:pStyle w:val="33"/>
              <w:spacing w:after="0" w:line="240" w:lineRule="auto"/>
              <w:ind w:left="0" w:leftChars="0"/>
              <w:rPr>
                <w:rFonts w:hint="default" w:ascii="Times New Roman" w:hAnsi="Times New Roman" w:eastAsia="宋体" w:cs="Times New Roman"/>
                <w:szCs w:val="21"/>
              </w:rPr>
            </w:pPr>
            <w:r>
              <w:rPr>
                <w:rFonts w:hint="default" w:ascii="Times New Roman" w:hAnsi="Times New Roman" w:eastAsia="宋体" w:cs="Times New Roman"/>
                <w:szCs w:val="21"/>
              </w:rPr>
              <w:t>对照断面、控制断面等代表性断面的水质状况：达标 □；不达标 □；</w:t>
            </w:r>
          </w:p>
          <w:p>
            <w:pPr>
              <w:rPr>
                <w:rFonts w:hint="default" w:ascii="Times New Roman" w:hAnsi="Times New Roman" w:eastAsia="宋体" w:cs="Times New Roman"/>
                <w:szCs w:val="21"/>
              </w:rPr>
            </w:pPr>
            <w:r>
              <w:rPr>
                <w:rFonts w:hint="default" w:ascii="Times New Roman" w:hAnsi="Times New Roman" w:eastAsia="宋体" w:cs="Times New Roman"/>
                <w:szCs w:val="21"/>
              </w:rPr>
              <w:t>底泥污染评价 □；</w:t>
            </w:r>
          </w:p>
          <w:p>
            <w:pPr>
              <w:pStyle w:val="33"/>
              <w:spacing w:after="0" w:line="240" w:lineRule="auto"/>
              <w:ind w:left="0" w:leftChars="0"/>
              <w:rPr>
                <w:rFonts w:hint="default" w:ascii="Times New Roman" w:hAnsi="Times New Roman" w:eastAsia="宋体" w:cs="Times New Roman"/>
                <w:szCs w:val="21"/>
              </w:rPr>
            </w:pPr>
            <w:r>
              <w:rPr>
                <w:rFonts w:hint="default" w:ascii="Times New Roman" w:hAnsi="Times New Roman" w:eastAsia="宋体" w:cs="Times New Roman"/>
                <w:szCs w:val="21"/>
              </w:rPr>
              <w:t>水资源与开发利用程度及水文情势评价 □；</w:t>
            </w:r>
          </w:p>
          <w:p>
            <w:pPr>
              <w:rPr>
                <w:rFonts w:hint="default" w:ascii="Times New Roman" w:hAnsi="Times New Roman" w:eastAsia="宋体" w:cs="Times New Roman"/>
                <w:szCs w:val="21"/>
              </w:rPr>
            </w:pPr>
            <w:r>
              <w:rPr>
                <w:rFonts w:hint="default" w:ascii="Times New Roman" w:hAnsi="Times New Roman" w:eastAsia="宋体" w:cs="Times New Roman"/>
                <w:szCs w:val="21"/>
              </w:rPr>
              <w:t>水环境质量回顾评价 □；</w:t>
            </w:r>
          </w:p>
          <w:p>
            <w:pPr>
              <w:pStyle w:val="33"/>
              <w:spacing w:after="0" w:line="240" w:lineRule="auto"/>
              <w:ind w:left="0" w:leftChars="0"/>
              <w:rPr>
                <w:rFonts w:hint="default" w:ascii="Times New Roman" w:hAnsi="Times New Roman" w:eastAsia="宋体" w:cs="Times New Roman"/>
                <w:szCs w:val="21"/>
              </w:rPr>
            </w:pPr>
            <w:r>
              <w:rPr>
                <w:rFonts w:hint="default" w:ascii="Times New Roman" w:hAnsi="Times New Roman" w:eastAsia="宋体" w:cs="Times New Roman"/>
                <w:szCs w:val="21"/>
              </w:rPr>
              <w:t>流域（区域）水资源（包括水能资源）与开发利用总体状况、生态流量管理要求与现状满足程度、建设项目占用水域空间的水流状况与河湖演变状况 □；</w:t>
            </w:r>
          </w:p>
        </w:tc>
        <w:tc>
          <w:tcPr>
            <w:tcW w:w="1644" w:type="dxa"/>
            <w:gridSpan w:val="2"/>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达标区 □；</w:t>
            </w:r>
          </w:p>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不达标区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restart"/>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影响预测</w:t>
            </w:r>
          </w:p>
        </w:tc>
        <w:tc>
          <w:tcPr>
            <w:tcW w:w="2205" w:type="dxa"/>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预测范围</w:t>
            </w:r>
          </w:p>
        </w:tc>
        <w:tc>
          <w:tcPr>
            <w:tcW w:w="6384" w:type="dxa"/>
            <w:gridSpan w:val="10"/>
            <w:tcMar>
              <w:top w:w="15" w:type="dxa"/>
              <w:left w:w="15" w:type="dxa"/>
              <w:bottom w:w="15" w:type="dxa"/>
              <w:right w:w="15" w:type="dxa"/>
            </w:tcMar>
            <w:vAlign w:val="center"/>
          </w:tcPr>
          <w:p>
            <w:pPr>
              <w:widowControl/>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河流：长度（）km；湖库、河口及近岸海域：（）km</w:t>
            </w:r>
            <w:r>
              <w:rPr>
                <w:rFonts w:hint="default" w:ascii="Times New Roman" w:hAnsi="Times New Roman" w:eastAsia="宋体" w:cs="Times New Roman"/>
                <w:szCs w:val="21"/>
                <w:vertAlign w:val="superscript"/>
              </w:rPr>
              <w:t>2</w:t>
            </w:r>
            <w:r>
              <w:rPr>
                <w:rFonts w:hint="default" w:ascii="Times New Roman" w:hAnsi="Times New Roman" w:eastAsia="宋体" w:cs="Times New Roman"/>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预测因子</w:t>
            </w:r>
          </w:p>
        </w:tc>
        <w:tc>
          <w:tcPr>
            <w:tcW w:w="6384" w:type="dxa"/>
            <w:gridSpan w:val="10"/>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预测时期</w:t>
            </w:r>
          </w:p>
        </w:tc>
        <w:tc>
          <w:tcPr>
            <w:tcW w:w="6384" w:type="dxa"/>
            <w:gridSpan w:val="10"/>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丰水期 □；平水期 □；枯水期 □；冰封期 □；春季 </w:t>
            </w:r>
            <w:r>
              <w:rPr>
                <w:rFonts w:hint="default" w:ascii="Times New Roman" w:hAnsi="Times New Roman" w:eastAsia="宋体" w:cs="Times New Roman"/>
                <w:kern w:val="0"/>
                <w:szCs w:val="21"/>
              </w:rPr>
              <w:t xml:space="preserve">□；夏季 □；秋季 □；冬季 □；设计水文条件 </w:t>
            </w:r>
            <w:r>
              <w:rPr>
                <w:rFonts w:hint="default" w:ascii="Times New Roman" w:hAnsi="Times New Roman" w:eastAsia="宋体" w:cs="Times New Roman"/>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预测情景</w:t>
            </w:r>
          </w:p>
        </w:tc>
        <w:tc>
          <w:tcPr>
            <w:tcW w:w="6384" w:type="dxa"/>
            <w:gridSpan w:val="10"/>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建设期 □；生产运行期 □；服务期满后 □；</w:t>
            </w:r>
          </w:p>
          <w:p>
            <w:pPr>
              <w:pStyle w:val="33"/>
              <w:spacing w:line="240" w:lineRule="auto"/>
              <w:rPr>
                <w:rFonts w:hint="default" w:ascii="Times New Roman" w:hAnsi="Times New Roman" w:eastAsia="宋体" w:cs="Times New Roman"/>
                <w:szCs w:val="21"/>
              </w:rPr>
            </w:pPr>
            <w:r>
              <w:rPr>
                <w:rFonts w:hint="default" w:ascii="Times New Roman" w:hAnsi="Times New Roman" w:eastAsia="宋体" w:cs="Times New Roman"/>
                <w:szCs w:val="21"/>
              </w:rPr>
              <w:t>正常工况 □；非正常工况 □；</w:t>
            </w:r>
          </w:p>
          <w:p>
            <w:pPr>
              <w:rPr>
                <w:rFonts w:hint="default" w:ascii="Times New Roman" w:hAnsi="Times New Roman" w:eastAsia="宋体" w:cs="Times New Roman"/>
                <w:szCs w:val="21"/>
              </w:rPr>
            </w:pPr>
            <w:r>
              <w:rPr>
                <w:rFonts w:hint="default" w:ascii="Times New Roman" w:hAnsi="Times New Roman" w:eastAsia="宋体" w:cs="Times New Roman"/>
                <w:szCs w:val="21"/>
              </w:rPr>
              <w:t>污染控制和减缓措施方案 □；</w:t>
            </w:r>
          </w:p>
          <w:p>
            <w:pPr>
              <w:pStyle w:val="33"/>
              <w:spacing w:line="240" w:lineRule="auto"/>
              <w:rPr>
                <w:rFonts w:hint="default" w:ascii="Times New Roman" w:hAnsi="Times New Roman" w:eastAsia="宋体" w:cs="Times New Roman"/>
                <w:szCs w:val="21"/>
              </w:rPr>
            </w:pPr>
            <w:r>
              <w:rPr>
                <w:rFonts w:hint="default" w:ascii="Times New Roman" w:hAnsi="Times New Roman" w:eastAsia="宋体" w:cs="Times New Roman"/>
                <w:szCs w:val="21"/>
              </w:rPr>
              <w:t>区（流）域环境质量改善目标要求情景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预测方法</w:t>
            </w:r>
          </w:p>
        </w:tc>
        <w:tc>
          <w:tcPr>
            <w:tcW w:w="6384" w:type="dxa"/>
            <w:gridSpan w:val="10"/>
            <w:tcMar>
              <w:top w:w="15" w:type="dxa"/>
              <w:left w:w="15" w:type="dxa"/>
              <w:bottom w:w="15" w:type="dxa"/>
              <w:right w:w="15" w:type="dxa"/>
            </w:tcMar>
            <w:vAlign w:val="center"/>
          </w:tcPr>
          <w:p>
            <w:pPr>
              <w:widowControl/>
              <w:jc w:val="left"/>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数值解 □；解析解 □；其他 □；</w:t>
            </w:r>
          </w:p>
          <w:p>
            <w:pPr>
              <w:pStyle w:val="33"/>
              <w:spacing w:line="240" w:lineRule="auto"/>
              <w:rPr>
                <w:rFonts w:hint="default" w:ascii="Times New Roman" w:hAnsi="Times New Roman" w:eastAsia="宋体" w:cs="Times New Roman"/>
                <w:szCs w:val="21"/>
              </w:rPr>
            </w:pPr>
            <w:r>
              <w:rPr>
                <w:rFonts w:hint="default" w:ascii="Times New Roman" w:hAnsi="Times New Roman" w:eastAsia="宋体" w:cs="Times New Roman"/>
                <w:szCs w:val="21"/>
              </w:rPr>
              <w:t>导则推荐模式 □；其他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restart"/>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影响评价</w:t>
            </w:r>
          </w:p>
        </w:tc>
        <w:tc>
          <w:tcPr>
            <w:tcW w:w="2205" w:type="dxa"/>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水污染控制和水环境影响减缓措施有效性评价</w:t>
            </w:r>
          </w:p>
        </w:tc>
        <w:tc>
          <w:tcPr>
            <w:tcW w:w="6384" w:type="dxa"/>
            <w:gridSpan w:val="10"/>
            <w:tcMar>
              <w:top w:w="15" w:type="dxa"/>
              <w:left w:w="15" w:type="dxa"/>
              <w:bottom w:w="15" w:type="dxa"/>
              <w:right w:w="15" w:type="dxa"/>
            </w:tcMar>
            <w:vAlign w:val="center"/>
          </w:tcPr>
          <w:p>
            <w:pPr>
              <w:widowControl/>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区（流）域环境质量改善目标 □；替代消减源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水环境影响评价</w:t>
            </w:r>
          </w:p>
        </w:tc>
        <w:tc>
          <w:tcPr>
            <w:tcW w:w="6384" w:type="dxa"/>
            <w:gridSpan w:val="10"/>
            <w:tcMar>
              <w:top w:w="15" w:type="dxa"/>
              <w:left w:w="15" w:type="dxa"/>
              <w:bottom w:w="15" w:type="dxa"/>
              <w:right w:w="15" w:type="dxa"/>
            </w:tcMar>
            <w:vAlign w:val="center"/>
          </w:tcPr>
          <w:p>
            <w:pPr>
              <w:widowControl/>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排放口混合区外满足水环境管理要求 □；</w:t>
            </w:r>
          </w:p>
          <w:p>
            <w:pPr>
              <w:pStyle w:val="33"/>
              <w:spacing w:after="0" w:line="240" w:lineRule="auto"/>
              <w:ind w:left="0" w:leftChars="0"/>
              <w:rPr>
                <w:rFonts w:hint="default" w:ascii="Times New Roman" w:hAnsi="Times New Roman" w:eastAsia="宋体" w:cs="Times New Roman"/>
                <w:szCs w:val="21"/>
              </w:rPr>
            </w:pPr>
            <w:r>
              <w:rPr>
                <w:rFonts w:hint="default" w:ascii="Times New Roman" w:hAnsi="Times New Roman" w:eastAsia="宋体" w:cs="Times New Roman"/>
                <w:szCs w:val="21"/>
              </w:rPr>
              <w:t>水环境功能区或水功能区、近岸海域环境功能区水质达标 □；</w:t>
            </w:r>
          </w:p>
          <w:p>
            <w:pPr>
              <w:rPr>
                <w:rFonts w:hint="default" w:ascii="Times New Roman" w:hAnsi="Times New Roman" w:eastAsia="宋体" w:cs="Times New Roman"/>
                <w:szCs w:val="21"/>
              </w:rPr>
            </w:pPr>
            <w:r>
              <w:rPr>
                <w:rFonts w:hint="default" w:ascii="Times New Roman" w:hAnsi="Times New Roman" w:eastAsia="宋体" w:cs="Times New Roman"/>
                <w:szCs w:val="21"/>
              </w:rPr>
              <w:t>满足水环境保护目标水域水环境质量要求 □；</w:t>
            </w:r>
          </w:p>
          <w:p>
            <w:pPr>
              <w:pStyle w:val="33"/>
              <w:spacing w:after="0" w:line="240" w:lineRule="auto"/>
              <w:ind w:left="0" w:leftChars="0"/>
              <w:rPr>
                <w:rFonts w:hint="default" w:ascii="Times New Roman" w:hAnsi="Times New Roman" w:eastAsia="宋体" w:cs="Times New Roman"/>
                <w:szCs w:val="21"/>
              </w:rPr>
            </w:pPr>
            <w:r>
              <w:rPr>
                <w:rFonts w:hint="default" w:ascii="Times New Roman" w:hAnsi="Times New Roman" w:eastAsia="宋体" w:cs="Times New Roman"/>
                <w:szCs w:val="21"/>
              </w:rPr>
              <w:t>水环境控制单元或断面水质达标 □；</w:t>
            </w:r>
          </w:p>
          <w:p>
            <w:pPr>
              <w:pStyle w:val="33"/>
              <w:spacing w:after="0" w:line="240" w:lineRule="auto"/>
              <w:ind w:left="0" w:leftChars="0"/>
              <w:rPr>
                <w:rFonts w:hint="default" w:ascii="Times New Roman" w:hAnsi="Times New Roman" w:eastAsia="宋体" w:cs="Times New Roman"/>
                <w:szCs w:val="21"/>
              </w:rPr>
            </w:pPr>
            <w:r>
              <w:rPr>
                <w:rFonts w:hint="default" w:ascii="Times New Roman" w:hAnsi="Times New Roman" w:eastAsia="宋体" w:cs="Times New Roman"/>
                <w:szCs w:val="21"/>
              </w:rPr>
              <w:t>满足重点水污染物排放总量控制指标要求，重点行业建设项目，主要污染物排放满足等量或减量替代要求 □；</w:t>
            </w:r>
          </w:p>
          <w:p>
            <w:pPr>
              <w:rPr>
                <w:rFonts w:hint="default" w:ascii="Times New Roman" w:hAnsi="Times New Roman" w:eastAsia="宋体" w:cs="Times New Roman"/>
                <w:szCs w:val="21"/>
              </w:rPr>
            </w:pPr>
            <w:r>
              <w:rPr>
                <w:rFonts w:hint="default" w:ascii="Times New Roman" w:hAnsi="Times New Roman" w:eastAsia="宋体" w:cs="Times New Roman"/>
                <w:szCs w:val="21"/>
              </w:rPr>
              <w:t>满足区（流）域水环境质量改善目标要求 □；</w:t>
            </w:r>
          </w:p>
          <w:p>
            <w:pPr>
              <w:pStyle w:val="33"/>
              <w:spacing w:after="0" w:line="240" w:lineRule="auto"/>
              <w:ind w:left="0" w:leftChars="0"/>
              <w:rPr>
                <w:rFonts w:hint="default" w:ascii="Times New Roman" w:hAnsi="Times New Roman" w:eastAsia="宋体" w:cs="Times New Roman"/>
                <w:szCs w:val="21"/>
              </w:rPr>
            </w:pPr>
            <w:r>
              <w:rPr>
                <w:rFonts w:hint="default" w:ascii="Times New Roman" w:hAnsi="Times New Roman" w:eastAsia="宋体" w:cs="Times New Roman"/>
                <w:szCs w:val="21"/>
              </w:rPr>
              <w:t>水文要素影响型建设项目同时应包括水文情势变化评价、主要水文特征值影响评价、生态流量符合性评价 □；</w:t>
            </w:r>
          </w:p>
          <w:p>
            <w:pPr>
              <w:rPr>
                <w:rFonts w:hint="default" w:ascii="Times New Roman" w:hAnsi="Times New Roman" w:eastAsia="宋体" w:cs="Times New Roman"/>
                <w:szCs w:val="21"/>
              </w:rPr>
            </w:pPr>
            <w:r>
              <w:rPr>
                <w:rFonts w:hint="default" w:ascii="Times New Roman" w:hAnsi="Times New Roman" w:eastAsia="宋体" w:cs="Times New Roman"/>
                <w:szCs w:val="21"/>
              </w:rPr>
              <w:t>对于新设或调整入河（湖库、近岸海域）排放口的建设项目，应包括排放口设置的环境合理性评价 □；</w:t>
            </w:r>
          </w:p>
          <w:p>
            <w:pPr>
              <w:pStyle w:val="33"/>
              <w:spacing w:after="0" w:line="240" w:lineRule="auto"/>
              <w:ind w:left="0" w:leftChars="0"/>
              <w:rPr>
                <w:rFonts w:hint="default" w:ascii="Times New Roman" w:hAnsi="Times New Roman" w:eastAsia="宋体" w:cs="Times New Roman"/>
                <w:szCs w:val="21"/>
              </w:rPr>
            </w:pPr>
            <w:r>
              <w:rPr>
                <w:rFonts w:hint="default" w:ascii="Times New Roman" w:hAnsi="Times New Roman" w:eastAsia="宋体" w:cs="Times New Roman"/>
                <w:szCs w:val="21"/>
              </w:rPr>
              <w:t>满足生态保护红线、水环境质量底线、资源利用上限和环境准入清单管理要求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restart"/>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污染源排放量核算</w:t>
            </w:r>
          </w:p>
        </w:tc>
        <w:tc>
          <w:tcPr>
            <w:tcW w:w="2126"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污染物名称</w:t>
            </w:r>
          </w:p>
        </w:tc>
        <w:tc>
          <w:tcPr>
            <w:tcW w:w="2126" w:type="dxa"/>
            <w:gridSpan w:val="4"/>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排放量/（t/a）</w:t>
            </w:r>
          </w:p>
        </w:tc>
        <w:tc>
          <w:tcPr>
            <w:tcW w:w="2132"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排放浓度/（mg/L）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continue"/>
            <w:vAlign w:val="center"/>
          </w:tcPr>
          <w:p>
            <w:pPr>
              <w:widowControl/>
              <w:jc w:val="center"/>
              <w:textAlignment w:val="center"/>
              <w:rPr>
                <w:rFonts w:hint="default" w:ascii="Times New Roman" w:hAnsi="Times New Roman" w:eastAsia="宋体" w:cs="Times New Roman"/>
                <w:szCs w:val="21"/>
              </w:rPr>
            </w:pPr>
          </w:p>
        </w:tc>
        <w:tc>
          <w:tcPr>
            <w:tcW w:w="2126"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2126" w:type="dxa"/>
            <w:gridSpan w:val="4"/>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2132"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continue"/>
            <w:vAlign w:val="center"/>
          </w:tcPr>
          <w:p>
            <w:pPr>
              <w:widowControl/>
              <w:jc w:val="center"/>
              <w:textAlignment w:val="center"/>
              <w:rPr>
                <w:rFonts w:hint="default" w:ascii="Times New Roman" w:hAnsi="Times New Roman" w:eastAsia="宋体" w:cs="Times New Roman"/>
                <w:szCs w:val="21"/>
              </w:rPr>
            </w:pPr>
          </w:p>
        </w:tc>
        <w:tc>
          <w:tcPr>
            <w:tcW w:w="2126"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2126" w:type="dxa"/>
            <w:gridSpan w:val="4"/>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2132"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continue"/>
            <w:vAlign w:val="center"/>
          </w:tcPr>
          <w:p>
            <w:pPr>
              <w:widowControl/>
              <w:jc w:val="center"/>
              <w:textAlignment w:val="center"/>
              <w:rPr>
                <w:rFonts w:hint="default" w:ascii="Times New Roman" w:hAnsi="Times New Roman" w:eastAsia="宋体" w:cs="Times New Roman"/>
                <w:szCs w:val="21"/>
              </w:rPr>
            </w:pPr>
          </w:p>
        </w:tc>
        <w:tc>
          <w:tcPr>
            <w:tcW w:w="2126"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2126" w:type="dxa"/>
            <w:gridSpan w:val="4"/>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2132"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restart"/>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替代源排放情况</w:t>
            </w:r>
          </w:p>
        </w:tc>
        <w:tc>
          <w:tcPr>
            <w:tcW w:w="1105" w:type="dxa"/>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污染源名称</w:t>
            </w:r>
          </w:p>
        </w:tc>
        <w:tc>
          <w:tcPr>
            <w:tcW w:w="1443"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排污许可证编号</w:t>
            </w:r>
          </w:p>
        </w:tc>
        <w:tc>
          <w:tcPr>
            <w:tcW w:w="1014" w:type="dxa"/>
            <w:gridSpan w:val="2"/>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污染物名称</w:t>
            </w:r>
          </w:p>
        </w:tc>
        <w:tc>
          <w:tcPr>
            <w:tcW w:w="1178" w:type="dxa"/>
            <w:gridSpan w:val="2"/>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排放量/（t/a）</w:t>
            </w:r>
          </w:p>
        </w:tc>
        <w:tc>
          <w:tcPr>
            <w:tcW w:w="1644" w:type="dxa"/>
            <w:gridSpan w:val="2"/>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排放浓度/（mg/L）</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continue"/>
            <w:vAlign w:val="center"/>
          </w:tcPr>
          <w:p>
            <w:pPr>
              <w:widowControl/>
              <w:jc w:val="center"/>
              <w:textAlignment w:val="center"/>
              <w:rPr>
                <w:rFonts w:hint="default" w:ascii="Times New Roman" w:hAnsi="Times New Roman" w:eastAsia="宋体" w:cs="Times New Roman"/>
                <w:szCs w:val="21"/>
              </w:rPr>
            </w:pPr>
          </w:p>
        </w:tc>
        <w:tc>
          <w:tcPr>
            <w:tcW w:w="1105" w:type="dxa"/>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1443"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1014" w:type="dxa"/>
            <w:gridSpan w:val="2"/>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1178" w:type="dxa"/>
            <w:gridSpan w:val="2"/>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1644" w:type="dxa"/>
            <w:gridSpan w:val="2"/>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生态流量确定</w:t>
            </w:r>
          </w:p>
        </w:tc>
        <w:tc>
          <w:tcPr>
            <w:tcW w:w="6384" w:type="dxa"/>
            <w:gridSpan w:val="10"/>
            <w:tcMar>
              <w:top w:w="15" w:type="dxa"/>
              <w:left w:w="15" w:type="dxa"/>
              <w:bottom w:w="15" w:type="dxa"/>
              <w:right w:w="15" w:type="dxa"/>
            </w:tcMar>
            <w:vAlign w:val="center"/>
          </w:tcPr>
          <w:p>
            <w:pPr>
              <w:widowControl/>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生态流量：一般水期（）m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/s；鱼类繁殖期（）m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/s；其他（）m</w:t>
            </w:r>
            <w:r>
              <w:rPr>
                <w:rFonts w:hint="default" w:ascii="Times New Roman" w:hAnsi="Times New Roman" w:eastAsia="宋体" w:cs="Times New Roman"/>
                <w:szCs w:val="21"/>
                <w:vertAlign w:val="superscript"/>
              </w:rPr>
              <w:t>3</w:t>
            </w:r>
            <w:r>
              <w:rPr>
                <w:rFonts w:hint="default" w:ascii="Times New Roman" w:hAnsi="Times New Roman" w:eastAsia="宋体" w:cs="Times New Roman"/>
                <w:szCs w:val="21"/>
              </w:rPr>
              <w:t>/s；</w:t>
            </w:r>
          </w:p>
          <w:p>
            <w:pPr>
              <w:pStyle w:val="33"/>
              <w:spacing w:line="240" w:lineRule="auto"/>
              <w:rPr>
                <w:rFonts w:hint="default" w:ascii="Times New Roman" w:hAnsi="Times New Roman" w:eastAsia="宋体" w:cs="Times New Roman"/>
              </w:rPr>
            </w:pPr>
            <w:r>
              <w:rPr>
                <w:rFonts w:hint="default" w:ascii="Times New Roman" w:hAnsi="Times New Roman" w:eastAsia="宋体" w:cs="Times New Roman"/>
                <w:szCs w:val="21"/>
              </w:rPr>
              <w:t>生态水位：一般水期（）m；鱼类繁殖期（）m；其他（）m；</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restart"/>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防治措施</w:t>
            </w:r>
          </w:p>
        </w:tc>
        <w:tc>
          <w:tcPr>
            <w:tcW w:w="2205" w:type="dxa"/>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环保措施</w:t>
            </w:r>
          </w:p>
        </w:tc>
        <w:tc>
          <w:tcPr>
            <w:tcW w:w="6384" w:type="dxa"/>
            <w:gridSpan w:val="10"/>
            <w:tcMar>
              <w:top w:w="15" w:type="dxa"/>
              <w:left w:w="15" w:type="dxa"/>
              <w:bottom w:w="15" w:type="dxa"/>
              <w:right w:w="15" w:type="dxa"/>
            </w:tcMar>
            <w:vAlign w:val="center"/>
          </w:tcPr>
          <w:p>
            <w:pPr>
              <w:widowControl/>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污水处理设施 □；水文减缓设施 □；生态流量保障设施 □；区域消减 □；依托其他工程措施 □；其他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restart"/>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监测计划</w:t>
            </w:r>
          </w:p>
        </w:tc>
        <w:tc>
          <w:tcPr>
            <w:tcW w:w="2126"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p>
        </w:tc>
        <w:tc>
          <w:tcPr>
            <w:tcW w:w="2126" w:type="dxa"/>
            <w:gridSpan w:val="4"/>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环境质量</w:t>
            </w:r>
          </w:p>
        </w:tc>
        <w:tc>
          <w:tcPr>
            <w:tcW w:w="2132"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污染源</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continue"/>
            <w:vAlign w:val="center"/>
          </w:tcPr>
          <w:p>
            <w:pPr>
              <w:widowControl/>
              <w:jc w:val="center"/>
              <w:textAlignment w:val="center"/>
              <w:rPr>
                <w:rFonts w:hint="default" w:ascii="Times New Roman" w:hAnsi="Times New Roman" w:eastAsia="宋体" w:cs="Times New Roman"/>
                <w:szCs w:val="21"/>
              </w:rPr>
            </w:pPr>
          </w:p>
        </w:tc>
        <w:tc>
          <w:tcPr>
            <w:tcW w:w="2126"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监测方式</w:t>
            </w:r>
          </w:p>
        </w:tc>
        <w:tc>
          <w:tcPr>
            <w:tcW w:w="2126" w:type="dxa"/>
            <w:gridSpan w:val="4"/>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手动 □；自动 □；无 □；</w:t>
            </w:r>
          </w:p>
        </w:tc>
        <w:tc>
          <w:tcPr>
            <w:tcW w:w="2132"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手动 □；自动 □；无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continue"/>
            <w:vAlign w:val="center"/>
          </w:tcPr>
          <w:p>
            <w:pPr>
              <w:widowControl/>
              <w:jc w:val="center"/>
              <w:textAlignment w:val="center"/>
              <w:rPr>
                <w:rFonts w:hint="default" w:ascii="Times New Roman" w:hAnsi="Times New Roman" w:eastAsia="宋体" w:cs="Times New Roman"/>
                <w:szCs w:val="21"/>
              </w:rPr>
            </w:pPr>
          </w:p>
        </w:tc>
        <w:tc>
          <w:tcPr>
            <w:tcW w:w="2126"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监测点位</w:t>
            </w:r>
          </w:p>
        </w:tc>
        <w:tc>
          <w:tcPr>
            <w:tcW w:w="2126" w:type="dxa"/>
            <w:gridSpan w:val="4"/>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2132"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Merge w:val="continue"/>
            <w:vAlign w:val="center"/>
          </w:tcPr>
          <w:p>
            <w:pPr>
              <w:widowControl/>
              <w:jc w:val="center"/>
              <w:textAlignment w:val="center"/>
              <w:rPr>
                <w:rFonts w:hint="default" w:ascii="Times New Roman" w:hAnsi="Times New Roman" w:eastAsia="宋体" w:cs="Times New Roman"/>
                <w:szCs w:val="21"/>
              </w:rPr>
            </w:pPr>
          </w:p>
        </w:tc>
        <w:tc>
          <w:tcPr>
            <w:tcW w:w="2126"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监测因子</w:t>
            </w:r>
          </w:p>
        </w:tc>
        <w:tc>
          <w:tcPr>
            <w:tcW w:w="2126" w:type="dxa"/>
            <w:gridSpan w:val="4"/>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2132" w:type="dxa"/>
            <w:gridSpan w:val="3"/>
            <w:tcMar>
              <w:top w:w="15" w:type="dxa"/>
              <w:left w:w="15" w:type="dxa"/>
              <w:bottom w:w="15" w:type="dxa"/>
              <w:right w:w="15" w:type="dxa"/>
            </w:tcMar>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510" w:type="dxa"/>
            <w:vMerge w:val="continue"/>
            <w:vAlign w:val="center"/>
          </w:tcPr>
          <w:p>
            <w:pPr>
              <w:widowControl/>
              <w:jc w:val="center"/>
              <w:textAlignment w:val="center"/>
              <w:rPr>
                <w:rFonts w:hint="default" w:ascii="Times New Roman" w:hAnsi="Times New Roman" w:eastAsia="宋体" w:cs="Times New Roman"/>
                <w:szCs w:val="21"/>
              </w:rPr>
            </w:pPr>
          </w:p>
        </w:tc>
        <w:tc>
          <w:tcPr>
            <w:tcW w:w="2205" w:type="dxa"/>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污染物排放清单</w:t>
            </w:r>
          </w:p>
        </w:tc>
        <w:tc>
          <w:tcPr>
            <w:tcW w:w="6384" w:type="dxa"/>
            <w:gridSpan w:val="10"/>
            <w:tcMar>
              <w:top w:w="15" w:type="dxa"/>
              <w:left w:w="15" w:type="dxa"/>
              <w:bottom w:w="15" w:type="dxa"/>
              <w:right w:w="15" w:type="dxa"/>
            </w:tcMar>
            <w:vAlign w:val="center"/>
          </w:tcPr>
          <w:p>
            <w:pPr>
              <w:widowControl/>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2715" w:type="dxa"/>
            <w:gridSpan w:val="2"/>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评价结论</w:t>
            </w:r>
          </w:p>
        </w:tc>
        <w:tc>
          <w:tcPr>
            <w:tcW w:w="6384" w:type="dxa"/>
            <w:gridSpan w:val="10"/>
            <w:tcMar>
              <w:top w:w="15" w:type="dxa"/>
              <w:left w:w="15" w:type="dxa"/>
              <w:bottom w:w="15" w:type="dxa"/>
              <w:right w:w="15" w:type="dxa"/>
            </w:tcMar>
            <w:vAlign w:val="center"/>
          </w:tcPr>
          <w:p>
            <w:pPr>
              <w:widowControl/>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可以接受 ☑；不可以接受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454" w:hRule="exact"/>
          <w:tblHeader/>
        </w:trPr>
        <w:tc>
          <w:tcPr>
            <w:tcW w:w="9099" w:type="dxa"/>
            <w:gridSpan w:val="12"/>
            <w:vAlign w:val="center"/>
          </w:tcPr>
          <w:p>
            <w:pPr>
              <w:widowControl/>
              <w:jc w:val="left"/>
              <w:textAlignment w:val="center"/>
              <w:rPr>
                <w:rFonts w:hint="default" w:ascii="Times New Roman" w:hAnsi="Times New Roman" w:eastAsia="宋体" w:cs="Times New Roman"/>
                <w:szCs w:val="21"/>
              </w:rPr>
            </w:pPr>
            <w:r>
              <w:rPr>
                <w:rStyle w:val="488"/>
                <w:rFonts w:hint="default" w:ascii="Times New Roman" w:hAnsi="Times New Roman" w:eastAsia="宋体" w:cs="Times New Roman"/>
                <w:color w:val="auto"/>
                <w:sz w:val="21"/>
                <w:szCs w:val="21"/>
              </w:rPr>
              <w:t>注：</w:t>
            </w:r>
            <w:r>
              <w:rPr>
                <w:rStyle w:val="489"/>
                <w:rFonts w:hint="default" w:ascii="Times New Roman" w:hAnsi="Times New Roman" w:eastAsia="宋体" w:cs="Times New Roman"/>
                <w:color w:val="auto"/>
                <w:sz w:val="21"/>
                <w:szCs w:val="21"/>
              </w:rPr>
              <w:t>“</w:t>
            </w:r>
            <w:r>
              <w:rPr>
                <w:rStyle w:val="488"/>
                <w:rFonts w:hint="default" w:ascii="Times New Roman" w:hAnsi="Times New Roman" w:eastAsia="宋体" w:cs="Times New Roman"/>
                <w:color w:val="auto"/>
                <w:sz w:val="21"/>
                <w:szCs w:val="21"/>
              </w:rPr>
              <w:t>□</w:t>
            </w:r>
            <w:r>
              <w:rPr>
                <w:rStyle w:val="489"/>
                <w:rFonts w:hint="default" w:ascii="Times New Roman" w:hAnsi="Times New Roman" w:eastAsia="宋体" w:cs="Times New Roman"/>
                <w:color w:val="auto"/>
                <w:sz w:val="21"/>
                <w:szCs w:val="21"/>
              </w:rPr>
              <w:t>”</w:t>
            </w:r>
            <w:r>
              <w:rPr>
                <w:rStyle w:val="488"/>
                <w:rFonts w:hint="default" w:ascii="Times New Roman" w:hAnsi="Times New Roman" w:eastAsia="宋体" w:cs="Times New Roman"/>
                <w:color w:val="auto"/>
                <w:sz w:val="21"/>
                <w:szCs w:val="21"/>
              </w:rPr>
              <w:t>，填</w:t>
            </w:r>
            <w:r>
              <w:rPr>
                <w:rStyle w:val="489"/>
                <w:rFonts w:hint="default" w:ascii="Times New Roman" w:hAnsi="Times New Roman" w:eastAsia="宋体" w:cs="Times New Roman"/>
                <w:color w:val="auto"/>
                <w:sz w:val="21"/>
                <w:szCs w:val="21"/>
              </w:rPr>
              <w:t>“</w:t>
            </w:r>
            <w:r>
              <w:rPr>
                <w:rStyle w:val="488"/>
                <w:rFonts w:hint="default" w:ascii="Times New Roman" w:hAnsi="Times New Roman" w:eastAsia="宋体" w:cs="Times New Roman"/>
                <w:color w:val="auto"/>
                <w:sz w:val="21"/>
                <w:szCs w:val="21"/>
              </w:rPr>
              <w:t>√</w:t>
            </w:r>
            <w:r>
              <w:rPr>
                <w:rStyle w:val="489"/>
                <w:rFonts w:hint="default" w:ascii="Times New Roman" w:hAnsi="Times New Roman" w:eastAsia="宋体" w:cs="Times New Roman"/>
                <w:color w:val="auto"/>
                <w:sz w:val="21"/>
                <w:szCs w:val="21"/>
              </w:rPr>
              <w:t>”</w:t>
            </w:r>
            <w:r>
              <w:rPr>
                <w:rStyle w:val="488"/>
                <w:rFonts w:hint="default" w:ascii="Times New Roman" w:hAnsi="Times New Roman" w:eastAsia="宋体" w:cs="Times New Roman"/>
                <w:color w:val="auto"/>
                <w:sz w:val="21"/>
                <w:szCs w:val="21"/>
              </w:rPr>
              <w:t>；</w:t>
            </w:r>
            <w:r>
              <w:rPr>
                <w:rStyle w:val="489"/>
                <w:rFonts w:hint="default" w:ascii="Times New Roman" w:hAnsi="Times New Roman" w:eastAsia="宋体" w:cs="Times New Roman"/>
                <w:color w:val="auto"/>
                <w:sz w:val="21"/>
                <w:szCs w:val="21"/>
              </w:rPr>
              <w:t>“</w:t>
            </w:r>
            <w:r>
              <w:rPr>
                <w:rStyle w:val="488"/>
                <w:rFonts w:hint="default" w:ascii="Times New Roman" w:hAnsi="Times New Roman" w:eastAsia="宋体" w:cs="Times New Roman"/>
                <w:color w:val="auto"/>
                <w:sz w:val="21"/>
                <w:szCs w:val="21"/>
              </w:rPr>
              <w:t>（）</w:t>
            </w:r>
            <w:r>
              <w:rPr>
                <w:rStyle w:val="489"/>
                <w:rFonts w:hint="default" w:ascii="Times New Roman" w:hAnsi="Times New Roman" w:eastAsia="宋体" w:cs="Times New Roman"/>
                <w:color w:val="auto"/>
                <w:sz w:val="21"/>
                <w:szCs w:val="21"/>
              </w:rPr>
              <w:t>”</w:t>
            </w:r>
            <w:r>
              <w:rPr>
                <w:rStyle w:val="488"/>
                <w:rFonts w:hint="default" w:ascii="Times New Roman" w:hAnsi="Times New Roman" w:eastAsia="宋体" w:cs="Times New Roman"/>
                <w:color w:val="auto"/>
                <w:sz w:val="21"/>
                <w:szCs w:val="21"/>
              </w:rPr>
              <w:t>为内容填写项；“备注”为其他补充内容</w:t>
            </w:r>
          </w:p>
        </w:tc>
      </w:tr>
    </w:tbl>
    <w:p>
      <w:pPr>
        <w:pStyle w:val="346"/>
        <w:spacing w:beforeLines="50" w:line="480" w:lineRule="exact"/>
        <w:rPr>
          <w:rFonts w:hint="default" w:ascii="Times New Roman" w:hAnsi="Times New Roman" w:eastAsia="宋体" w:cs="Times New Roman"/>
          <w:color w:val="auto"/>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p>
      <w:pPr>
        <w:pStyle w:val="346"/>
        <w:spacing w:beforeLines="50" w:line="480" w:lineRule="exact"/>
        <w:rPr>
          <w:rFonts w:hint="default" w:ascii="Times New Roman" w:hAnsi="Times New Roman" w:eastAsia="宋体" w:cs="Times New Roman"/>
          <w:color w:val="auto"/>
        </w:rPr>
      </w:pPr>
      <w:bookmarkStart w:id="581" w:name="_Toc10796"/>
      <w:bookmarkStart w:id="582" w:name="_Toc23241"/>
      <w:bookmarkStart w:id="583" w:name="_Toc22292"/>
      <w:bookmarkStart w:id="584" w:name="_Toc26999"/>
      <w:bookmarkStart w:id="585" w:name="_Toc27592"/>
      <w:r>
        <w:rPr>
          <w:rFonts w:hint="default" w:ascii="Times New Roman" w:hAnsi="Times New Roman" w:eastAsia="宋体" w:cs="Times New Roman"/>
          <w:color w:val="auto"/>
        </w:rPr>
        <w:t>附表3土壤环境影响评价自查表</w:t>
      </w:r>
      <w:bookmarkEnd w:id="580"/>
      <w:bookmarkEnd w:id="581"/>
      <w:bookmarkEnd w:id="582"/>
      <w:bookmarkEnd w:id="583"/>
      <w:bookmarkEnd w:id="584"/>
      <w:bookmarkEnd w:id="585"/>
    </w:p>
    <w:tbl>
      <w:tblPr>
        <w:tblStyle w:val="51"/>
        <w:tblW w:w="5000"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415"/>
        <w:gridCol w:w="1633"/>
        <w:gridCol w:w="957"/>
        <w:gridCol w:w="510"/>
        <w:gridCol w:w="1467"/>
        <w:gridCol w:w="934"/>
        <w:gridCol w:w="601"/>
        <w:gridCol w:w="1676"/>
        <w:gridCol w:w="90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blHeader/>
          <w:jc w:val="center"/>
        </w:trPr>
        <w:tc>
          <w:tcPr>
            <w:tcW w:w="2048" w:type="dxa"/>
            <w:gridSpan w:val="2"/>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工作内容</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完成情况</w:t>
            </w:r>
          </w:p>
        </w:tc>
        <w:tc>
          <w:tcPr>
            <w:tcW w:w="908"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备注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restart"/>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影响识别</w:t>
            </w: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影响类型</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污染影响型√；生态影响型□；两种兼有□</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rPr>
            </w:pP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土地利用类型</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建设用地√；农用地□；未利用地□</w:t>
            </w:r>
          </w:p>
        </w:tc>
        <w:tc>
          <w:tcPr>
            <w:tcW w:w="908"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土地利用类型图</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highlight w:val="red"/>
              </w:rPr>
            </w:pP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占地规模</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w:t>
            </w:r>
            <w:r>
              <w:rPr>
                <w:rFonts w:hint="default" w:ascii="Times New Roman" w:hAnsi="Times New Roman" w:eastAsia="宋体" w:cs="Times New Roman"/>
                <w:lang w:val="en-US" w:eastAsia="zh-CN"/>
              </w:rPr>
              <w:t>66552</w:t>
            </w:r>
            <w:r>
              <w:rPr>
                <w:rFonts w:hint="default" w:ascii="Times New Roman" w:hAnsi="Times New Roman" w:eastAsia="宋体" w:cs="Times New Roman"/>
              </w:rPr>
              <w:t>）m</w:t>
            </w:r>
            <w:r>
              <w:rPr>
                <w:rFonts w:hint="default" w:ascii="Times New Roman" w:hAnsi="Times New Roman" w:eastAsia="宋体" w:cs="Times New Roman"/>
                <w:vertAlign w:val="superscript"/>
              </w:rPr>
              <w:t>2</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highlight w:val="red"/>
              </w:rPr>
            </w:pP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敏感目标信息</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敏感目标（无）、方位（--）、距离（--）</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highlight w:val="red"/>
              </w:rPr>
            </w:pP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影响途径</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大气沉降√；地面漫流√；垂直入渗√；地下水位□；其他（  ）</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highlight w:val="red"/>
              </w:rPr>
            </w:pP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全部污染物</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颗粒物、铁、锰、硫化物</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highlight w:val="red"/>
              </w:rPr>
            </w:pP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特征因子</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铁</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highlight w:val="red"/>
              </w:rPr>
            </w:pP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所属土壤环境影响评价项目类别</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Ⅰ类□；Ⅱ类□；Ⅲ类</w:t>
            </w:r>
            <w:r>
              <w:rPr>
                <w:rFonts w:hint="default" w:ascii="Times New Roman" w:hAnsi="Times New Roman" w:eastAsia="宋体" w:cs="Times New Roman"/>
                <w:lang w:eastAsia="zh-CN"/>
              </w:rPr>
              <w:t>☑</w:t>
            </w:r>
            <w:r>
              <w:rPr>
                <w:rFonts w:hint="default" w:ascii="Times New Roman" w:hAnsi="Times New Roman" w:eastAsia="宋体" w:cs="Times New Roman"/>
              </w:rPr>
              <w:t>；Ⅳ类□</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highlight w:val="red"/>
              </w:rPr>
            </w:pP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敏感程度</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敏感√；较敏感□；不敏感□</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2048" w:type="dxa"/>
            <w:gridSpan w:val="2"/>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评价工作等级</w:t>
            </w:r>
          </w:p>
        </w:tc>
        <w:tc>
          <w:tcPr>
            <w:tcW w:w="6145" w:type="dxa"/>
            <w:gridSpan w:val="6"/>
            <w:tcBorders>
              <w:tl2br w:val="nil"/>
              <w:tr2bl w:val="nil"/>
            </w:tcBorders>
            <w:vAlign w:val="center"/>
          </w:tcPr>
          <w:p>
            <w:pPr>
              <w:pStyle w:val="493"/>
              <w:rPr>
                <w:rFonts w:hint="default" w:ascii="Times New Roman" w:hAnsi="Times New Roman" w:eastAsia="宋体" w:cs="Times New Roman"/>
                <w:lang w:eastAsia="zh-CN"/>
              </w:rPr>
            </w:pPr>
            <w:r>
              <w:rPr>
                <w:rFonts w:hint="default" w:ascii="Times New Roman" w:hAnsi="Times New Roman" w:eastAsia="宋体" w:cs="Times New Roman"/>
              </w:rPr>
              <w:t>一级□；二级□；三级</w:t>
            </w:r>
            <w:r>
              <w:rPr>
                <w:rFonts w:hint="default" w:ascii="Times New Roman" w:hAnsi="Times New Roman" w:eastAsia="宋体" w:cs="Times New Roman"/>
                <w:lang w:eastAsia="zh-CN"/>
              </w:rPr>
              <w:t>☑</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restart"/>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现状调查内容</w:t>
            </w: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资料收集</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a）□；b）□；c）□；d）□</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rPr>
            </w:pP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理化特性</w:t>
            </w:r>
          </w:p>
        </w:tc>
        <w:tc>
          <w:tcPr>
            <w:tcW w:w="6145" w:type="dxa"/>
            <w:gridSpan w:val="6"/>
            <w:tcBorders>
              <w:tl2br w:val="nil"/>
              <w:tr2bl w:val="nil"/>
            </w:tcBorders>
            <w:vAlign w:val="center"/>
          </w:tcPr>
          <w:p>
            <w:pPr>
              <w:pStyle w:val="493"/>
              <w:rPr>
                <w:rFonts w:hint="default" w:ascii="Times New Roman" w:hAnsi="Times New Roman" w:eastAsia="宋体" w:cs="Times New Roman"/>
              </w:rPr>
            </w:pPr>
          </w:p>
        </w:tc>
        <w:tc>
          <w:tcPr>
            <w:tcW w:w="908"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同附录C</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rPr>
            </w:pPr>
          </w:p>
        </w:tc>
        <w:tc>
          <w:tcPr>
            <w:tcW w:w="1633" w:type="dxa"/>
            <w:vMerge w:val="restart"/>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现状监测点位</w:t>
            </w:r>
          </w:p>
        </w:tc>
        <w:tc>
          <w:tcPr>
            <w:tcW w:w="1467" w:type="dxa"/>
            <w:gridSpan w:val="2"/>
            <w:tcBorders>
              <w:tl2br w:val="nil"/>
              <w:tr2bl w:val="nil"/>
            </w:tcBorders>
            <w:vAlign w:val="center"/>
          </w:tcPr>
          <w:p>
            <w:pPr>
              <w:pStyle w:val="493"/>
              <w:rPr>
                <w:rFonts w:hint="default" w:ascii="Times New Roman" w:hAnsi="Times New Roman" w:eastAsia="宋体" w:cs="Times New Roman"/>
              </w:rPr>
            </w:pPr>
          </w:p>
        </w:tc>
        <w:tc>
          <w:tcPr>
            <w:tcW w:w="1467"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占地范围内</w:t>
            </w:r>
          </w:p>
        </w:tc>
        <w:tc>
          <w:tcPr>
            <w:tcW w:w="1535" w:type="dxa"/>
            <w:gridSpan w:val="2"/>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占地范围外</w:t>
            </w:r>
          </w:p>
        </w:tc>
        <w:tc>
          <w:tcPr>
            <w:tcW w:w="1676"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深度</w:t>
            </w:r>
          </w:p>
        </w:tc>
        <w:tc>
          <w:tcPr>
            <w:tcW w:w="908" w:type="dxa"/>
            <w:vMerge w:val="restart"/>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点位布置图</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rPr>
            </w:pPr>
          </w:p>
        </w:tc>
        <w:tc>
          <w:tcPr>
            <w:tcW w:w="1633" w:type="dxa"/>
            <w:vMerge w:val="continue"/>
            <w:tcBorders>
              <w:tl2br w:val="nil"/>
              <w:tr2bl w:val="nil"/>
            </w:tcBorders>
            <w:vAlign w:val="center"/>
          </w:tcPr>
          <w:p>
            <w:pPr>
              <w:pStyle w:val="493"/>
              <w:rPr>
                <w:rFonts w:hint="default" w:ascii="Times New Roman" w:hAnsi="Times New Roman" w:eastAsia="宋体" w:cs="Times New Roman"/>
              </w:rPr>
            </w:pPr>
          </w:p>
        </w:tc>
        <w:tc>
          <w:tcPr>
            <w:tcW w:w="1467" w:type="dxa"/>
            <w:gridSpan w:val="2"/>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表层样点数</w:t>
            </w:r>
          </w:p>
        </w:tc>
        <w:tc>
          <w:tcPr>
            <w:tcW w:w="1467" w:type="dxa"/>
            <w:tcBorders>
              <w:tl2br w:val="nil"/>
              <w:tr2bl w:val="nil"/>
            </w:tcBorders>
            <w:vAlign w:val="center"/>
          </w:tcPr>
          <w:p>
            <w:pPr>
              <w:pStyle w:val="493"/>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w:t>
            </w:r>
          </w:p>
        </w:tc>
        <w:tc>
          <w:tcPr>
            <w:tcW w:w="1535" w:type="dxa"/>
            <w:gridSpan w:val="2"/>
            <w:tcBorders>
              <w:tl2br w:val="nil"/>
              <w:tr2bl w:val="nil"/>
            </w:tcBorders>
            <w:vAlign w:val="center"/>
          </w:tcPr>
          <w:p>
            <w:pPr>
              <w:pStyle w:val="493"/>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0</w:t>
            </w:r>
          </w:p>
        </w:tc>
        <w:tc>
          <w:tcPr>
            <w:tcW w:w="1676"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0.2</w:t>
            </w:r>
          </w:p>
        </w:tc>
        <w:tc>
          <w:tcPr>
            <w:tcW w:w="908" w:type="dxa"/>
            <w:vMerge w:val="continue"/>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rPr>
            </w:pPr>
          </w:p>
        </w:tc>
        <w:tc>
          <w:tcPr>
            <w:tcW w:w="1633" w:type="dxa"/>
            <w:vMerge w:val="continue"/>
            <w:tcBorders>
              <w:tl2br w:val="nil"/>
              <w:tr2bl w:val="nil"/>
            </w:tcBorders>
            <w:vAlign w:val="center"/>
          </w:tcPr>
          <w:p>
            <w:pPr>
              <w:pStyle w:val="493"/>
              <w:rPr>
                <w:rFonts w:hint="default" w:ascii="Times New Roman" w:hAnsi="Times New Roman" w:eastAsia="宋体" w:cs="Times New Roman"/>
              </w:rPr>
            </w:pPr>
          </w:p>
        </w:tc>
        <w:tc>
          <w:tcPr>
            <w:tcW w:w="1467" w:type="dxa"/>
            <w:gridSpan w:val="2"/>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柱状样点数</w:t>
            </w:r>
          </w:p>
        </w:tc>
        <w:tc>
          <w:tcPr>
            <w:tcW w:w="1467" w:type="dxa"/>
            <w:tcBorders>
              <w:tl2br w:val="nil"/>
              <w:tr2bl w:val="nil"/>
            </w:tcBorders>
            <w:vAlign w:val="center"/>
          </w:tcPr>
          <w:p>
            <w:pPr>
              <w:pStyle w:val="493"/>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0</w:t>
            </w:r>
          </w:p>
        </w:tc>
        <w:tc>
          <w:tcPr>
            <w:tcW w:w="1535" w:type="dxa"/>
            <w:gridSpan w:val="2"/>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0</w:t>
            </w:r>
          </w:p>
        </w:tc>
        <w:tc>
          <w:tcPr>
            <w:tcW w:w="1676" w:type="dxa"/>
            <w:tcBorders>
              <w:tl2br w:val="nil"/>
              <w:tr2bl w:val="nil"/>
            </w:tcBorders>
            <w:vAlign w:val="center"/>
          </w:tcPr>
          <w:p>
            <w:pPr>
              <w:pStyle w:val="493"/>
              <w:rPr>
                <w:rFonts w:hint="default" w:ascii="Times New Roman" w:hAnsi="Times New Roman" w:eastAsia="宋体" w:cs="Times New Roman"/>
                <w:lang w:eastAsia="zh-CN"/>
              </w:rPr>
            </w:pPr>
            <w:r>
              <w:rPr>
                <w:rFonts w:hint="default" w:ascii="Times New Roman" w:hAnsi="Times New Roman" w:eastAsia="宋体" w:cs="Times New Roman"/>
                <w:lang w:val="en-US" w:eastAsia="zh-CN"/>
              </w:rPr>
              <w:t>0</w:t>
            </w:r>
          </w:p>
        </w:tc>
        <w:tc>
          <w:tcPr>
            <w:tcW w:w="908" w:type="dxa"/>
            <w:vMerge w:val="continue"/>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rPr>
            </w:pP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现状监测因子</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《土壤环境质量建设用地土壤污染风险管控标准》</w:t>
            </w:r>
            <w:r>
              <w:rPr>
                <w:rFonts w:hint="default" w:ascii="Times New Roman" w:hAnsi="Times New Roman" w:eastAsia="宋体" w:cs="Times New Roman"/>
                <w:bCs/>
                <w:szCs w:val="21"/>
              </w:rPr>
              <w:t>（GB36600-2018）中45项+铁+石油烃</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restart"/>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现状评</w:t>
            </w:r>
          </w:p>
          <w:p>
            <w:pPr>
              <w:pStyle w:val="493"/>
              <w:rPr>
                <w:rFonts w:hint="default" w:ascii="Times New Roman" w:hAnsi="Times New Roman" w:eastAsia="宋体" w:cs="Times New Roman"/>
              </w:rPr>
            </w:pPr>
            <w:r>
              <w:rPr>
                <w:rFonts w:hint="default" w:ascii="Times New Roman" w:hAnsi="Times New Roman" w:eastAsia="宋体" w:cs="Times New Roman"/>
              </w:rPr>
              <w:t>价</w:t>
            </w: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评价因子</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《土壤环境质量建设用地土壤污染风险管控标准》（GB36600-2018）中45项</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rPr>
            </w:pP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评价标准</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GB 15618□；GB 36600√；表D.1□；表 D.2□；其他（）</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rPr>
            </w:pP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现状评价结论</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达标</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restart"/>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影响预测</w:t>
            </w: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预测因子</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铁</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rPr>
            </w:pP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预测方法</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附录E☑；附录F□；其他（类别分析）</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rPr>
            </w:pP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预测分析内容</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影响范围（占地范围内）影响程度（）</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rPr>
            </w:pP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预测结论</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达标结论：a）√；b）□；c）□ 不达标结论：a）□；b）□</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restart"/>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防治措</w:t>
            </w:r>
          </w:p>
          <w:p>
            <w:pPr>
              <w:pStyle w:val="493"/>
              <w:rPr>
                <w:rFonts w:hint="default" w:ascii="Times New Roman" w:hAnsi="Times New Roman" w:eastAsia="宋体" w:cs="Times New Roman"/>
              </w:rPr>
            </w:pPr>
            <w:r>
              <w:rPr>
                <w:rFonts w:hint="default" w:ascii="Times New Roman" w:hAnsi="Times New Roman" w:eastAsia="宋体" w:cs="Times New Roman"/>
              </w:rPr>
              <w:t>施</w:t>
            </w: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防控措施</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土壤环境质量现状保障√；源头控制</w:t>
            </w:r>
            <w:bookmarkStart w:id="586" w:name="OLE_LINK49"/>
            <w:bookmarkStart w:id="587" w:name="OLE_LINK47"/>
            <w:r>
              <w:rPr>
                <w:rFonts w:hint="default" w:ascii="Times New Roman" w:hAnsi="Times New Roman" w:eastAsia="宋体" w:cs="Times New Roman"/>
              </w:rPr>
              <w:t>√</w:t>
            </w:r>
            <w:bookmarkEnd w:id="586"/>
            <w:bookmarkEnd w:id="587"/>
            <w:r>
              <w:rPr>
                <w:rFonts w:hint="default" w:ascii="Times New Roman" w:hAnsi="Times New Roman" w:eastAsia="宋体" w:cs="Times New Roman"/>
              </w:rPr>
              <w:t>；过程防控√；其他（）</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rPr>
            </w:pPr>
          </w:p>
        </w:tc>
        <w:tc>
          <w:tcPr>
            <w:tcW w:w="1633" w:type="dxa"/>
            <w:vMerge w:val="restart"/>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跟踪监测</w:t>
            </w:r>
          </w:p>
        </w:tc>
        <w:tc>
          <w:tcPr>
            <w:tcW w:w="957"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监测点数</w:t>
            </w:r>
          </w:p>
        </w:tc>
        <w:tc>
          <w:tcPr>
            <w:tcW w:w="2911" w:type="dxa"/>
            <w:gridSpan w:val="3"/>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监测指标</w:t>
            </w:r>
          </w:p>
        </w:tc>
        <w:tc>
          <w:tcPr>
            <w:tcW w:w="2277" w:type="dxa"/>
            <w:gridSpan w:val="2"/>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监测频次</w:t>
            </w:r>
          </w:p>
        </w:tc>
        <w:tc>
          <w:tcPr>
            <w:tcW w:w="908" w:type="dxa"/>
            <w:vMerge w:val="restart"/>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rPr>
            </w:pPr>
          </w:p>
        </w:tc>
        <w:tc>
          <w:tcPr>
            <w:tcW w:w="1633" w:type="dxa"/>
            <w:vMerge w:val="continue"/>
            <w:tcBorders>
              <w:tl2br w:val="nil"/>
              <w:tr2bl w:val="nil"/>
            </w:tcBorders>
            <w:vAlign w:val="center"/>
          </w:tcPr>
          <w:p>
            <w:pPr>
              <w:pStyle w:val="493"/>
              <w:rPr>
                <w:rFonts w:hint="default" w:ascii="Times New Roman" w:hAnsi="Times New Roman" w:eastAsia="宋体" w:cs="Times New Roman"/>
              </w:rPr>
            </w:pPr>
          </w:p>
        </w:tc>
        <w:tc>
          <w:tcPr>
            <w:tcW w:w="957"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1</w:t>
            </w:r>
          </w:p>
        </w:tc>
        <w:tc>
          <w:tcPr>
            <w:tcW w:w="2911" w:type="dxa"/>
            <w:gridSpan w:val="3"/>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szCs w:val="24"/>
              </w:rPr>
              <w:t>镉、汞、砷、铅、铬、铜、锌、镍、铁、pH值</w:t>
            </w:r>
          </w:p>
        </w:tc>
        <w:tc>
          <w:tcPr>
            <w:tcW w:w="2277" w:type="dxa"/>
            <w:gridSpan w:val="2"/>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每3年开展1次</w:t>
            </w:r>
          </w:p>
        </w:tc>
        <w:tc>
          <w:tcPr>
            <w:tcW w:w="908" w:type="dxa"/>
            <w:vMerge w:val="continue"/>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415" w:type="dxa"/>
            <w:vMerge w:val="continue"/>
            <w:tcBorders>
              <w:tl2br w:val="nil"/>
              <w:tr2bl w:val="nil"/>
            </w:tcBorders>
            <w:vAlign w:val="center"/>
          </w:tcPr>
          <w:p>
            <w:pPr>
              <w:pStyle w:val="493"/>
              <w:rPr>
                <w:rFonts w:hint="default" w:ascii="Times New Roman" w:hAnsi="Times New Roman" w:eastAsia="宋体" w:cs="Times New Roman"/>
              </w:rPr>
            </w:pPr>
          </w:p>
        </w:tc>
        <w:tc>
          <w:tcPr>
            <w:tcW w:w="1633" w:type="dxa"/>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信息公开指标</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铁</w:t>
            </w:r>
          </w:p>
        </w:tc>
        <w:tc>
          <w:tcPr>
            <w:tcW w:w="908" w:type="dxa"/>
            <w:vMerge w:val="continue"/>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2048" w:type="dxa"/>
            <w:gridSpan w:val="2"/>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评价结论</w:t>
            </w:r>
          </w:p>
        </w:tc>
        <w:tc>
          <w:tcPr>
            <w:tcW w:w="6145" w:type="dxa"/>
            <w:gridSpan w:val="6"/>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可行</w:t>
            </w:r>
          </w:p>
        </w:tc>
        <w:tc>
          <w:tcPr>
            <w:tcW w:w="908" w:type="dxa"/>
            <w:tcBorders>
              <w:tl2br w:val="nil"/>
              <w:tr2bl w:val="nil"/>
            </w:tcBorders>
            <w:vAlign w:val="center"/>
          </w:tcPr>
          <w:p>
            <w:pPr>
              <w:pStyle w:val="493"/>
              <w:rPr>
                <w:rFonts w:hint="default" w:ascii="Times New Roman" w:hAnsi="Times New Roman" w:eastAsia="宋体" w:cs="Times New Roman"/>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9101" w:type="dxa"/>
            <w:gridSpan w:val="9"/>
            <w:tcBorders>
              <w:tl2br w:val="nil"/>
              <w:tr2bl w:val="nil"/>
            </w:tcBorders>
            <w:vAlign w:val="center"/>
          </w:tcPr>
          <w:p>
            <w:pPr>
              <w:pStyle w:val="493"/>
              <w:rPr>
                <w:rFonts w:hint="default" w:ascii="Times New Roman" w:hAnsi="Times New Roman" w:eastAsia="宋体" w:cs="Times New Roman"/>
              </w:rPr>
            </w:pPr>
            <w:r>
              <w:rPr>
                <w:rFonts w:hint="default" w:ascii="Times New Roman" w:hAnsi="Times New Roman" w:eastAsia="宋体" w:cs="Times New Roman"/>
              </w:rPr>
              <w:t>注 1：“□”为勾选项，可√；“（ ）”为内容填写项；“备注”为其他补充内容。</w:t>
            </w:r>
          </w:p>
          <w:p>
            <w:pPr>
              <w:pStyle w:val="493"/>
              <w:rPr>
                <w:rFonts w:hint="default" w:ascii="Times New Roman" w:hAnsi="Times New Roman" w:eastAsia="宋体" w:cs="Times New Roman"/>
              </w:rPr>
            </w:pPr>
            <w:r>
              <w:rPr>
                <w:rFonts w:hint="default" w:ascii="Times New Roman" w:hAnsi="Times New Roman" w:eastAsia="宋体" w:cs="Times New Roman"/>
              </w:rPr>
              <w:t>注 2：需要分别开展土壤环境影响评级工作的，分别填写自查表。</w:t>
            </w:r>
          </w:p>
        </w:tc>
      </w:tr>
    </w:tbl>
    <w:p>
      <w:pPr>
        <w:pStyle w:val="2"/>
        <w:rPr>
          <w:rFonts w:hint="default" w:ascii="Times New Roman" w:hAnsi="Times New Roman" w:eastAsia="宋体" w:cs="Times New Roman"/>
        </w:rPr>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pPr>
    </w:p>
    <w:p>
      <w:pPr>
        <w:pStyle w:val="346"/>
        <w:spacing w:beforeLines="50" w:line="480" w:lineRule="exact"/>
        <w:rPr>
          <w:rFonts w:hint="default" w:ascii="Times New Roman" w:hAnsi="Times New Roman" w:eastAsia="宋体" w:cs="Times New Roman"/>
          <w:color w:val="auto"/>
        </w:rPr>
      </w:pPr>
      <w:bookmarkStart w:id="588" w:name="_Toc18276"/>
      <w:bookmarkStart w:id="589" w:name="_Toc22497"/>
      <w:bookmarkStart w:id="590" w:name="_Toc18585"/>
      <w:bookmarkStart w:id="591" w:name="_Toc1239"/>
      <w:bookmarkStart w:id="592" w:name="_Toc22046"/>
      <w:bookmarkStart w:id="593" w:name="_Toc6258"/>
      <w:r>
        <w:rPr>
          <w:rFonts w:hint="default" w:ascii="Times New Roman" w:hAnsi="Times New Roman" w:eastAsia="宋体" w:cs="Times New Roman"/>
          <w:color w:val="auto"/>
        </w:rPr>
        <w:t>附表4</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环境风险评价自查表</w:t>
      </w:r>
      <w:bookmarkEnd w:id="588"/>
      <w:bookmarkEnd w:id="589"/>
      <w:bookmarkEnd w:id="590"/>
      <w:bookmarkEnd w:id="591"/>
      <w:bookmarkEnd w:id="592"/>
      <w:bookmarkEnd w:id="593"/>
    </w:p>
    <w:tbl>
      <w:tblPr>
        <w:tblStyle w:val="51"/>
        <w:tblW w:w="5000" w:type="pct"/>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924"/>
        <w:gridCol w:w="1527"/>
        <w:gridCol w:w="1039"/>
        <w:gridCol w:w="317"/>
        <w:gridCol w:w="342"/>
        <w:gridCol w:w="564"/>
        <w:gridCol w:w="316"/>
        <w:gridCol w:w="130"/>
        <w:gridCol w:w="247"/>
        <w:gridCol w:w="445"/>
        <w:gridCol w:w="509"/>
        <w:gridCol w:w="154"/>
        <w:gridCol w:w="460"/>
        <w:gridCol w:w="342"/>
        <w:gridCol w:w="228"/>
        <w:gridCol w:w="242"/>
        <w:gridCol w:w="85"/>
        <w:gridCol w:w="1416"/>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2449"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工作内容</w:t>
            </w:r>
          </w:p>
        </w:tc>
        <w:tc>
          <w:tcPr>
            <w:tcW w:w="6831" w:type="dxa"/>
            <w:gridSpan w:val="16"/>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完成情况</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restart"/>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风</w:t>
            </w:r>
          </w:p>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险</w:t>
            </w:r>
          </w:p>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调</w:t>
            </w:r>
          </w:p>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查</w:t>
            </w:r>
          </w:p>
        </w:tc>
        <w:tc>
          <w:tcPr>
            <w:tcW w:w="1526" w:type="dxa"/>
            <w:vMerge w:val="restart"/>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危险物质</w:t>
            </w:r>
          </w:p>
        </w:tc>
        <w:tc>
          <w:tcPr>
            <w:tcW w:w="1038" w:type="dxa"/>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名称</w:t>
            </w:r>
          </w:p>
        </w:tc>
        <w:tc>
          <w:tcPr>
            <w:tcW w:w="1539"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废机油</w:t>
            </w:r>
          </w:p>
        </w:tc>
        <w:tc>
          <w:tcPr>
            <w:tcW w:w="1331"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425"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498"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526"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038" w:type="dxa"/>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存在总量/t</w:t>
            </w:r>
          </w:p>
        </w:tc>
        <w:tc>
          <w:tcPr>
            <w:tcW w:w="1539"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rPr>
              <w:t>0.</w:t>
            </w:r>
            <w:r>
              <w:rPr>
                <w:rFonts w:hint="default" w:ascii="Times New Roman" w:hAnsi="Times New Roman" w:eastAsia="宋体" w:cs="Times New Roman"/>
                <w:szCs w:val="21"/>
                <w:lang w:val="en-US" w:eastAsia="zh-CN"/>
              </w:rPr>
              <w:t>5</w:t>
            </w:r>
          </w:p>
        </w:tc>
        <w:tc>
          <w:tcPr>
            <w:tcW w:w="1331"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425"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498"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highlight w:val="red"/>
              </w:rPr>
            </w:pPr>
          </w:p>
        </w:tc>
        <w:tc>
          <w:tcPr>
            <w:tcW w:w="1526" w:type="dxa"/>
            <w:vMerge w:val="restart"/>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环境敏感性</w:t>
            </w:r>
          </w:p>
        </w:tc>
        <w:tc>
          <w:tcPr>
            <w:tcW w:w="1038" w:type="dxa"/>
            <w:vMerge w:val="restart"/>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大气</w:t>
            </w:r>
          </w:p>
        </w:tc>
        <w:tc>
          <w:tcPr>
            <w:tcW w:w="2870" w:type="dxa"/>
            <w:gridSpan w:val="8"/>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500m范围内人口数    0人</w:t>
            </w:r>
          </w:p>
        </w:tc>
        <w:tc>
          <w:tcPr>
            <w:tcW w:w="2923" w:type="dxa"/>
            <w:gridSpan w:val="7"/>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5km范围内人口数   </w:t>
            </w:r>
            <w:r>
              <w:rPr>
                <w:rFonts w:hint="default" w:ascii="Times New Roman" w:hAnsi="Times New Roman" w:eastAsia="宋体" w:cs="Times New Roman"/>
                <w:szCs w:val="21"/>
                <w:lang w:val="en-US" w:eastAsia="zh-CN"/>
              </w:rPr>
              <w:t>2554</w:t>
            </w:r>
            <w:r>
              <w:rPr>
                <w:rFonts w:hint="default" w:ascii="Times New Roman" w:hAnsi="Times New Roman" w:eastAsia="宋体" w:cs="Times New Roman"/>
                <w:szCs w:val="21"/>
              </w:rPr>
              <w:t>人</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highlight w:val="red"/>
              </w:rPr>
            </w:pPr>
          </w:p>
        </w:tc>
        <w:tc>
          <w:tcPr>
            <w:tcW w:w="1526"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highlight w:val="red"/>
              </w:rPr>
            </w:pPr>
          </w:p>
        </w:tc>
        <w:tc>
          <w:tcPr>
            <w:tcW w:w="1038"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4295" w:type="dxa"/>
            <w:gridSpan w:val="13"/>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每公里管段周边200m范围内人口数（最大）</w:t>
            </w:r>
          </w:p>
        </w:tc>
        <w:tc>
          <w:tcPr>
            <w:tcW w:w="1498"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人</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highlight w:val="red"/>
              </w:rPr>
            </w:pPr>
          </w:p>
        </w:tc>
        <w:tc>
          <w:tcPr>
            <w:tcW w:w="1526"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highlight w:val="red"/>
              </w:rPr>
            </w:pPr>
          </w:p>
        </w:tc>
        <w:tc>
          <w:tcPr>
            <w:tcW w:w="1038" w:type="dxa"/>
            <w:vMerge w:val="restart"/>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地表水</w:t>
            </w:r>
          </w:p>
        </w:tc>
        <w:tc>
          <w:tcPr>
            <w:tcW w:w="1539"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地表水功能敏感性</w:t>
            </w:r>
          </w:p>
        </w:tc>
        <w:tc>
          <w:tcPr>
            <w:tcW w:w="1331"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F1 □</w:t>
            </w:r>
          </w:p>
        </w:tc>
        <w:tc>
          <w:tcPr>
            <w:tcW w:w="1425"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F2 □</w:t>
            </w:r>
          </w:p>
        </w:tc>
        <w:tc>
          <w:tcPr>
            <w:tcW w:w="1498"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F3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highlight w:val="red"/>
              </w:rPr>
            </w:pPr>
          </w:p>
        </w:tc>
        <w:tc>
          <w:tcPr>
            <w:tcW w:w="1526"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highlight w:val="red"/>
              </w:rPr>
            </w:pPr>
          </w:p>
        </w:tc>
        <w:tc>
          <w:tcPr>
            <w:tcW w:w="1038"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539"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环境敏感目标分级</w:t>
            </w:r>
          </w:p>
        </w:tc>
        <w:tc>
          <w:tcPr>
            <w:tcW w:w="1331"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S1 □</w:t>
            </w:r>
          </w:p>
        </w:tc>
        <w:tc>
          <w:tcPr>
            <w:tcW w:w="1425"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S2 □</w:t>
            </w:r>
          </w:p>
        </w:tc>
        <w:tc>
          <w:tcPr>
            <w:tcW w:w="1498"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S3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highlight w:val="red"/>
              </w:rPr>
            </w:pPr>
          </w:p>
        </w:tc>
        <w:tc>
          <w:tcPr>
            <w:tcW w:w="1526"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highlight w:val="red"/>
              </w:rPr>
            </w:pPr>
          </w:p>
        </w:tc>
        <w:tc>
          <w:tcPr>
            <w:tcW w:w="1038" w:type="dxa"/>
            <w:vMerge w:val="restart"/>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地下水</w:t>
            </w:r>
          </w:p>
        </w:tc>
        <w:tc>
          <w:tcPr>
            <w:tcW w:w="1539"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地下水功能敏感性</w:t>
            </w:r>
          </w:p>
        </w:tc>
        <w:tc>
          <w:tcPr>
            <w:tcW w:w="1331"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G1 □</w:t>
            </w:r>
          </w:p>
        </w:tc>
        <w:tc>
          <w:tcPr>
            <w:tcW w:w="1425"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G2 □</w:t>
            </w:r>
          </w:p>
        </w:tc>
        <w:tc>
          <w:tcPr>
            <w:tcW w:w="1498"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G3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highlight w:val="red"/>
              </w:rPr>
            </w:pPr>
          </w:p>
        </w:tc>
        <w:tc>
          <w:tcPr>
            <w:tcW w:w="1526"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highlight w:val="red"/>
              </w:rPr>
            </w:pPr>
          </w:p>
        </w:tc>
        <w:tc>
          <w:tcPr>
            <w:tcW w:w="1038"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highlight w:val="red"/>
              </w:rPr>
            </w:pPr>
          </w:p>
        </w:tc>
        <w:tc>
          <w:tcPr>
            <w:tcW w:w="1539"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包气带防污性能</w:t>
            </w:r>
          </w:p>
        </w:tc>
        <w:tc>
          <w:tcPr>
            <w:tcW w:w="1331"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D1 □</w:t>
            </w:r>
          </w:p>
        </w:tc>
        <w:tc>
          <w:tcPr>
            <w:tcW w:w="1425"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D2 □</w:t>
            </w:r>
          </w:p>
        </w:tc>
        <w:tc>
          <w:tcPr>
            <w:tcW w:w="1498"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D3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2449" w:type="dxa"/>
            <w:gridSpan w:val="2"/>
            <w:vMerge w:val="restart"/>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物质及工艺系统</w:t>
            </w:r>
          </w:p>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危险性</w:t>
            </w:r>
          </w:p>
        </w:tc>
        <w:tc>
          <w:tcPr>
            <w:tcW w:w="1038" w:type="dxa"/>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Q值</w:t>
            </w:r>
          </w:p>
        </w:tc>
        <w:tc>
          <w:tcPr>
            <w:tcW w:w="1539"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Q＜1√</w:t>
            </w:r>
          </w:p>
        </w:tc>
        <w:tc>
          <w:tcPr>
            <w:tcW w:w="1331"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1≤Q＜10 □</w:t>
            </w:r>
          </w:p>
        </w:tc>
        <w:tc>
          <w:tcPr>
            <w:tcW w:w="1425"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10≤Q＜100 □</w:t>
            </w:r>
          </w:p>
        </w:tc>
        <w:tc>
          <w:tcPr>
            <w:tcW w:w="1498"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Q＞100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2449" w:type="dxa"/>
            <w:gridSpan w:val="2"/>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038" w:type="dxa"/>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M值</w:t>
            </w:r>
          </w:p>
        </w:tc>
        <w:tc>
          <w:tcPr>
            <w:tcW w:w="1539"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M1 □</w:t>
            </w:r>
          </w:p>
        </w:tc>
        <w:tc>
          <w:tcPr>
            <w:tcW w:w="1331"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M2 □</w:t>
            </w:r>
          </w:p>
        </w:tc>
        <w:tc>
          <w:tcPr>
            <w:tcW w:w="1425"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M3 □</w:t>
            </w:r>
          </w:p>
        </w:tc>
        <w:tc>
          <w:tcPr>
            <w:tcW w:w="1498"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M4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2449" w:type="dxa"/>
            <w:gridSpan w:val="2"/>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038" w:type="dxa"/>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P值</w:t>
            </w:r>
          </w:p>
        </w:tc>
        <w:tc>
          <w:tcPr>
            <w:tcW w:w="1539"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P1 □</w:t>
            </w:r>
          </w:p>
        </w:tc>
        <w:tc>
          <w:tcPr>
            <w:tcW w:w="1331"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P2 □</w:t>
            </w:r>
          </w:p>
        </w:tc>
        <w:tc>
          <w:tcPr>
            <w:tcW w:w="1425"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P3 □</w:t>
            </w:r>
          </w:p>
        </w:tc>
        <w:tc>
          <w:tcPr>
            <w:tcW w:w="1498"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P4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2449" w:type="dxa"/>
            <w:gridSpan w:val="2"/>
            <w:vMerge w:val="restart"/>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环境敏感</w:t>
            </w:r>
          </w:p>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程度</w:t>
            </w:r>
          </w:p>
        </w:tc>
        <w:tc>
          <w:tcPr>
            <w:tcW w:w="1038" w:type="dxa"/>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大气</w:t>
            </w:r>
          </w:p>
        </w:tc>
        <w:tc>
          <w:tcPr>
            <w:tcW w:w="1916" w:type="dxa"/>
            <w:gridSpan w:val="6"/>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E1 □</w:t>
            </w:r>
          </w:p>
        </w:tc>
        <w:tc>
          <w:tcPr>
            <w:tcW w:w="1910"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E2 □</w:t>
            </w:r>
          </w:p>
        </w:tc>
        <w:tc>
          <w:tcPr>
            <w:tcW w:w="1967"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E3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2449" w:type="dxa"/>
            <w:gridSpan w:val="2"/>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038" w:type="dxa"/>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地表水</w:t>
            </w:r>
          </w:p>
        </w:tc>
        <w:tc>
          <w:tcPr>
            <w:tcW w:w="1916" w:type="dxa"/>
            <w:gridSpan w:val="6"/>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E1 □</w:t>
            </w:r>
          </w:p>
        </w:tc>
        <w:tc>
          <w:tcPr>
            <w:tcW w:w="1910"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E2 □</w:t>
            </w:r>
          </w:p>
        </w:tc>
        <w:tc>
          <w:tcPr>
            <w:tcW w:w="1967"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E3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2449" w:type="dxa"/>
            <w:gridSpan w:val="2"/>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038" w:type="dxa"/>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地下水</w:t>
            </w:r>
          </w:p>
        </w:tc>
        <w:tc>
          <w:tcPr>
            <w:tcW w:w="1916" w:type="dxa"/>
            <w:gridSpan w:val="6"/>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E1 □</w:t>
            </w:r>
          </w:p>
        </w:tc>
        <w:tc>
          <w:tcPr>
            <w:tcW w:w="1910"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E2 □</w:t>
            </w:r>
          </w:p>
        </w:tc>
        <w:tc>
          <w:tcPr>
            <w:tcW w:w="1967"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E3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2449"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环境风险潜势</w:t>
            </w:r>
          </w:p>
        </w:tc>
        <w:tc>
          <w:tcPr>
            <w:tcW w:w="1355"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Ⅳ+ □</w:t>
            </w:r>
          </w:p>
        </w:tc>
        <w:tc>
          <w:tcPr>
            <w:tcW w:w="1352"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Ⅳ □</w:t>
            </w:r>
          </w:p>
        </w:tc>
        <w:tc>
          <w:tcPr>
            <w:tcW w:w="1355"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Ⅲ □</w:t>
            </w:r>
          </w:p>
        </w:tc>
        <w:tc>
          <w:tcPr>
            <w:tcW w:w="1355"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Ⅱ □</w:t>
            </w:r>
          </w:p>
        </w:tc>
        <w:tc>
          <w:tcPr>
            <w:tcW w:w="1414" w:type="dxa"/>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I√</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2449"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评价等级</w:t>
            </w:r>
          </w:p>
        </w:tc>
        <w:tc>
          <w:tcPr>
            <w:tcW w:w="1697" w:type="dxa"/>
            <w:gridSpan w:val="3"/>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一级 □</w:t>
            </w:r>
          </w:p>
        </w:tc>
        <w:tc>
          <w:tcPr>
            <w:tcW w:w="1702"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二级 □</w:t>
            </w:r>
          </w:p>
        </w:tc>
        <w:tc>
          <w:tcPr>
            <w:tcW w:w="1693"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三级 □</w:t>
            </w:r>
          </w:p>
        </w:tc>
        <w:tc>
          <w:tcPr>
            <w:tcW w:w="1739" w:type="dxa"/>
            <w:gridSpan w:val="3"/>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简单分析√</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restart"/>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风</w:t>
            </w:r>
          </w:p>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险</w:t>
            </w:r>
          </w:p>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识</w:t>
            </w:r>
          </w:p>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别</w:t>
            </w:r>
          </w:p>
        </w:tc>
        <w:tc>
          <w:tcPr>
            <w:tcW w:w="1526" w:type="dxa"/>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物质危险性</w:t>
            </w:r>
          </w:p>
        </w:tc>
        <w:tc>
          <w:tcPr>
            <w:tcW w:w="3399" w:type="dxa"/>
            <w:gridSpan w:val="8"/>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有毒有害 □</w:t>
            </w:r>
          </w:p>
        </w:tc>
        <w:tc>
          <w:tcPr>
            <w:tcW w:w="3432" w:type="dxa"/>
            <w:gridSpan w:val="8"/>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易燃易爆√</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526" w:type="dxa"/>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环境风险</w:t>
            </w:r>
          </w:p>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类型</w:t>
            </w:r>
          </w:p>
        </w:tc>
        <w:tc>
          <w:tcPr>
            <w:tcW w:w="3399" w:type="dxa"/>
            <w:gridSpan w:val="8"/>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泄漏√</w:t>
            </w:r>
          </w:p>
        </w:tc>
        <w:tc>
          <w:tcPr>
            <w:tcW w:w="3432" w:type="dxa"/>
            <w:gridSpan w:val="8"/>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火灾、爆炸引发伴生/次生污染物排放√</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526" w:type="dxa"/>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影响途径</w:t>
            </w:r>
          </w:p>
        </w:tc>
        <w:tc>
          <w:tcPr>
            <w:tcW w:w="2261" w:type="dxa"/>
            <w:gridSpan w:val="4"/>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大气√</w:t>
            </w:r>
          </w:p>
        </w:tc>
        <w:tc>
          <w:tcPr>
            <w:tcW w:w="2261" w:type="dxa"/>
            <w:gridSpan w:val="7"/>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地表水√</w:t>
            </w:r>
          </w:p>
        </w:tc>
        <w:tc>
          <w:tcPr>
            <w:tcW w:w="2309"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地下水√</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2449"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事故情形分析</w:t>
            </w:r>
          </w:p>
        </w:tc>
        <w:tc>
          <w:tcPr>
            <w:tcW w:w="1697" w:type="dxa"/>
            <w:gridSpan w:val="3"/>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源强设定方法</w:t>
            </w:r>
          </w:p>
        </w:tc>
        <w:tc>
          <w:tcPr>
            <w:tcW w:w="1702"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计算法 □</w:t>
            </w:r>
          </w:p>
        </w:tc>
        <w:tc>
          <w:tcPr>
            <w:tcW w:w="1693"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经验估算法 □</w:t>
            </w:r>
          </w:p>
        </w:tc>
        <w:tc>
          <w:tcPr>
            <w:tcW w:w="1739" w:type="dxa"/>
            <w:gridSpan w:val="3"/>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其他估算法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restart"/>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风险</w:t>
            </w:r>
          </w:p>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预测</w:t>
            </w:r>
          </w:p>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与</w:t>
            </w:r>
          </w:p>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评价</w:t>
            </w:r>
          </w:p>
        </w:tc>
        <w:tc>
          <w:tcPr>
            <w:tcW w:w="1526" w:type="dxa"/>
            <w:vMerge w:val="restart"/>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大气</w:t>
            </w:r>
          </w:p>
        </w:tc>
        <w:tc>
          <w:tcPr>
            <w:tcW w:w="1697" w:type="dxa"/>
            <w:gridSpan w:val="3"/>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预测模型</w:t>
            </w:r>
          </w:p>
        </w:tc>
        <w:tc>
          <w:tcPr>
            <w:tcW w:w="1702"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SLAB □</w:t>
            </w:r>
          </w:p>
        </w:tc>
        <w:tc>
          <w:tcPr>
            <w:tcW w:w="1693" w:type="dxa"/>
            <w:gridSpan w:val="5"/>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AFTOX □</w:t>
            </w:r>
          </w:p>
        </w:tc>
        <w:tc>
          <w:tcPr>
            <w:tcW w:w="1739" w:type="dxa"/>
            <w:gridSpan w:val="3"/>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其他 □</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526"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697" w:type="dxa"/>
            <w:gridSpan w:val="3"/>
            <w:vMerge w:val="restart"/>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预测结果</w:t>
            </w:r>
          </w:p>
        </w:tc>
        <w:tc>
          <w:tcPr>
            <w:tcW w:w="5134" w:type="dxa"/>
            <w:gridSpan w:val="13"/>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大气毒性终点浓度-1 最大影响范围     m</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526"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697" w:type="dxa"/>
            <w:gridSpan w:val="3"/>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5134" w:type="dxa"/>
            <w:gridSpan w:val="13"/>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大气毒性终点浓度-2 最大影响范围     m</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526" w:type="dxa"/>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地表水</w:t>
            </w:r>
          </w:p>
        </w:tc>
        <w:tc>
          <w:tcPr>
            <w:tcW w:w="6831" w:type="dxa"/>
            <w:gridSpan w:val="16"/>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最近环境敏感目标      ，到达时间      h</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526" w:type="dxa"/>
            <w:vMerge w:val="restart"/>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地下水</w:t>
            </w:r>
          </w:p>
        </w:tc>
        <w:tc>
          <w:tcPr>
            <w:tcW w:w="6831" w:type="dxa"/>
            <w:gridSpan w:val="16"/>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下游厂区边界到达时间      d</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3"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1526" w:type="dxa"/>
            <w:vMerge w:val="continue"/>
            <w:tcBorders>
              <w:tl2br w:val="nil"/>
              <w:tr2bl w:val="nil"/>
            </w:tcBorders>
            <w:vAlign w:val="center"/>
          </w:tcPr>
          <w:p>
            <w:pPr>
              <w:widowControl/>
              <w:jc w:val="center"/>
              <w:textAlignment w:val="center"/>
              <w:rPr>
                <w:rFonts w:hint="default" w:ascii="Times New Roman" w:hAnsi="Times New Roman" w:eastAsia="宋体" w:cs="Times New Roman"/>
                <w:szCs w:val="21"/>
              </w:rPr>
            </w:pPr>
          </w:p>
        </w:tc>
        <w:tc>
          <w:tcPr>
            <w:tcW w:w="6831" w:type="dxa"/>
            <w:gridSpan w:val="16"/>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最近环境敏感目标      ，到达时间      d</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2449"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重点风险防范措施</w:t>
            </w:r>
          </w:p>
        </w:tc>
        <w:tc>
          <w:tcPr>
            <w:tcW w:w="6831" w:type="dxa"/>
            <w:gridSpan w:val="16"/>
            <w:tcBorders>
              <w:tl2br w:val="nil"/>
              <w:tr2bl w:val="nil"/>
            </w:tcBorders>
            <w:vAlign w:val="center"/>
          </w:tcPr>
          <w:p>
            <w:pPr>
              <w:widowControl/>
              <w:jc w:val="left"/>
              <w:rPr>
                <w:rFonts w:hint="default" w:ascii="Times New Roman" w:hAnsi="Times New Roman" w:eastAsia="宋体" w:cs="Times New Roman"/>
              </w:rPr>
            </w:pPr>
            <w:r>
              <w:rPr>
                <w:rFonts w:hint="default" w:ascii="Times New Roman" w:hAnsi="Times New Roman" w:eastAsia="宋体" w:cs="Times New Roman"/>
                <w:color w:val="000000"/>
                <w:kern w:val="0"/>
                <w:szCs w:val="21"/>
              </w:rPr>
              <w:t>1、按《危险废物贮存污染控制标准》（GB18597-2001）的要求建设危废暂存间，做好全封闭，做好贮存区的防风、防雨、防晒工作，后续监管中保证表面无裂缝，防止泄露事故，按重点污染防控区防渗监控，避免贮存的危险废物污染当地地下水和土壤；同时在贮存区域设置明显的警示牌标识；对危险废物的收集和管理，厂区应委派专人负责，并做好登记记录。</w:t>
            </w:r>
          </w:p>
          <w:p>
            <w:pPr>
              <w:widowControl/>
              <w:jc w:val="left"/>
              <w:rPr>
                <w:rFonts w:hint="default" w:ascii="Times New Roman" w:hAnsi="Times New Roman" w:eastAsia="宋体" w:cs="Times New Roman"/>
                <w:kern w:val="0"/>
                <w:sz w:val="24"/>
              </w:rPr>
            </w:pPr>
            <w:r>
              <w:rPr>
                <w:rFonts w:hint="default" w:ascii="Times New Roman" w:hAnsi="Times New Roman" w:eastAsia="宋体" w:cs="Times New Roman"/>
                <w:color w:val="000000"/>
                <w:kern w:val="0"/>
                <w:szCs w:val="21"/>
              </w:rPr>
              <w:t>2、生产事故废水设置应急事故处理池一个。</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2449" w:type="dxa"/>
            <w:gridSpan w:val="2"/>
            <w:tcBorders>
              <w:tl2br w:val="nil"/>
              <w:tr2bl w:val="nil"/>
            </w:tcBorders>
            <w:vAlign w:val="center"/>
          </w:tcPr>
          <w:p>
            <w:pPr>
              <w:widowControl/>
              <w:jc w:val="center"/>
              <w:textAlignment w:val="center"/>
              <w:rPr>
                <w:rFonts w:hint="default" w:ascii="Times New Roman" w:hAnsi="Times New Roman" w:eastAsia="宋体" w:cs="Times New Roman"/>
                <w:szCs w:val="21"/>
              </w:rPr>
            </w:pPr>
            <w:r>
              <w:rPr>
                <w:rFonts w:hint="default" w:ascii="Times New Roman" w:hAnsi="Times New Roman" w:eastAsia="宋体" w:cs="Times New Roman"/>
                <w:szCs w:val="21"/>
              </w:rPr>
              <w:t>评价结论与建议</w:t>
            </w:r>
          </w:p>
        </w:tc>
        <w:tc>
          <w:tcPr>
            <w:tcW w:w="6831" w:type="dxa"/>
            <w:gridSpan w:val="16"/>
            <w:tcBorders>
              <w:tl2br w:val="nil"/>
              <w:tr2bl w:val="nil"/>
            </w:tcBorders>
            <w:vAlign w:val="center"/>
          </w:tcPr>
          <w:p>
            <w:pPr>
              <w:autoSpaceDE w:val="0"/>
              <w:autoSpaceDN w:val="0"/>
              <w:adjustRightInd w:val="0"/>
              <w:jc w:val="left"/>
              <w:rPr>
                <w:rFonts w:hint="default" w:ascii="Times New Roman" w:hAnsi="Times New Roman" w:eastAsia="宋体" w:cs="Times New Roman"/>
                <w:bCs/>
                <w:szCs w:val="21"/>
              </w:rPr>
            </w:pPr>
            <w:r>
              <w:rPr>
                <w:rFonts w:hint="default" w:ascii="Times New Roman" w:hAnsi="Times New Roman" w:eastAsia="宋体" w:cs="Times New Roman"/>
                <w:kern w:val="0"/>
                <w:szCs w:val="21"/>
              </w:rPr>
              <w:t>项目发生事故的类型主要为选矿废水的泄漏。本项目严格采取报告中提出的风险防范措施后，可将事故的影响程度控制在可接受范围之内。在项目运营过程中，建设项目环境风险防范措施的有效。</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54" w:hRule="atLeast"/>
        </w:trPr>
        <w:tc>
          <w:tcPr>
            <w:tcW w:w="9280" w:type="dxa"/>
            <w:gridSpan w:val="18"/>
            <w:tcBorders>
              <w:tl2br w:val="nil"/>
              <w:tr2bl w:val="nil"/>
            </w:tcBorders>
            <w:vAlign w:val="center"/>
          </w:tcPr>
          <w:p>
            <w:pPr>
              <w:widowControl/>
              <w:jc w:val="center"/>
              <w:textAlignment w:val="center"/>
              <w:rPr>
                <w:rFonts w:hint="default" w:ascii="Times New Roman" w:hAnsi="Times New Roman" w:eastAsia="宋体" w:cs="Times New Roman"/>
                <w:szCs w:val="21"/>
                <w:highlight w:val="red"/>
              </w:rPr>
            </w:pPr>
            <w:r>
              <w:rPr>
                <w:rFonts w:hint="default" w:ascii="Times New Roman" w:hAnsi="Times New Roman" w:eastAsia="宋体" w:cs="Times New Roman"/>
                <w:szCs w:val="21"/>
              </w:rPr>
              <w:t>注：“□”为勾选项，“ ”为填写项。</w:t>
            </w:r>
          </w:p>
        </w:tc>
      </w:tr>
    </w:tbl>
    <w:p>
      <w:pPr>
        <w:pStyle w:val="350"/>
        <w:ind w:firstLine="0"/>
        <w:rPr>
          <w:rFonts w:hint="default" w:ascii="Times New Roman" w:hAnsi="Times New Roman" w:eastAsia="宋体" w:cs="Times New Roman"/>
          <w:color w:val="auto"/>
        </w:rPr>
      </w:pPr>
    </w:p>
    <w:sectPr>
      <w:pgSz w:w="11907" w:h="16840"/>
      <w:pgMar w:top="1418" w:right="1418" w:bottom="1418" w:left="1418" w:header="964" w:footer="964"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Verdana">
    <w:panose1 w:val="020B0604030504040204"/>
    <w:charset w:val="00"/>
    <w:family w:val="swiss"/>
    <w:pitch w:val="default"/>
    <w:sig w:usb0="A10006FF" w:usb1="4000205B" w:usb2="00000010" w:usb3="00000000" w:csb0="2000019F" w:csb1="00000000"/>
  </w:font>
  <w:font w:name="仿宋_GB2312">
    <w:altName w:val="仿宋"/>
    <w:panose1 w:val="00000000000000000000"/>
    <w:charset w:val="86"/>
    <w:family w:val="auto"/>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Bookman Old Style">
    <w:altName w:val="Segoe Print"/>
    <w:panose1 w:val="02050604050505020204"/>
    <w:charset w:val="00"/>
    <w:family w:val="roman"/>
    <w:pitch w:val="default"/>
    <w:sig w:usb0="00000000" w:usb1="00000000" w:usb2="00000000" w:usb3="00000000" w:csb0="2000009F" w:csb1="DFD70000"/>
  </w:font>
  <w:font w:name="Segoe Print">
    <w:panose1 w:val="02000600000000000000"/>
    <w:charset w:val="00"/>
    <w:family w:val="auto"/>
    <w:pitch w:val="default"/>
    <w:sig w:usb0="0000028F" w:usb1="00000000" w:usb2="00000000" w:usb3="00000000" w:csb0="2000009F" w:csb1="47010000"/>
  </w:font>
  <w:font w:name="方正大标宋简体">
    <w:altName w:val="宋体"/>
    <w:panose1 w:val="00000000000000000000"/>
    <w:charset w:val="86"/>
    <w:family w:val="auto"/>
    <w:pitch w:val="default"/>
    <w:sig w:usb0="00000000" w:usb1="00000000" w:usb2="00000010" w:usb3="00000000" w:csb0="00040000" w:csb1="00000000"/>
  </w:font>
  <w:font w:name="ˎ̥">
    <w:altName w:val="微软雅黑"/>
    <w:panose1 w:val="00000000000000000000"/>
    <w:charset w:val="00"/>
    <w:family w:val="roman"/>
    <w:pitch w:val="default"/>
    <w:sig w:usb0="00000000" w:usb1="00000000" w:usb2="00000000" w:usb3="00000000" w:csb0="00040001" w:csb1="00000000"/>
  </w:font>
  <w:font w:name="微软雅黑">
    <w:panose1 w:val="020B0503020204020204"/>
    <w:charset w:val="86"/>
    <w:family w:val="auto"/>
    <w:pitch w:val="default"/>
    <w:sig w:usb0="80000287" w:usb1="280F3C52" w:usb2="00000016" w:usb3="00000000" w:csb0="0004001F" w:csb1="00000000"/>
  </w:font>
  <w:font w:name="@宋体">
    <w:panose1 w:val="02010600030101010101"/>
    <w:charset w:val="86"/>
    <w:family w:val="auto"/>
    <w:pitch w:val="default"/>
    <w:sig w:usb0="00000003" w:usb1="288F0000" w:usb2="0000000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Arial Rounded MT Bold">
    <w:altName w:val="Arial"/>
    <w:panose1 w:val="020F0704030504030204"/>
    <w:charset w:val="00"/>
    <w:family w:val="swiss"/>
    <w:pitch w:val="default"/>
    <w:sig w:usb0="00000000" w:usb1="00000000" w:usb2="00000000" w:usb3="00000000" w:csb0="20000001" w:csb1="00000000"/>
  </w:font>
  <w:font w:name="Arial Unicode MS">
    <w:altName w:val="宋体"/>
    <w:panose1 w:val="020B0604020202020204"/>
    <w:charset w:val="86"/>
    <w:family w:val="swiss"/>
    <w:pitch w:val="default"/>
    <w:sig w:usb0="00000000" w:usb1="00000000" w:usb2="0000003F" w:usb3="00000000" w:csb0="603F01FF" w:csb1="FFFF0000"/>
  </w:font>
  <w:font w:name="汉鼎简书宋">
    <w:altName w:val="宋体"/>
    <w:panose1 w:val="00000000000000000000"/>
    <w:charset w:val="86"/>
    <w:family w:val="modern"/>
    <w:pitch w:val="default"/>
    <w:sig w:usb0="00000000" w:usb1="00000000" w:usb2="00000010" w:usb3="00000000" w:csb0="00040000" w:csb1="00000000"/>
  </w:font>
  <w:font w:name="Wingdings 2">
    <w:altName w:val="Wingdings"/>
    <w:panose1 w:val="05020102010507070707"/>
    <w:charset w:val="02"/>
    <w:family w:val="roman"/>
    <w:pitch w:val="default"/>
    <w:sig w:usb0="00000000" w:usb1="00000000" w:usb2="00000000" w:usb3="00000000" w:csb0="80000000" w:csb1="00000000"/>
  </w:font>
  <w:font w:name="MS PGothic">
    <w:panose1 w:val="020B0600070205080204"/>
    <w:charset w:val="80"/>
    <w:family w:val="auto"/>
    <w:pitch w:val="default"/>
    <w:sig w:usb0="E00002FF" w:usb1="6AC7FDFB" w:usb2="00000012" w:usb3="00000000" w:csb0="4002009F" w:csb1="DFD70000"/>
  </w:font>
  <w:font w:name="PMingLiU">
    <w:panose1 w:val="02020500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framePr w:wrap="around" w:vAnchor="text" w:hAnchor="margin" w:xAlign="center" w:y="1"/>
      <w:rPr>
        <w:rStyle w:val="113"/>
      </w:rPr>
    </w:pPr>
  </w:p>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framePr w:wrap="around" w:vAnchor="text" w:hAnchor="margin" w:xAlign="center" w:y="1"/>
      <w:rPr>
        <w:rStyle w:val="56"/>
      </w:rPr>
    </w:pPr>
    <w:r>
      <w:fldChar w:fldCharType="begin"/>
    </w:r>
    <w:r>
      <w:rPr>
        <w:rStyle w:val="56"/>
      </w:rPr>
      <w:instrText xml:space="preserve">PAGE  </w:instrText>
    </w:r>
    <w:r>
      <w:fldChar w:fldCharType="end"/>
    </w:r>
  </w:p>
  <w:p>
    <w:pPr>
      <w:pStyle w:val="3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Bdr>
        <w:top w:val="single" w:color="auto" w:sz="4" w:space="0"/>
      </w:pBdr>
      <w:ind w:right="360" w:firstLine="90" w:firstLineChars="50"/>
      <w:jc w:val="both"/>
    </w:pPr>
    <w:r>
      <w:pict>
        <v:shape id="文本框 3073" o:spid="_x0000_s3073"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6pebnPAAAABQEAAA8AAAAAAAAAAQAgAAAAIgAAAGRycy9kb3ducmV2LnhtbFBL&#10;AQIUABQAAAAIAIdO4kDHfRv7xgEAAJIDAAAOAAAAAAAAAAEAIAAAAB4BAABkcnMvZTJvRG9jLnht&#10;bFBLBQYAAAAABgAGAFkBAABWBQAAAAA=&#10;">
          <v:path/>
          <v:fill on="f" focussize="0,0"/>
          <v:stroke on="f" joinstyle="miter"/>
          <v:imagedata o:title=""/>
          <o:lock v:ext="edit"/>
          <v:textbox inset="0mm,0mm,0mm,0mm" style="mso-fit-shape-to-text:t;">
            <w:txbxContent>
              <w:p>
                <w:pPr>
                  <w:pStyle w:val="36"/>
                  <w:rPr>
                    <w:rStyle w:val="113"/>
                  </w:rPr>
                </w:pPr>
                <w:r>
                  <w:fldChar w:fldCharType="begin"/>
                </w:r>
                <w:r>
                  <w:rPr>
                    <w:rStyle w:val="113"/>
                  </w:rPr>
                  <w:instrText xml:space="preserve">PAGE  </w:instrText>
                </w:r>
                <w:r>
                  <w:fldChar w:fldCharType="separate"/>
                </w:r>
                <w:r>
                  <w:rPr>
                    <w:rStyle w:val="113"/>
                  </w:rPr>
                  <w:t>62</w:t>
                </w:r>
                <w: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Bdr>
        <w:left w:val="none" w:color="auto" w:sz="0" w:space="4"/>
        <w:bottom w:val="none" w:color="auto" w:sz="0" w:space="1"/>
        <w:right w:val="none" w:color="auto" w:sz="0" w:space="4"/>
      </w:pBdr>
      <w:ind w:right="360" w:firstLine="90" w:firstLineChars="50"/>
      <w:jc w:val="both"/>
    </w:pPr>
    <w:r>
      <w:pict>
        <v:shape id="文本框 3074" o:spid="_x0000_s3074" o:spt="202" type="#_x0000_t202" style="position:absolute;left:0pt;margin-top:0pt;height:144pt;width:144pt;mso-position-horizontal:center;mso-position-horizontal-relative:margin;mso-wrap-style:none;z-index:251666432;mso-width-relative:page;mso-height-relative:page;" filled="f" stroked="f" coordsize="21600,21600">
          <v:path/>
          <v:fill on="f" focussize="0,0"/>
          <v:stroke on="f"/>
          <v:imagedata o:title=""/>
          <o:lock v:ext="edit" aspectratio="f"/>
          <v:textbox inset="0mm,0mm,0mm,0mm" style="mso-fit-shape-to-text:t;">
            <w:txbxContent>
              <w:p>
                <w:pPr>
                  <w:pStyle w:val="36"/>
                  <w:rPr>
                    <w:rStyle w:val="113"/>
                  </w:rPr>
                </w:pPr>
                <w:r>
                  <w:fldChar w:fldCharType="begin"/>
                </w:r>
                <w:r>
                  <w:rPr>
                    <w:rStyle w:val="113"/>
                  </w:rPr>
                  <w:instrText xml:space="preserve">PAGE  </w:instrText>
                </w:r>
                <w:r>
                  <w:fldChar w:fldCharType="separate"/>
                </w:r>
                <w:r>
                  <w:rPr>
                    <w:rStyle w:val="113"/>
                  </w:rPr>
                  <w:t>22</w:t>
                </w:r>
                <w: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Bdr>
        <w:left w:val="none" w:color="auto" w:sz="0" w:space="4"/>
        <w:bottom w:val="none" w:color="auto" w:sz="0" w:space="1"/>
        <w:right w:val="none" w:color="auto" w:sz="0" w:space="4"/>
      </w:pBdr>
      <w:ind w:right="360" w:firstLine="90" w:firstLineChars="50"/>
      <w:jc w:val="both"/>
    </w:pPr>
    <w:r>
      <w:pict>
        <v:shape id="_x0000_s3075" o:spid="_x0000_s3075" o:spt="202" type="#_x0000_t202" style="position:absolute;left:0pt;margin-top:0pt;height:144pt;width:144pt;mso-position-horizontal:center;mso-position-horizontal-relative:margin;mso-wrap-style:none;z-index:251671552;mso-width-relative:page;mso-height-relative:page;" filled="f" stroked="f" coordsize="21600,21600">
          <v:path/>
          <v:fill on="f" focussize="0,0"/>
          <v:stroke on="f"/>
          <v:imagedata o:title=""/>
          <o:lock v:ext="edit" aspectratio="f"/>
          <v:textbox inset="0mm,0mm,0mm,0mm" style="mso-fit-shape-to-text:t;">
            <w:txbxContent>
              <w:p>
                <w:pPr>
                  <w:pStyle w:val="36"/>
                  <w:rPr>
                    <w:rStyle w:val="113"/>
                  </w:rPr>
                </w:pPr>
                <w:r>
                  <w:fldChar w:fldCharType="begin"/>
                </w:r>
                <w:r>
                  <w:rPr>
                    <w:rStyle w:val="113"/>
                  </w:rPr>
                  <w:instrText xml:space="preserve">PAGE  </w:instrText>
                </w:r>
                <w:r>
                  <w:fldChar w:fldCharType="separate"/>
                </w:r>
                <w:r>
                  <w:rPr>
                    <w:rStyle w:val="113"/>
                  </w:rPr>
                  <w:t>24</w:t>
                </w:r>
                <w:r>
                  <w:fldChar w:fldCharType="end"/>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jc w:val="center"/>
    </w:pPr>
    <w:r>
      <w:pict>
        <v:shape id="文本框 3076" o:spid="_x0000_s3077" o:spt="202" type="#_x0000_t202" style="position:absolute;left:0pt;margin-top:0pt;height:144pt;width:144pt;mso-position-horizontal:center;mso-position-horizontal-relative:margin;mso-wrap-style:none;z-index:251667456;mso-width-relative:page;mso-height-relative:page;" filled="f" stroked="f" coordsize="21600,21600">
          <v:path/>
          <v:fill on="f" focussize="0,0"/>
          <v:stroke on="f"/>
          <v:imagedata o:title=""/>
          <o:lock v:ext="edit" aspectratio="f"/>
          <v:textbox inset="0mm,0mm,0mm,0mm" style="mso-fit-shape-to-text:t;">
            <w:txbxContent>
              <w:p>
                <w:pPr>
                  <w:pStyle w:val="36"/>
                  <w:jc w:val="center"/>
                </w:pPr>
                <w:r>
                  <w:fldChar w:fldCharType="begin"/>
                </w:r>
                <w:r>
                  <w:instrText xml:space="preserve"> PAGE   \* MERGEFORMAT </w:instrText>
                </w:r>
                <w:r>
                  <w:fldChar w:fldCharType="separate"/>
                </w:r>
                <w:r>
                  <w:rPr>
                    <w:lang w:val="zh-CN"/>
                  </w:rPr>
                  <w:t>180</w:t>
                </w:r>
                <w:r>
                  <w:rPr>
                    <w:lang w:val="zh-CN"/>
                  </w:rPr>
                  <w:fldChar w:fldCharType="end"/>
                </w:r>
              </w:p>
            </w:txbxContent>
          </v:textbox>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w:pict>
        <v:shape id="_x0000_s3078" o:spid="_x0000_s3078" o:spt="202" type="#_x0000_t202" style="position:absolute;left:0pt;margin-top:0pt;height:144pt;width:144pt;mso-position-horizontal:center;mso-position-horizontal-relative:margin;mso-wrap-style:none;z-index:251684864;mso-width-relative:page;mso-height-relative:page;" filled="f" stroked="f" coordsize="21600,21600">
          <v:path/>
          <v:fill on="f" focussize="0,0"/>
          <v:stroke on="f"/>
          <v:imagedata o:title=""/>
          <o:lock v:ext="edit" aspectratio="f"/>
          <v:textbox inset="0mm,0mm,0mm,0mm" style="mso-fit-shape-to-text:t;">
            <w:txbxContent>
              <w:p>
                <w:pPr>
                  <w:pStyle w:val="36"/>
                  <w:rPr>
                    <w:rFonts w:hint="eastAsia"/>
                  </w:rPr>
                </w:pPr>
                <w:r>
                  <w:rPr>
                    <w:rFonts w:hint="eastAsia"/>
                  </w:rPr>
                  <w:fldChar w:fldCharType="begin"/>
                </w:r>
                <w:r>
                  <w:rPr>
                    <w:rFonts w:hint="eastAsia"/>
                  </w:rPr>
                  <w:instrText xml:space="preserve"> PAGE  \* MERGEFORMAT </w:instrText>
                </w:r>
                <w:r>
                  <w:rPr>
                    <w:rFonts w:hint="eastAsia"/>
                  </w:rPr>
                  <w:fldChar w:fldCharType="separate"/>
                </w:r>
                <w:r>
                  <w:t>117</w:t>
                </w:r>
                <w:r>
                  <w:rPr>
                    <w:rFonts w:hint="eastAsia"/>
                  </w:rPr>
                  <w:fldChar w:fldCharType="end"/>
                </w:r>
              </w:p>
            </w:txbxContent>
          </v:textbox>
        </v:shape>
      </w:pict>
    </w:r>
    <w:r>
      <w:rPr>
        <w:rFonts w:hint="eastAsia"/>
      </w:rP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framePr w:wrap="around" w:vAnchor="text" w:hAnchor="margin" w:xAlign="center" w:y="1"/>
      <w:rPr>
        <w:rStyle w:val="56"/>
      </w:rPr>
    </w:pPr>
    <w:r>
      <w:fldChar w:fldCharType="begin"/>
    </w:r>
    <w:r>
      <w:rPr>
        <w:rStyle w:val="56"/>
      </w:rPr>
      <w:instrText xml:space="preserve">PAGE  </w:instrText>
    </w:r>
    <w:r>
      <w:fldChar w:fldCharType="end"/>
    </w:r>
  </w:p>
  <w:p>
    <w:pPr>
      <w:pStyle w:val="36"/>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Bdr>
        <w:left w:val="none" w:color="auto" w:sz="0" w:space="4"/>
        <w:bottom w:val="none" w:color="auto" w:sz="0" w:space="1"/>
        <w:right w:val="none" w:color="auto" w:sz="0" w:space="4"/>
      </w:pBdr>
      <w:ind w:right="360" w:firstLine="90" w:firstLineChars="50"/>
      <w:jc w:val="both"/>
    </w:pPr>
    <w:r>
      <w:pict>
        <v:shape id="_x0000_s3079" o:spid="_x0000_s3079" o:spt="202" type="#_x0000_t202" style="position:absolute;left:0pt;margin-top:0pt;height:144pt;width:144pt;mso-position-horizontal:center;mso-position-horizontal-relative:margin;mso-wrap-style:none;z-index:251694080;mso-width-relative:page;mso-height-relative:page;" filled="f" stroked="f" coordsize="21600,21600">
          <v:path/>
          <v:fill on="f" focussize="0,0"/>
          <v:stroke on="f"/>
          <v:imagedata o:title=""/>
          <o:lock v:ext="edit" aspectratio="f"/>
          <v:textbox inset="0mm,0mm,0mm,0mm" style="mso-fit-shape-to-text:t;">
            <w:txbxContent>
              <w:p>
                <w:pPr>
                  <w:pStyle w:val="36"/>
                  <w:rPr>
                    <w:rStyle w:val="113"/>
                  </w:rPr>
                </w:pPr>
                <w:r>
                  <w:fldChar w:fldCharType="begin"/>
                </w:r>
                <w:r>
                  <w:rPr>
                    <w:rStyle w:val="113"/>
                  </w:rPr>
                  <w:instrText xml:space="preserve">PAGE  </w:instrText>
                </w:r>
                <w:r>
                  <w:fldChar w:fldCharType="separate"/>
                </w:r>
                <w:r>
                  <w:rPr>
                    <w:rStyle w:val="113"/>
                  </w:rPr>
                  <w:t>24</w:t>
                </w:r>
                <w: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snapToGrid w:val="0"/>
      <w:jc w:val="center"/>
      <w:rPr>
        <w:bCs/>
        <w:sz w:val="18"/>
        <w:szCs w:val="18"/>
      </w:rPr>
    </w:pPr>
    <w:r>
      <w:rPr>
        <w:rFonts w:hint="eastAsia"/>
        <w:bCs/>
        <w:sz w:val="18"/>
        <w:szCs w:val="18"/>
        <w:lang w:eastAsia="zh-CN"/>
      </w:rPr>
      <w:t>北票市冶通矿业有限公司年产</w:t>
    </w:r>
    <w:r>
      <w:rPr>
        <w:rFonts w:hint="eastAsia"/>
        <w:bCs/>
        <w:sz w:val="18"/>
        <w:szCs w:val="18"/>
        <w:lang w:val="en-US" w:eastAsia="zh-CN"/>
      </w:rPr>
      <w:t>50万吨铁精粉</w:t>
    </w:r>
    <w:r>
      <w:rPr>
        <w:rFonts w:hint="eastAsia"/>
        <w:bCs/>
        <w:sz w:val="18"/>
        <w:szCs w:val="18"/>
      </w:rPr>
      <w:t>建设项目环境影响报告书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snapToGrid w:val="0"/>
      <w:jc w:val="center"/>
    </w:pPr>
    <w:r>
      <w:rPr>
        <w:rFonts w:hint="eastAsia"/>
        <w:bCs/>
        <w:sz w:val="18"/>
        <w:szCs w:val="18"/>
        <w:lang w:eastAsia="zh-CN"/>
      </w:rPr>
      <w:t>北票市冶通矿业有限公司年产</w:t>
    </w:r>
    <w:r>
      <w:rPr>
        <w:rFonts w:hint="eastAsia"/>
        <w:bCs/>
        <w:sz w:val="18"/>
        <w:szCs w:val="18"/>
        <w:lang w:val="en-US" w:eastAsia="zh-CN"/>
      </w:rPr>
      <w:t>50万吨铁精粉</w:t>
    </w:r>
    <w:r>
      <w:rPr>
        <w:rFonts w:hint="eastAsia"/>
        <w:bCs/>
        <w:sz w:val="18"/>
        <w:szCs w:val="18"/>
      </w:rPr>
      <w:t>建设项目环境影响报告书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rPr>
        <w:bCs/>
        <w:szCs w:val="18"/>
      </w:rPr>
    </w:pPr>
    <w:r>
      <w:rPr>
        <w:rFonts w:hint="eastAsia"/>
        <w:bCs/>
        <w:sz w:val="18"/>
        <w:szCs w:val="18"/>
        <w:lang w:eastAsia="zh-CN"/>
      </w:rPr>
      <w:t>北票市冶通矿业有限公司年产</w:t>
    </w:r>
    <w:r>
      <w:rPr>
        <w:rFonts w:hint="eastAsia"/>
        <w:bCs/>
        <w:sz w:val="18"/>
        <w:szCs w:val="18"/>
        <w:lang w:val="en-US" w:eastAsia="zh-CN"/>
      </w:rPr>
      <w:t>50万吨铁精粉</w:t>
    </w:r>
    <w:r>
      <w:rPr>
        <w:rFonts w:hint="eastAsia"/>
        <w:bCs/>
        <w:sz w:val="18"/>
        <w:szCs w:val="18"/>
      </w:rPr>
      <w:t>建设项目</w:t>
    </w:r>
    <w:r>
      <w:rPr>
        <w:rFonts w:hint="eastAsia"/>
        <w:bCs/>
        <w:szCs w:val="18"/>
      </w:rPr>
      <w:t>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rPr>
        <w:szCs w:val="18"/>
      </w:rPr>
    </w:pPr>
    <w:r>
      <w:rPr>
        <w:rFonts w:hint="eastAsia"/>
        <w:bCs/>
        <w:sz w:val="18"/>
        <w:szCs w:val="18"/>
        <w:lang w:eastAsia="zh-CN"/>
      </w:rPr>
      <w:t>北票市冶通矿业有限公司年产</w:t>
    </w:r>
    <w:r>
      <w:rPr>
        <w:rFonts w:hint="eastAsia"/>
        <w:bCs/>
        <w:sz w:val="18"/>
        <w:szCs w:val="18"/>
        <w:lang w:val="en-US" w:eastAsia="zh-CN"/>
      </w:rPr>
      <w:t>50万吨铁精粉</w:t>
    </w:r>
    <w:r>
      <w:rPr>
        <w:rFonts w:hint="eastAsia"/>
        <w:bCs/>
        <w:sz w:val="18"/>
        <w:szCs w:val="18"/>
      </w:rPr>
      <w:t>建设项目</w:t>
    </w:r>
    <w:r>
      <w:rPr>
        <w:rFonts w:hint="eastAsia"/>
        <w:szCs w:val="18"/>
      </w:rPr>
      <w:t>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rPr>
        <w:bCs/>
        <w:szCs w:val="18"/>
      </w:rPr>
    </w:pPr>
    <w:r>
      <w:rPr>
        <w:rFonts w:hint="eastAsia"/>
        <w:bCs/>
        <w:sz w:val="18"/>
        <w:szCs w:val="18"/>
        <w:lang w:eastAsia="zh-CN"/>
      </w:rPr>
      <w:t>北票市冶通矿业有限公司年产</w:t>
    </w:r>
    <w:r>
      <w:rPr>
        <w:rFonts w:hint="eastAsia"/>
        <w:bCs/>
        <w:sz w:val="18"/>
        <w:szCs w:val="18"/>
        <w:lang w:val="en-US" w:eastAsia="zh-CN"/>
      </w:rPr>
      <w:t>50万吨铁精粉</w:t>
    </w:r>
    <w:r>
      <w:rPr>
        <w:rFonts w:hint="eastAsia"/>
        <w:bCs/>
        <w:sz w:val="18"/>
        <w:szCs w:val="18"/>
      </w:rPr>
      <w:t>建设项目</w:t>
    </w:r>
    <w:r>
      <w:rPr>
        <w:rFonts w:hint="eastAsia"/>
        <w:bCs/>
        <w:szCs w:val="18"/>
      </w:rPr>
      <w:t>环境影响报告书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Pr>
    <w:r>
      <w:rPr>
        <w:rFonts w:hint="eastAsia"/>
        <w:bCs/>
        <w:sz w:val="18"/>
        <w:szCs w:val="18"/>
        <w:lang w:eastAsia="zh-CN"/>
      </w:rPr>
      <w:t>北票市冶通矿业有限公司年产</w:t>
    </w:r>
    <w:r>
      <w:rPr>
        <w:rFonts w:hint="eastAsia"/>
        <w:bCs/>
        <w:sz w:val="18"/>
        <w:szCs w:val="18"/>
        <w:lang w:val="en-US" w:eastAsia="zh-CN"/>
      </w:rPr>
      <w:t>50万吨铁精粉</w:t>
    </w:r>
    <w:r>
      <w:rPr>
        <w:rFonts w:hint="eastAsia"/>
        <w:bCs/>
        <w:sz w:val="18"/>
        <w:szCs w:val="18"/>
      </w:rPr>
      <w:t>建设项目</w:t>
    </w:r>
    <w:r>
      <w:rPr>
        <w:rFonts w:hint="eastAsia"/>
        <w:szCs w:val="18"/>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56FEB6F"/>
    <w:multiLevelType w:val="singleLevel"/>
    <w:tmpl w:val="D56FEB6F"/>
    <w:lvl w:ilvl="0" w:tentative="0">
      <w:start w:val="2"/>
      <w:numFmt w:val="decimal"/>
      <w:suff w:val="nothing"/>
      <w:lvlText w:val="%1、"/>
      <w:lvlJc w:val="left"/>
    </w:lvl>
  </w:abstractNum>
  <w:abstractNum w:abstractNumId="1">
    <w:nsid w:val="0381821D"/>
    <w:multiLevelType w:val="singleLevel"/>
    <w:tmpl w:val="0381821D"/>
    <w:lvl w:ilvl="0" w:tentative="0">
      <w:start w:val="1"/>
      <w:numFmt w:val="decimal"/>
      <w:suff w:val="nothing"/>
      <w:lvlText w:val="（%1）"/>
      <w:lvlJc w:val="left"/>
    </w:lvl>
  </w:abstractNum>
  <w:abstractNum w:abstractNumId="2">
    <w:nsid w:val="057B6B10"/>
    <w:multiLevelType w:val="multilevel"/>
    <w:tmpl w:val="057B6B10"/>
    <w:lvl w:ilvl="0" w:tentative="0">
      <w:start w:val="1"/>
      <w:numFmt w:val="decimal"/>
      <w:suff w:val="space"/>
      <w:lvlText w:val="%1"/>
      <w:lvlJc w:val="left"/>
      <w:pPr>
        <w:ind w:left="255" w:hanging="255"/>
      </w:pPr>
      <w:rPr>
        <w:rFonts w:hint="default" w:ascii="Times New Roman" w:hAnsi="Times New Roman" w:eastAsia="黑体"/>
        <w:b w:val="0"/>
        <w:i w:val="0"/>
        <w:sz w:val="30"/>
        <w:szCs w:val="30"/>
      </w:rPr>
    </w:lvl>
    <w:lvl w:ilvl="1" w:tentative="0">
      <w:start w:val="1"/>
      <w:numFmt w:val="decimal"/>
      <w:suff w:val="space"/>
      <w:lvlText w:val="%1.%2"/>
      <w:lvlJc w:val="left"/>
      <w:pPr>
        <w:ind w:left="0" w:firstLine="0"/>
      </w:pPr>
      <w:rPr>
        <w:rFonts w:hint="default" w:ascii="Times New Roman" w:hAnsi="Times New Roman" w:eastAsia="宋体"/>
        <w:b w:val="0"/>
        <w:i w:val="0"/>
        <w:sz w:val="28"/>
        <w:szCs w:val="28"/>
      </w:rPr>
    </w:lvl>
    <w:lvl w:ilvl="2" w:tentative="0">
      <w:start w:val="1"/>
      <w:numFmt w:val="decimal"/>
      <w:suff w:val="space"/>
      <w:lvlText w:val="%1.%2.%3"/>
      <w:lvlJc w:val="left"/>
      <w:pPr>
        <w:ind w:left="0" w:firstLine="0"/>
      </w:pPr>
      <w:rPr>
        <w:rFonts w:hint="default" w:ascii="Times New Roman" w:hAnsi="Times New Roman" w:eastAsia="宋体" w:cs="Times New Roman"/>
        <w:b w:val="0"/>
        <w:bCs w:val="0"/>
        <w:i w:val="0"/>
        <w:iCs w:val="0"/>
        <w:caps w:val="0"/>
        <w:smallCaps w:val="0"/>
        <w:strike w:val="0"/>
        <w:dstrike w:val="0"/>
        <w:outline w:val="0"/>
        <w:shadow w:val="0"/>
        <w:emboss w:val="0"/>
        <w:imprint w:val="0"/>
        <w:vanish w:val="0"/>
        <w:spacing w:val="0"/>
        <w:position w:val="0"/>
        <w:sz w:val="24"/>
        <w:szCs w:val="24"/>
        <w:u w:val="none"/>
        <w:vertAlign w:val="baseline"/>
      </w:rPr>
    </w:lvl>
    <w:lvl w:ilvl="3" w:tentative="0">
      <w:start w:val="1"/>
      <w:numFmt w:val="decimal"/>
      <w:suff w:val="space"/>
      <w:lvlText w:val="%1.%2.%3.%4"/>
      <w:lvlJc w:val="left"/>
      <w:pPr>
        <w:ind w:left="851" w:hanging="851"/>
      </w:pPr>
      <w:rPr>
        <w:rFonts w:hint="default" w:ascii="Times New Roman" w:hAnsi="Times New Roman" w:eastAsia="宋体" w:cs="Times New Roman"/>
        <w:b w:val="0"/>
        <w:bCs w:val="0"/>
        <w:i w:val="0"/>
        <w:iCs w:val="0"/>
        <w:caps w:val="0"/>
        <w:smallCaps w:val="0"/>
        <w:strike w:val="0"/>
        <w:dstrike w:val="0"/>
        <w:outline w:val="0"/>
        <w:shadow w:val="0"/>
        <w:emboss w:val="0"/>
        <w:imprint w:val="0"/>
        <w:vanish w:val="0"/>
        <w:spacing w:val="0"/>
        <w:position w:val="0"/>
        <w:sz w:val="24"/>
        <w:szCs w:val="24"/>
        <w:u w:val="none"/>
        <w:vertAlign w:val="baseline"/>
      </w:rPr>
    </w:lvl>
    <w:lvl w:ilvl="4" w:tentative="0">
      <w:start w:val="1"/>
      <w:numFmt w:val="decimal"/>
      <w:lvlRestart w:val="1"/>
      <w:pStyle w:val="355"/>
      <w:isLgl/>
      <w:lvlText w:val="表%1-%5"/>
      <w:lvlJc w:val="center"/>
      <w:pPr>
        <w:tabs>
          <w:tab w:val="left" w:pos="227"/>
        </w:tabs>
        <w:ind w:left="0" w:firstLine="0"/>
      </w:pPr>
      <w:rPr>
        <w:rFonts w:hint="default" w:ascii="Times New Roman" w:hAnsi="Times New Roman"/>
        <w:b/>
        <w:bCs w:val="0"/>
        <w:i w:val="0"/>
        <w:iCs w:val="0"/>
        <w:caps w:val="0"/>
        <w:smallCaps w:val="0"/>
        <w:strike w:val="0"/>
        <w:dstrike w:val="0"/>
        <w:outline w:val="0"/>
        <w:shadow w:val="0"/>
        <w:emboss w:val="0"/>
        <w:imprint w:val="0"/>
        <w:vanish w:val="0"/>
        <w:spacing w:val="0"/>
        <w:position w:val="0"/>
        <w:u w:val="none"/>
        <w:vertAlign w:val="baseline"/>
      </w:rPr>
    </w:lvl>
    <w:lvl w:ilvl="5" w:tentative="0">
      <w:start w:val="1"/>
      <w:numFmt w:val="decimal"/>
      <w:lvlRestart w:val="1"/>
      <w:isLgl/>
      <w:suff w:val="space"/>
      <w:lvlText w:val="图%1-%6"/>
      <w:lvlJc w:val="center"/>
      <w:pPr>
        <w:ind w:left="0" w:firstLine="288"/>
      </w:pPr>
      <w:rPr>
        <w:rFonts w:hint="default" w:ascii="Times New Roman" w:hAnsi="Times New Roman" w:eastAsia="宋体" w:cs="Times New Roman"/>
        <w:b/>
        <w:bCs w:val="0"/>
        <w:i w:val="0"/>
        <w:iCs w:val="0"/>
        <w:caps w:val="0"/>
        <w:smallCaps w:val="0"/>
        <w:strike w:val="0"/>
        <w:dstrike w:val="0"/>
        <w:outline w:val="0"/>
        <w:shadow w:val="0"/>
        <w:emboss w:val="0"/>
        <w:imprint w:val="0"/>
        <w:vanish w:val="0"/>
        <w:spacing w:val="0"/>
        <w:position w:val="0"/>
        <w:sz w:val="24"/>
        <w:szCs w:val="24"/>
        <w:u w:val="none"/>
        <w:vertAlign w:val="baseline"/>
      </w:rPr>
    </w:lvl>
    <w:lvl w:ilvl="6" w:tentative="0">
      <w:start w:val="1"/>
      <w:numFmt w:val="decimal"/>
      <w:lvlRestart w:val="4"/>
      <w:suff w:val="nothing"/>
      <w:lvlText w:val="（%7）"/>
      <w:lvlJc w:val="left"/>
      <w:pPr>
        <w:ind w:left="0" w:firstLine="400"/>
      </w:pPr>
      <w:rPr>
        <w:rFonts w:hint="default" w:ascii="Times New Roman" w:hAnsi="Times New Roman" w:eastAsia="宋体"/>
        <w:b w:val="0"/>
        <w:i w:val="0"/>
        <w:sz w:val="24"/>
        <w:szCs w:val="24"/>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3">
    <w:nsid w:val="646260FA"/>
    <w:multiLevelType w:val="multilevel"/>
    <w:tmpl w:val="646260FA"/>
    <w:lvl w:ilvl="0" w:tentative="0">
      <w:start w:val="1"/>
      <w:numFmt w:val="decimal"/>
      <w:pStyle w:val="258"/>
      <w:suff w:val="nothing"/>
      <w:lvlText w:val="表%1　"/>
      <w:lvlJc w:val="left"/>
      <w:pPr>
        <w:ind w:left="0"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bordersDoNotSurroundHeader w:val="0"/>
  <w:bordersDoNotSurroundFooter w:val="0"/>
  <w:hideSpellingErrors/>
  <w:documentProtection w:enforcement="0"/>
  <w:defaultTabStop w:val="50"/>
  <w:drawingGridHorizontalSpacing w:val="105"/>
  <w:drawingGridVerticalSpacing w:val="3"/>
  <w:displayHorizontalDrawingGridEvery w:val="1"/>
  <w:displayVerticalDrawingGridEvery w:val="1"/>
  <w:doNotShadeFormData w:val="1"/>
  <w:noPunctuationKerning w:val="1"/>
  <w:characterSpacingControl w:val="compressPunctuation"/>
  <w:doNotValidateAgainstSchema/>
  <w:doNotDemarcateInvalidXml/>
  <w:hdrShapeDefaults>
    <o:shapelayout v:ext="edit">
      <o:idmap v:ext="edit" data="3"/>
    </o:shapelayout>
  </w:hdrShapeDefaults>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172A27"/>
    <w:rsid w:val="00000362"/>
    <w:rsid w:val="00000884"/>
    <w:rsid w:val="00004CEE"/>
    <w:rsid w:val="00005AEB"/>
    <w:rsid w:val="00005C61"/>
    <w:rsid w:val="00006FC1"/>
    <w:rsid w:val="0000717E"/>
    <w:rsid w:val="00010F24"/>
    <w:rsid w:val="000115FB"/>
    <w:rsid w:val="00011F7F"/>
    <w:rsid w:val="00012DF1"/>
    <w:rsid w:val="000228D3"/>
    <w:rsid w:val="00024364"/>
    <w:rsid w:val="0002555E"/>
    <w:rsid w:val="00025ABA"/>
    <w:rsid w:val="00025CEA"/>
    <w:rsid w:val="00026C20"/>
    <w:rsid w:val="00026F5B"/>
    <w:rsid w:val="0003019E"/>
    <w:rsid w:val="00030732"/>
    <w:rsid w:val="0003158F"/>
    <w:rsid w:val="00031E08"/>
    <w:rsid w:val="00031F48"/>
    <w:rsid w:val="00032F97"/>
    <w:rsid w:val="00033C12"/>
    <w:rsid w:val="00042909"/>
    <w:rsid w:val="000435B3"/>
    <w:rsid w:val="0004427D"/>
    <w:rsid w:val="00050408"/>
    <w:rsid w:val="00050DA7"/>
    <w:rsid w:val="00050FCD"/>
    <w:rsid w:val="000531C0"/>
    <w:rsid w:val="000538AE"/>
    <w:rsid w:val="00055A74"/>
    <w:rsid w:val="00057E14"/>
    <w:rsid w:val="00061AB5"/>
    <w:rsid w:val="000624EC"/>
    <w:rsid w:val="00065E65"/>
    <w:rsid w:val="000727CB"/>
    <w:rsid w:val="0007615F"/>
    <w:rsid w:val="000761DB"/>
    <w:rsid w:val="00076C14"/>
    <w:rsid w:val="00076CE2"/>
    <w:rsid w:val="000770FE"/>
    <w:rsid w:val="0008401E"/>
    <w:rsid w:val="00085922"/>
    <w:rsid w:val="0008599A"/>
    <w:rsid w:val="00087484"/>
    <w:rsid w:val="000928BF"/>
    <w:rsid w:val="00095D83"/>
    <w:rsid w:val="000A00C4"/>
    <w:rsid w:val="000B067B"/>
    <w:rsid w:val="000B2607"/>
    <w:rsid w:val="000B27CD"/>
    <w:rsid w:val="000B3347"/>
    <w:rsid w:val="000B39B1"/>
    <w:rsid w:val="000B3CEA"/>
    <w:rsid w:val="000B6CB3"/>
    <w:rsid w:val="000C33A5"/>
    <w:rsid w:val="000C5E37"/>
    <w:rsid w:val="000C670E"/>
    <w:rsid w:val="000C7462"/>
    <w:rsid w:val="000C799B"/>
    <w:rsid w:val="000C7B22"/>
    <w:rsid w:val="000D009D"/>
    <w:rsid w:val="000D0DDA"/>
    <w:rsid w:val="000D2027"/>
    <w:rsid w:val="000D3EA5"/>
    <w:rsid w:val="000D50C1"/>
    <w:rsid w:val="000D55CE"/>
    <w:rsid w:val="000D5C9F"/>
    <w:rsid w:val="000E0AF7"/>
    <w:rsid w:val="000E0E7E"/>
    <w:rsid w:val="000E0FEE"/>
    <w:rsid w:val="000E1B3D"/>
    <w:rsid w:val="000E2514"/>
    <w:rsid w:val="000E39A4"/>
    <w:rsid w:val="000E51AD"/>
    <w:rsid w:val="000E5E7A"/>
    <w:rsid w:val="000F1A7B"/>
    <w:rsid w:val="000F1C3E"/>
    <w:rsid w:val="000F2C7B"/>
    <w:rsid w:val="000F376A"/>
    <w:rsid w:val="000F5A97"/>
    <w:rsid w:val="000F792C"/>
    <w:rsid w:val="000F7955"/>
    <w:rsid w:val="00102D8A"/>
    <w:rsid w:val="0010306E"/>
    <w:rsid w:val="00103F87"/>
    <w:rsid w:val="001049B4"/>
    <w:rsid w:val="00107AFF"/>
    <w:rsid w:val="001104E1"/>
    <w:rsid w:val="001170DB"/>
    <w:rsid w:val="0011783F"/>
    <w:rsid w:val="00120AD4"/>
    <w:rsid w:val="00122B70"/>
    <w:rsid w:val="001239C6"/>
    <w:rsid w:val="00126E81"/>
    <w:rsid w:val="001304E6"/>
    <w:rsid w:val="00131233"/>
    <w:rsid w:val="0013396B"/>
    <w:rsid w:val="00135E72"/>
    <w:rsid w:val="00136342"/>
    <w:rsid w:val="00136433"/>
    <w:rsid w:val="00142ED9"/>
    <w:rsid w:val="00143309"/>
    <w:rsid w:val="001455E3"/>
    <w:rsid w:val="00146416"/>
    <w:rsid w:val="00147506"/>
    <w:rsid w:val="001513E3"/>
    <w:rsid w:val="00153F2F"/>
    <w:rsid w:val="00154B65"/>
    <w:rsid w:val="00156B46"/>
    <w:rsid w:val="0015702A"/>
    <w:rsid w:val="001636C3"/>
    <w:rsid w:val="0016441C"/>
    <w:rsid w:val="00164C78"/>
    <w:rsid w:val="00166F98"/>
    <w:rsid w:val="00170B5F"/>
    <w:rsid w:val="00172A27"/>
    <w:rsid w:val="00174B01"/>
    <w:rsid w:val="00174F14"/>
    <w:rsid w:val="00177C55"/>
    <w:rsid w:val="001804DE"/>
    <w:rsid w:val="001811BA"/>
    <w:rsid w:val="001813B6"/>
    <w:rsid w:val="00181E11"/>
    <w:rsid w:val="00184A97"/>
    <w:rsid w:val="00185FC5"/>
    <w:rsid w:val="001941DC"/>
    <w:rsid w:val="0019683A"/>
    <w:rsid w:val="001A0DEA"/>
    <w:rsid w:val="001A1A93"/>
    <w:rsid w:val="001A48D3"/>
    <w:rsid w:val="001A4DD5"/>
    <w:rsid w:val="001B1597"/>
    <w:rsid w:val="001B1F06"/>
    <w:rsid w:val="001B345B"/>
    <w:rsid w:val="001B4EB4"/>
    <w:rsid w:val="001B7CAF"/>
    <w:rsid w:val="001C0AD7"/>
    <w:rsid w:val="001C11B7"/>
    <w:rsid w:val="001C5251"/>
    <w:rsid w:val="001C64CA"/>
    <w:rsid w:val="001D06E3"/>
    <w:rsid w:val="001D3202"/>
    <w:rsid w:val="001D3336"/>
    <w:rsid w:val="001D4CE4"/>
    <w:rsid w:val="001E17D0"/>
    <w:rsid w:val="001E4F71"/>
    <w:rsid w:val="001E55EF"/>
    <w:rsid w:val="001E74F7"/>
    <w:rsid w:val="001E7599"/>
    <w:rsid w:val="001F075C"/>
    <w:rsid w:val="001F089C"/>
    <w:rsid w:val="001F08FF"/>
    <w:rsid w:val="001F22DD"/>
    <w:rsid w:val="001F2430"/>
    <w:rsid w:val="001F2FD5"/>
    <w:rsid w:val="001F3B02"/>
    <w:rsid w:val="00200C9B"/>
    <w:rsid w:val="002012E7"/>
    <w:rsid w:val="00201E2D"/>
    <w:rsid w:val="00202DEF"/>
    <w:rsid w:val="002044E7"/>
    <w:rsid w:val="00205D73"/>
    <w:rsid w:val="00205FD6"/>
    <w:rsid w:val="002066F5"/>
    <w:rsid w:val="00206DF1"/>
    <w:rsid w:val="00210A1B"/>
    <w:rsid w:val="00210F07"/>
    <w:rsid w:val="0021630C"/>
    <w:rsid w:val="00216AC2"/>
    <w:rsid w:val="00216C16"/>
    <w:rsid w:val="00216EF2"/>
    <w:rsid w:val="002222A9"/>
    <w:rsid w:val="00224E55"/>
    <w:rsid w:val="0023280D"/>
    <w:rsid w:val="002364F6"/>
    <w:rsid w:val="00237028"/>
    <w:rsid w:val="002432C4"/>
    <w:rsid w:val="002441A3"/>
    <w:rsid w:val="002441D3"/>
    <w:rsid w:val="00244A86"/>
    <w:rsid w:val="00245224"/>
    <w:rsid w:val="00245897"/>
    <w:rsid w:val="002510BF"/>
    <w:rsid w:val="002537E3"/>
    <w:rsid w:val="0025415D"/>
    <w:rsid w:val="0025591D"/>
    <w:rsid w:val="002641B3"/>
    <w:rsid w:val="00264933"/>
    <w:rsid w:val="00264B81"/>
    <w:rsid w:val="002728A1"/>
    <w:rsid w:val="00276E2A"/>
    <w:rsid w:val="00283ED2"/>
    <w:rsid w:val="00284A2E"/>
    <w:rsid w:val="00284ACD"/>
    <w:rsid w:val="00285D41"/>
    <w:rsid w:val="0028650E"/>
    <w:rsid w:val="002912CD"/>
    <w:rsid w:val="002A12A6"/>
    <w:rsid w:val="002A2347"/>
    <w:rsid w:val="002A36C4"/>
    <w:rsid w:val="002A43F7"/>
    <w:rsid w:val="002A5F86"/>
    <w:rsid w:val="002B0328"/>
    <w:rsid w:val="002B22BF"/>
    <w:rsid w:val="002B31BD"/>
    <w:rsid w:val="002B4B31"/>
    <w:rsid w:val="002B50FA"/>
    <w:rsid w:val="002B7BA4"/>
    <w:rsid w:val="002C0FE3"/>
    <w:rsid w:val="002C1221"/>
    <w:rsid w:val="002C264D"/>
    <w:rsid w:val="002C2CB4"/>
    <w:rsid w:val="002C31AC"/>
    <w:rsid w:val="002C479B"/>
    <w:rsid w:val="002C5AAD"/>
    <w:rsid w:val="002C605B"/>
    <w:rsid w:val="002C643D"/>
    <w:rsid w:val="002C7492"/>
    <w:rsid w:val="002D1E25"/>
    <w:rsid w:val="002D4216"/>
    <w:rsid w:val="002D5CD9"/>
    <w:rsid w:val="002E2EC1"/>
    <w:rsid w:val="002E390F"/>
    <w:rsid w:val="002E418A"/>
    <w:rsid w:val="002E5C45"/>
    <w:rsid w:val="002E6939"/>
    <w:rsid w:val="002E79D0"/>
    <w:rsid w:val="002F3F57"/>
    <w:rsid w:val="002F45D1"/>
    <w:rsid w:val="002F48B1"/>
    <w:rsid w:val="002F49FD"/>
    <w:rsid w:val="002F5CB3"/>
    <w:rsid w:val="002F6350"/>
    <w:rsid w:val="002F64E9"/>
    <w:rsid w:val="002F6B4C"/>
    <w:rsid w:val="00300C4B"/>
    <w:rsid w:val="0030350D"/>
    <w:rsid w:val="003047CE"/>
    <w:rsid w:val="0030490F"/>
    <w:rsid w:val="0031045C"/>
    <w:rsid w:val="0031333D"/>
    <w:rsid w:val="003159DB"/>
    <w:rsid w:val="00316B3B"/>
    <w:rsid w:val="00316E6A"/>
    <w:rsid w:val="00317568"/>
    <w:rsid w:val="00320755"/>
    <w:rsid w:val="00320A0A"/>
    <w:rsid w:val="00320B25"/>
    <w:rsid w:val="00320FFE"/>
    <w:rsid w:val="003220E6"/>
    <w:rsid w:val="00323A9C"/>
    <w:rsid w:val="00323F83"/>
    <w:rsid w:val="00325424"/>
    <w:rsid w:val="003255B0"/>
    <w:rsid w:val="00326935"/>
    <w:rsid w:val="0033231D"/>
    <w:rsid w:val="0033334A"/>
    <w:rsid w:val="00333385"/>
    <w:rsid w:val="00333D1E"/>
    <w:rsid w:val="00333F2B"/>
    <w:rsid w:val="003350D8"/>
    <w:rsid w:val="00335BB3"/>
    <w:rsid w:val="0033697D"/>
    <w:rsid w:val="00336C0C"/>
    <w:rsid w:val="00337415"/>
    <w:rsid w:val="00340882"/>
    <w:rsid w:val="003468BD"/>
    <w:rsid w:val="0035123D"/>
    <w:rsid w:val="003553B3"/>
    <w:rsid w:val="00355B4B"/>
    <w:rsid w:val="00357C19"/>
    <w:rsid w:val="00357D61"/>
    <w:rsid w:val="00363922"/>
    <w:rsid w:val="003645DC"/>
    <w:rsid w:val="0036484C"/>
    <w:rsid w:val="00364AD3"/>
    <w:rsid w:val="00364E3D"/>
    <w:rsid w:val="00364FA5"/>
    <w:rsid w:val="0036690F"/>
    <w:rsid w:val="00370D70"/>
    <w:rsid w:val="00371554"/>
    <w:rsid w:val="00371C52"/>
    <w:rsid w:val="00371DD7"/>
    <w:rsid w:val="00372AB4"/>
    <w:rsid w:val="00374842"/>
    <w:rsid w:val="00374C0D"/>
    <w:rsid w:val="003776D7"/>
    <w:rsid w:val="003813BB"/>
    <w:rsid w:val="0038393F"/>
    <w:rsid w:val="003850EF"/>
    <w:rsid w:val="003863B6"/>
    <w:rsid w:val="00386418"/>
    <w:rsid w:val="00387891"/>
    <w:rsid w:val="00391B7A"/>
    <w:rsid w:val="0039244A"/>
    <w:rsid w:val="003926A0"/>
    <w:rsid w:val="00394625"/>
    <w:rsid w:val="0039506D"/>
    <w:rsid w:val="0039592F"/>
    <w:rsid w:val="003A0A9B"/>
    <w:rsid w:val="003A0ADA"/>
    <w:rsid w:val="003A0B3A"/>
    <w:rsid w:val="003A2A6F"/>
    <w:rsid w:val="003A48FB"/>
    <w:rsid w:val="003A4D8E"/>
    <w:rsid w:val="003A688D"/>
    <w:rsid w:val="003A6B5C"/>
    <w:rsid w:val="003B22EF"/>
    <w:rsid w:val="003B2DF4"/>
    <w:rsid w:val="003B4068"/>
    <w:rsid w:val="003B4F9D"/>
    <w:rsid w:val="003C33C8"/>
    <w:rsid w:val="003C3A49"/>
    <w:rsid w:val="003C6B01"/>
    <w:rsid w:val="003C7124"/>
    <w:rsid w:val="003D049D"/>
    <w:rsid w:val="003D0D3A"/>
    <w:rsid w:val="003D259B"/>
    <w:rsid w:val="003D34B6"/>
    <w:rsid w:val="003D67CF"/>
    <w:rsid w:val="003E3C88"/>
    <w:rsid w:val="003E475B"/>
    <w:rsid w:val="003E4E41"/>
    <w:rsid w:val="003E5C43"/>
    <w:rsid w:val="003E6334"/>
    <w:rsid w:val="003E774B"/>
    <w:rsid w:val="003E7CC3"/>
    <w:rsid w:val="003F0468"/>
    <w:rsid w:val="003F05E8"/>
    <w:rsid w:val="003F10DE"/>
    <w:rsid w:val="003F1994"/>
    <w:rsid w:val="003F1FF7"/>
    <w:rsid w:val="003F237E"/>
    <w:rsid w:val="003F26B6"/>
    <w:rsid w:val="003F3219"/>
    <w:rsid w:val="003F344D"/>
    <w:rsid w:val="003F5D99"/>
    <w:rsid w:val="003F67E9"/>
    <w:rsid w:val="003F71C6"/>
    <w:rsid w:val="00400A80"/>
    <w:rsid w:val="00401BBD"/>
    <w:rsid w:val="00402A68"/>
    <w:rsid w:val="004035D3"/>
    <w:rsid w:val="00403C5D"/>
    <w:rsid w:val="00410137"/>
    <w:rsid w:val="00414EC6"/>
    <w:rsid w:val="00417EF4"/>
    <w:rsid w:val="00420551"/>
    <w:rsid w:val="004213A9"/>
    <w:rsid w:val="00423E41"/>
    <w:rsid w:val="00424E8D"/>
    <w:rsid w:val="00425397"/>
    <w:rsid w:val="0042648B"/>
    <w:rsid w:val="00427299"/>
    <w:rsid w:val="004309BE"/>
    <w:rsid w:val="00431613"/>
    <w:rsid w:val="00431C3C"/>
    <w:rsid w:val="00431F39"/>
    <w:rsid w:val="00432D9E"/>
    <w:rsid w:val="00433A88"/>
    <w:rsid w:val="00434440"/>
    <w:rsid w:val="00443593"/>
    <w:rsid w:val="00445015"/>
    <w:rsid w:val="00446CD4"/>
    <w:rsid w:val="004471F6"/>
    <w:rsid w:val="004474C8"/>
    <w:rsid w:val="00447EDB"/>
    <w:rsid w:val="0045179E"/>
    <w:rsid w:val="004534CC"/>
    <w:rsid w:val="00453605"/>
    <w:rsid w:val="00457F89"/>
    <w:rsid w:val="0046002C"/>
    <w:rsid w:val="004613F2"/>
    <w:rsid w:val="00461B36"/>
    <w:rsid w:val="004627C1"/>
    <w:rsid w:val="004659D6"/>
    <w:rsid w:val="00465DA9"/>
    <w:rsid w:val="004666C7"/>
    <w:rsid w:val="00471C98"/>
    <w:rsid w:val="00472BC2"/>
    <w:rsid w:val="00477275"/>
    <w:rsid w:val="004803A4"/>
    <w:rsid w:val="00480A5A"/>
    <w:rsid w:val="004810CB"/>
    <w:rsid w:val="00481326"/>
    <w:rsid w:val="00481807"/>
    <w:rsid w:val="0048226F"/>
    <w:rsid w:val="00486336"/>
    <w:rsid w:val="00486440"/>
    <w:rsid w:val="004865C7"/>
    <w:rsid w:val="00486B37"/>
    <w:rsid w:val="00487D01"/>
    <w:rsid w:val="00490F68"/>
    <w:rsid w:val="00491E83"/>
    <w:rsid w:val="0049243C"/>
    <w:rsid w:val="004932F4"/>
    <w:rsid w:val="00493EFB"/>
    <w:rsid w:val="00496847"/>
    <w:rsid w:val="00496D1D"/>
    <w:rsid w:val="004976C3"/>
    <w:rsid w:val="004A42A0"/>
    <w:rsid w:val="004A4BD2"/>
    <w:rsid w:val="004A5A5C"/>
    <w:rsid w:val="004B0565"/>
    <w:rsid w:val="004B0EA6"/>
    <w:rsid w:val="004B1343"/>
    <w:rsid w:val="004B1D26"/>
    <w:rsid w:val="004B1F92"/>
    <w:rsid w:val="004B24FB"/>
    <w:rsid w:val="004B5309"/>
    <w:rsid w:val="004B695E"/>
    <w:rsid w:val="004B6DAD"/>
    <w:rsid w:val="004B700E"/>
    <w:rsid w:val="004C040B"/>
    <w:rsid w:val="004C13EA"/>
    <w:rsid w:val="004C1476"/>
    <w:rsid w:val="004C361A"/>
    <w:rsid w:val="004C373E"/>
    <w:rsid w:val="004C4DDF"/>
    <w:rsid w:val="004C4F41"/>
    <w:rsid w:val="004C6521"/>
    <w:rsid w:val="004C7C6A"/>
    <w:rsid w:val="004C7DCF"/>
    <w:rsid w:val="004D1EC0"/>
    <w:rsid w:val="004D2D52"/>
    <w:rsid w:val="004D3C58"/>
    <w:rsid w:val="004D4BAA"/>
    <w:rsid w:val="004D5C98"/>
    <w:rsid w:val="004E18D6"/>
    <w:rsid w:val="004E1F7E"/>
    <w:rsid w:val="004E2BA3"/>
    <w:rsid w:val="004E4F7D"/>
    <w:rsid w:val="004E7343"/>
    <w:rsid w:val="004F1C8B"/>
    <w:rsid w:val="004F1EE4"/>
    <w:rsid w:val="004F2B77"/>
    <w:rsid w:val="004F485E"/>
    <w:rsid w:val="005031FF"/>
    <w:rsid w:val="0050579B"/>
    <w:rsid w:val="00506559"/>
    <w:rsid w:val="00511DA8"/>
    <w:rsid w:val="005127B7"/>
    <w:rsid w:val="005129AF"/>
    <w:rsid w:val="00513BA7"/>
    <w:rsid w:val="00513C0C"/>
    <w:rsid w:val="00514137"/>
    <w:rsid w:val="005151DA"/>
    <w:rsid w:val="00515ECA"/>
    <w:rsid w:val="005164FF"/>
    <w:rsid w:val="00517776"/>
    <w:rsid w:val="00520DEC"/>
    <w:rsid w:val="005224F7"/>
    <w:rsid w:val="005240B0"/>
    <w:rsid w:val="00524ECA"/>
    <w:rsid w:val="00527462"/>
    <w:rsid w:val="00532B50"/>
    <w:rsid w:val="00533DCA"/>
    <w:rsid w:val="00534C91"/>
    <w:rsid w:val="00535943"/>
    <w:rsid w:val="00535A87"/>
    <w:rsid w:val="00535C99"/>
    <w:rsid w:val="00541ADB"/>
    <w:rsid w:val="00545986"/>
    <w:rsid w:val="005477EF"/>
    <w:rsid w:val="00547DA8"/>
    <w:rsid w:val="0055545A"/>
    <w:rsid w:val="00555F27"/>
    <w:rsid w:val="005574F0"/>
    <w:rsid w:val="00560A5B"/>
    <w:rsid w:val="00560BBB"/>
    <w:rsid w:val="00563193"/>
    <w:rsid w:val="005663ED"/>
    <w:rsid w:val="00567F21"/>
    <w:rsid w:val="00571520"/>
    <w:rsid w:val="005729B8"/>
    <w:rsid w:val="0057455F"/>
    <w:rsid w:val="005769B5"/>
    <w:rsid w:val="005807B6"/>
    <w:rsid w:val="00580BC6"/>
    <w:rsid w:val="005814E2"/>
    <w:rsid w:val="00582A47"/>
    <w:rsid w:val="00590BF1"/>
    <w:rsid w:val="00592857"/>
    <w:rsid w:val="00593C73"/>
    <w:rsid w:val="0059555E"/>
    <w:rsid w:val="00595847"/>
    <w:rsid w:val="00597721"/>
    <w:rsid w:val="005A1440"/>
    <w:rsid w:val="005A3F97"/>
    <w:rsid w:val="005A6D98"/>
    <w:rsid w:val="005A7F3A"/>
    <w:rsid w:val="005B00D7"/>
    <w:rsid w:val="005B0E69"/>
    <w:rsid w:val="005B5582"/>
    <w:rsid w:val="005B74E9"/>
    <w:rsid w:val="005B776E"/>
    <w:rsid w:val="005C1097"/>
    <w:rsid w:val="005C1E4E"/>
    <w:rsid w:val="005C43D2"/>
    <w:rsid w:val="005C45F1"/>
    <w:rsid w:val="005C7944"/>
    <w:rsid w:val="005D2981"/>
    <w:rsid w:val="005D2FB3"/>
    <w:rsid w:val="005D413D"/>
    <w:rsid w:val="005D445F"/>
    <w:rsid w:val="005D635B"/>
    <w:rsid w:val="005D763B"/>
    <w:rsid w:val="005D7CF9"/>
    <w:rsid w:val="005E0D83"/>
    <w:rsid w:val="005E2573"/>
    <w:rsid w:val="005E3C9A"/>
    <w:rsid w:val="005E4EE2"/>
    <w:rsid w:val="005E7080"/>
    <w:rsid w:val="005F0388"/>
    <w:rsid w:val="005F2993"/>
    <w:rsid w:val="005F57E9"/>
    <w:rsid w:val="005F7891"/>
    <w:rsid w:val="00600188"/>
    <w:rsid w:val="00600848"/>
    <w:rsid w:val="00600E8B"/>
    <w:rsid w:val="00603A13"/>
    <w:rsid w:val="006052C9"/>
    <w:rsid w:val="00607C1E"/>
    <w:rsid w:val="00612B39"/>
    <w:rsid w:val="0061305A"/>
    <w:rsid w:val="006162F6"/>
    <w:rsid w:val="0062095F"/>
    <w:rsid w:val="006210F1"/>
    <w:rsid w:val="00621389"/>
    <w:rsid w:val="006246B1"/>
    <w:rsid w:val="00626806"/>
    <w:rsid w:val="00627C09"/>
    <w:rsid w:val="006316A0"/>
    <w:rsid w:val="00631DB0"/>
    <w:rsid w:val="00633326"/>
    <w:rsid w:val="00634E05"/>
    <w:rsid w:val="00635213"/>
    <w:rsid w:val="006354FF"/>
    <w:rsid w:val="00635B69"/>
    <w:rsid w:val="00635D5C"/>
    <w:rsid w:val="00635E4F"/>
    <w:rsid w:val="00637398"/>
    <w:rsid w:val="006408DF"/>
    <w:rsid w:val="00643CC5"/>
    <w:rsid w:val="00646471"/>
    <w:rsid w:val="00646D7A"/>
    <w:rsid w:val="00650F32"/>
    <w:rsid w:val="0065198A"/>
    <w:rsid w:val="0065249F"/>
    <w:rsid w:val="0065258E"/>
    <w:rsid w:val="006552A5"/>
    <w:rsid w:val="00655AD8"/>
    <w:rsid w:val="00657999"/>
    <w:rsid w:val="006613FF"/>
    <w:rsid w:val="00664058"/>
    <w:rsid w:val="00665DB3"/>
    <w:rsid w:val="006675C6"/>
    <w:rsid w:val="00670763"/>
    <w:rsid w:val="00672017"/>
    <w:rsid w:val="0067221B"/>
    <w:rsid w:val="00672420"/>
    <w:rsid w:val="0067355C"/>
    <w:rsid w:val="00675271"/>
    <w:rsid w:val="0067567E"/>
    <w:rsid w:val="00675DAE"/>
    <w:rsid w:val="006764CB"/>
    <w:rsid w:val="00676850"/>
    <w:rsid w:val="00676D37"/>
    <w:rsid w:val="00676DF5"/>
    <w:rsid w:val="00677D9A"/>
    <w:rsid w:val="006835B2"/>
    <w:rsid w:val="00683B0D"/>
    <w:rsid w:val="00683E2B"/>
    <w:rsid w:val="0068659B"/>
    <w:rsid w:val="00686741"/>
    <w:rsid w:val="00687FB4"/>
    <w:rsid w:val="00691A3A"/>
    <w:rsid w:val="00692120"/>
    <w:rsid w:val="00692A2F"/>
    <w:rsid w:val="00694061"/>
    <w:rsid w:val="00697590"/>
    <w:rsid w:val="006A1DFD"/>
    <w:rsid w:val="006A6F1F"/>
    <w:rsid w:val="006B061A"/>
    <w:rsid w:val="006B1B87"/>
    <w:rsid w:val="006B1D7A"/>
    <w:rsid w:val="006B4857"/>
    <w:rsid w:val="006C0668"/>
    <w:rsid w:val="006C07BD"/>
    <w:rsid w:val="006C1458"/>
    <w:rsid w:val="006C14C3"/>
    <w:rsid w:val="006C53B7"/>
    <w:rsid w:val="006C563A"/>
    <w:rsid w:val="006C6A2D"/>
    <w:rsid w:val="006D12E5"/>
    <w:rsid w:val="006D1535"/>
    <w:rsid w:val="006D1D5B"/>
    <w:rsid w:val="006D29F0"/>
    <w:rsid w:val="006D3C83"/>
    <w:rsid w:val="006D3ED6"/>
    <w:rsid w:val="006D6841"/>
    <w:rsid w:val="006D6DCC"/>
    <w:rsid w:val="006D72B2"/>
    <w:rsid w:val="006E15FB"/>
    <w:rsid w:val="006E1F81"/>
    <w:rsid w:val="006E7691"/>
    <w:rsid w:val="006F67E9"/>
    <w:rsid w:val="00701023"/>
    <w:rsid w:val="007027ED"/>
    <w:rsid w:val="00702B06"/>
    <w:rsid w:val="00702CDA"/>
    <w:rsid w:val="00702E25"/>
    <w:rsid w:val="0070325E"/>
    <w:rsid w:val="00704791"/>
    <w:rsid w:val="00705C36"/>
    <w:rsid w:val="0070644C"/>
    <w:rsid w:val="007074E8"/>
    <w:rsid w:val="00723F52"/>
    <w:rsid w:val="00724AB9"/>
    <w:rsid w:val="00726F4D"/>
    <w:rsid w:val="00727E24"/>
    <w:rsid w:val="007333B5"/>
    <w:rsid w:val="00733838"/>
    <w:rsid w:val="00736107"/>
    <w:rsid w:val="00736115"/>
    <w:rsid w:val="00742340"/>
    <w:rsid w:val="00742463"/>
    <w:rsid w:val="0075159A"/>
    <w:rsid w:val="007518E5"/>
    <w:rsid w:val="00754C55"/>
    <w:rsid w:val="00760AA5"/>
    <w:rsid w:val="007617EE"/>
    <w:rsid w:val="007627E3"/>
    <w:rsid w:val="00766627"/>
    <w:rsid w:val="00770755"/>
    <w:rsid w:val="00771FDF"/>
    <w:rsid w:val="00772705"/>
    <w:rsid w:val="0077436E"/>
    <w:rsid w:val="0077543A"/>
    <w:rsid w:val="00777335"/>
    <w:rsid w:val="00780CA0"/>
    <w:rsid w:val="007825E4"/>
    <w:rsid w:val="00784BEB"/>
    <w:rsid w:val="00784E56"/>
    <w:rsid w:val="007870EF"/>
    <w:rsid w:val="0079122B"/>
    <w:rsid w:val="00792709"/>
    <w:rsid w:val="007975F3"/>
    <w:rsid w:val="007A03FD"/>
    <w:rsid w:val="007A1171"/>
    <w:rsid w:val="007A22F8"/>
    <w:rsid w:val="007B2587"/>
    <w:rsid w:val="007B3663"/>
    <w:rsid w:val="007B6FFB"/>
    <w:rsid w:val="007B7977"/>
    <w:rsid w:val="007C4C3F"/>
    <w:rsid w:val="007C5759"/>
    <w:rsid w:val="007D4A60"/>
    <w:rsid w:val="007D6633"/>
    <w:rsid w:val="007D68A6"/>
    <w:rsid w:val="007E419D"/>
    <w:rsid w:val="007E57B9"/>
    <w:rsid w:val="007F10BE"/>
    <w:rsid w:val="007F2F5B"/>
    <w:rsid w:val="007F424A"/>
    <w:rsid w:val="007F75AB"/>
    <w:rsid w:val="007F7678"/>
    <w:rsid w:val="00800948"/>
    <w:rsid w:val="008012FE"/>
    <w:rsid w:val="0080387E"/>
    <w:rsid w:val="00803F4B"/>
    <w:rsid w:val="00804714"/>
    <w:rsid w:val="008060D9"/>
    <w:rsid w:val="00807782"/>
    <w:rsid w:val="00812885"/>
    <w:rsid w:val="00815589"/>
    <w:rsid w:val="00815D9E"/>
    <w:rsid w:val="0082203A"/>
    <w:rsid w:val="00822D82"/>
    <w:rsid w:val="00823780"/>
    <w:rsid w:val="00824CEF"/>
    <w:rsid w:val="008259C7"/>
    <w:rsid w:val="0082601D"/>
    <w:rsid w:val="008267CD"/>
    <w:rsid w:val="008267D8"/>
    <w:rsid w:val="00831ABA"/>
    <w:rsid w:val="00832901"/>
    <w:rsid w:val="0083302A"/>
    <w:rsid w:val="00833502"/>
    <w:rsid w:val="008338AE"/>
    <w:rsid w:val="00837648"/>
    <w:rsid w:val="008409AF"/>
    <w:rsid w:val="00842431"/>
    <w:rsid w:val="008477B4"/>
    <w:rsid w:val="00855105"/>
    <w:rsid w:val="0085579A"/>
    <w:rsid w:val="008560D5"/>
    <w:rsid w:val="0085624C"/>
    <w:rsid w:val="00856EC9"/>
    <w:rsid w:val="00860303"/>
    <w:rsid w:val="00861055"/>
    <w:rsid w:val="008655BA"/>
    <w:rsid w:val="0086576C"/>
    <w:rsid w:val="008668CD"/>
    <w:rsid w:val="00870DE6"/>
    <w:rsid w:val="0087204E"/>
    <w:rsid w:val="008733AD"/>
    <w:rsid w:val="00876D29"/>
    <w:rsid w:val="00877E87"/>
    <w:rsid w:val="00877F14"/>
    <w:rsid w:val="0088252C"/>
    <w:rsid w:val="008875A3"/>
    <w:rsid w:val="008918E1"/>
    <w:rsid w:val="00893B17"/>
    <w:rsid w:val="00894FC0"/>
    <w:rsid w:val="0089737C"/>
    <w:rsid w:val="00897BE4"/>
    <w:rsid w:val="008A4FBD"/>
    <w:rsid w:val="008B00DF"/>
    <w:rsid w:val="008B26B4"/>
    <w:rsid w:val="008B3009"/>
    <w:rsid w:val="008B315B"/>
    <w:rsid w:val="008B35F5"/>
    <w:rsid w:val="008B36C3"/>
    <w:rsid w:val="008B67EF"/>
    <w:rsid w:val="008B67FB"/>
    <w:rsid w:val="008C38B9"/>
    <w:rsid w:val="008C3A48"/>
    <w:rsid w:val="008C6A87"/>
    <w:rsid w:val="008D2785"/>
    <w:rsid w:val="008D349B"/>
    <w:rsid w:val="008D5508"/>
    <w:rsid w:val="008D7603"/>
    <w:rsid w:val="008D7A58"/>
    <w:rsid w:val="008D7AE2"/>
    <w:rsid w:val="008E1226"/>
    <w:rsid w:val="008E2B7A"/>
    <w:rsid w:val="008E3BAE"/>
    <w:rsid w:val="008E423C"/>
    <w:rsid w:val="008E7DE0"/>
    <w:rsid w:val="008F57D1"/>
    <w:rsid w:val="008F5A94"/>
    <w:rsid w:val="008F5FCF"/>
    <w:rsid w:val="008F76D3"/>
    <w:rsid w:val="00900817"/>
    <w:rsid w:val="00900F85"/>
    <w:rsid w:val="00901097"/>
    <w:rsid w:val="00905711"/>
    <w:rsid w:val="00905EDB"/>
    <w:rsid w:val="00906828"/>
    <w:rsid w:val="0091091C"/>
    <w:rsid w:val="00911C22"/>
    <w:rsid w:val="00912F2C"/>
    <w:rsid w:val="009142CE"/>
    <w:rsid w:val="0091520E"/>
    <w:rsid w:val="00916A88"/>
    <w:rsid w:val="00916F8C"/>
    <w:rsid w:val="00920C4A"/>
    <w:rsid w:val="0092159C"/>
    <w:rsid w:val="00922325"/>
    <w:rsid w:val="00922A80"/>
    <w:rsid w:val="00925DCF"/>
    <w:rsid w:val="00926328"/>
    <w:rsid w:val="00926CE7"/>
    <w:rsid w:val="00926ED5"/>
    <w:rsid w:val="0093030C"/>
    <w:rsid w:val="0093260E"/>
    <w:rsid w:val="00934470"/>
    <w:rsid w:val="00934643"/>
    <w:rsid w:val="0093575B"/>
    <w:rsid w:val="00937F1B"/>
    <w:rsid w:val="00940A0B"/>
    <w:rsid w:val="00941DAE"/>
    <w:rsid w:val="0094269B"/>
    <w:rsid w:val="00942816"/>
    <w:rsid w:val="0094587C"/>
    <w:rsid w:val="00947ED6"/>
    <w:rsid w:val="00950D78"/>
    <w:rsid w:val="00952963"/>
    <w:rsid w:val="0096010C"/>
    <w:rsid w:val="009616B8"/>
    <w:rsid w:val="009619B0"/>
    <w:rsid w:val="00961C40"/>
    <w:rsid w:val="0096281C"/>
    <w:rsid w:val="00964275"/>
    <w:rsid w:val="009668AB"/>
    <w:rsid w:val="00967519"/>
    <w:rsid w:val="009677ED"/>
    <w:rsid w:val="009734C6"/>
    <w:rsid w:val="009750B9"/>
    <w:rsid w:val="00975557"/>
    <w:rsid w:val="009759CA"/>
    <w:rsid w:val="009771EB"/>
    <w:rsid w:val="00977C5E"/>
    <w:rsid w:val="00981127"/>
    <w:rsid w:val="00982D5C"/>
    <w:rsid w:val="00983354"/>
    <w:rsid w:val="009837E2"/>
    <w:rsid w:val="00984859"/>
    <w:rsid w:val="00985353"/>
    <w:rsid w:val="00991136"/>
    <w:rsid w:val="00993837"/>
    <w:rsid w:val="009952E8"/>
    <w:rsid w:val="009A02AB"/>
    <w:rsid w:val="009A037F"/>
    <w:rsid w:val="009A1373"/>
    <w:rsid w:val="009A221E"/>
    <w:rsid w:val="009A2DBD"/>
    <w:rsid w:val="009A4D03"/>
    <w:rsid w:val="009A4E53"/>
    <w:rsid w:val="009B16D8"/>
    <w:rsid w:val="009B17E0"/>
    <w:rsid w:val="009B2C45"/>
    <w:rsid w:val="009B340B"/>
    <w:rsid w:val="009B4566"/>
    <w:rsid w:val="009B45B0"/>
    <w:rsid w:val="009B49B1"/>
    <w:rsid w:val="009B7AE3"/>
    <w:rsid w:val="009C04C8"/>
    <w:rsid w:val="009C173E"/>
    <w:rsid w:val="009C38A5"/>
    <w:rsid w:val="009C42B0"/>
    <w:rsid w:val="009C4EE4"/>
    <w:rsid w:val="009C56EE"/>
    <w:rsid w:val="009D1846"/>
    <w:rsid w:val="009D3816"/>
    <w:rsid w:val="009D48DB"/>
    <w:rsid w:val="009D5463"/>
    <w:rsid w:val="009E1CAE"/>
    <w:rsid w:val="009E29AC"/>
    <w:rsid w:val="009E422B"/>
    <w:rsid w:val="009F08B6"/>
    <w:rsid w:val="009F5CD3"/>
    <w:rsid w:val="009F6291"/>
    <w:rsid w:val="00A006DE"/>
    <w:rsid w:val="00A00AC2"/>
    <w:rsid w:val="00A0130E"/>
    <w:rsid w:val="00A01518"/>
    <w:rsid w:val="00A06D16"/>
    <w:rsid w:val="00A10292"/>
    <w:rsid w:val="00A10347"/>
    <w:rsid w:val="00A1092E"/>
    <w:rsid w:val="00A144A1"/>
    <w:rsid w:val="00A2226B"/>
    <w:rsid w:val="00A243B6"/>
    <w:rsid w:val="00A2481A"/>
    <w:rsid w:val="00A24B21"/>
    <w:rsid w:val="00A3095A"/>
    <w:rsid w:val="00A3202A"/>
    <w:rsid w:val="00A3283E"/>
    <w:rsid w:val="00A32AFE"/>
    <w:rsid w:val="00A34DBD"/>
    <w:rsid w:val="00A35197"/>
    <w:rsid w:val="00A40AF5"/>
    <w:rsid w:val="00A40D89"/>
    <w:rsid w:val="00A4197B"/>
    <w:rsid w:val="00A43665"/>
    <w:rsid w:val="00A43D51"/>
    <w:rsid w:val="00A45387"/>
    <w:rsid w:val="00A467E3"/>
    <w:rsid w:val="00A53227"/>
    <w:rsid w:val="00A54251"/>
    <w:rsid w:val="00A5602B"/>
    <w:rsid w:val="00A56AE8"/>
    <w:rsid w:val="00A5724F"/>
    <w:rsid w:val="00A57608"/>
    <w:rsid w:val="00A63375"/>
    <w:rsid w:val="00A64595"/>
    <w:rsid w:val="00A64ED4"/>
    <w:rsid w:val="00A66213"/>
    <w:rsid w:val="00A66B62"/>
    <w:rsid w:val="00A67B9E"/>
    <w:rsid w:val="00A7075D"/>
    <w:rsid w:val="00A70FD4"/>
    <w:rsid w:val="00A71098"/>
    <w:rsid w:val="00A71AF0"/>
    <w:rsid w:val="00A74287"/>
    <w:rsid w:val="00A74CD3"/>
    <w:rsid w:val="00A75F02"/>
    <w:rsid w:val="00A76A77"/>
    <w:rsid w:val="00A77774"/>
    <w:rsid w:val="00A778B0"/>
    <w:rsid w:val="00A77CDA"/>
    <w:rsid w:val="00A807C1"/>
    <w:rsid w:val="00A82083"/>
    <w:rsid w:val="00A8526D"/>
    <w:rsid w:val="00A863C5"/>
    <w:rsid w:val="00A866AF"/>
    <w:rsid w:val="00A90949"/>
    <w:rsid w:val="00A912D9"/>
    <w:rsid w:val="00A93CF2"/>
    <w:rsid w:val="00A973EA"/>
    <w:rsid w:val="00A97A66"/>
    <w:rsid w:val="00AA2888"/>
    <w:rsid w:val="00AA3B67"/>
    <w:rsid w:val="00AA4F84"/>
    <w:rsid w:val="00AA5CD3"/>
    <w:rsid w:val="00AA647D"/>
    <w:rsid w:val="00AA6A66"/>
    <w:rsid w:val="00AA71B2"/>
    <w:rsid w:val="00AB1182"/>
    <w:rsid w:val="00AB11D5"/>
    <w:rsid w:val="00AB1571"/>
    <w:rsid w:val="00AB1D1E"/>
    <w:rsid w:val="00AB441B"/>
    <w:rsid w:val="00AB454C"/>
    <w:rsid w:val="00AB7BD7"/>
    <w:rsid w:val="00AC02E8"/>
    <w:rsid w:val="00AC46BE"/>
    <w:rsid w:val="00AC59EF"/>
    <w:rsid w:val="00AC7EC1"/>
    <w:rsid w:val="00AC7F6F"/>
    <w:rsid w:val="00AD2481"/>
    <w:rsid w:val="00AD44CF"/>
    <w:rsid w:val="00AD4661"/>
    <w:rsid w:val="00AD5593"/>
    <w:rsid w:val="00AE430B"/>
    <w:rsid w:val="00AE77D5"/>
    <w:rsid w:val="00AE7AFB"/>
    <w:rsid w:val="00AF257A"/>
    <w:rsid w:val="00AF3C02"/>
    <w:rsid w:val="00AF42D9"/>
    <w:rsid w:val="00AF513C"/>
    <w:rsid w:val="00B02506"/>
    <w:rsid w:val="00B02A29"/>
    <w:rsid w:val="00B04A0A"/>
    <w:rsid w:val="00B05DB5"/>
    <w:rsid w:val="00B05E06"/>
    <w:rsid w:val="00B06097"/>
    <w:rsid w:val="00B11738"/>
    <w:rsid w:val="00B11A06"/>
    <w:rsid w:val="00B126F8"/>
    <w:rsid w:val="00B15828"/>
    <w:rsid w:val="00B15B6C"/>
    <w:rsid w:val="00B17409"/>
    <w:rsid w:val="00B20207"/>
    <w:rsid w:val="00B217A9"/>
    <w:rsid w:val="00B21B20"/>
    <w:rsid w:val="00B22BF2"/>
    <w:rsid w:val="00B237AA"/>
    <w:rsid w:val="00B3193D"/>
    <w:rsid w:val="00B32C6D"/>
    <w:rsid w:val="00B37048"/>
    <w:rsid w:val="00B419EB"/>
    <w:rsid w:val="00B42D9C"/>
    <w:rsid w:val="00B4336C"/>
    <w:rsid w:val="00B436E0"/>
    <w:rsid w:val="00B45F2B"/>
    <w:rsid w:val="00B50E25"/>
    <w:rsid w:val="00B51B7B"/>
    <w:rsid w:val="00B53790"/>
    <w:rsid w:val="00B5407F"/>
    <w:rsid w:val="00B55F26"/>
    <w:rsid w:val="00B56BEB"/>
    <w:rsid w:val="00B629C5"/>
    <w:rsid w:val="00B64AA6"/>
    <w:rsid w:val="00B66E89"/>
    <w:rsid w:val="00B67F04"/>
    <w:rsid w:val="00B71044"/>
    <w:rsid w:val="00B721F0"/>
    <w:rsid w:val="00B7443E"/>
    <w:rsid w:val="00B74F39"/>
    <w:rsid w:val="00B77398"/>
    <w:rsid w:val="00B80351"/>
    <w:rsid w:val="00B83B3F"/>
    <w:rsid w:val="00B84AAF"/>
    <w:rsid w:val="00B862FF"/>
    <w:rsid w:val="00B903B1"/>
    <w:rsid w:val="00B90641"/>
    <w:rsid w:val="00B90E8E"/>
    <w:rsid w:val="00B952D8"/>
    <w:rsid w:val="00B960E2"/>
    <w:rsid w:val="00B97E36"/>
    <w:rsid w:val="00BA171E"/>
    <w:rsid w:val="00BA2B37"/>
    <w:rsid w:val="00BA4A3C"/>
    <w:rsid w:val="00BA4D74"/>
    <w:rsid w:val="00BB0E07"/>
    <w:rsid w:val="00BB19A8"/>
    <w:rsid w:val="00BB4616"/>
    <w:rsid w:val="00BB4C22"/>
    <w:rsid w:val="00BB5438"/>
    <w:rsid w:val="00BB7426"/>
    <w:rsid w:val="00BC003B"/>
    <w:rsid w:val="00BC1363"/>
    <w:rsid w:val="00BC25C2"/>
    <w:rsid w:val="00BC6E0E"/>
    <w:rsid w:val="00BD02F5"/>
    <w:rsid w:val="00BD14B5"/>
    <w:rsid w:val="00BD2588"/>
    <w:rsid w:val="00BD2DDC"/>
    <w:rsid w:val="00BD45FB"/>
    <w:rsid w:val="00BD6197"/>
    <w:rsid w:val="00BE6322"/>
    <w:rsid w:val="00BE6DEB"/>
    <w:rsid w:val="00BF017C"/>
    <w:rsid w:val="00BF18DA"/>
    <w:rsid w:val="00BF41C7"/>
    <w:rsid w:val="00BF4988"/>
    <w:rsid w:val="00BF4B19"/>
    <w:rsid w:val="00BF661C"/>
    <w:rsid w:val="00C01DC8"/>
    <w:rsid w:val="00C04E7A"/>
    <w:rsid w:val="00C068CB"/>
    <w:rsid w:val="00C07B46"/>
    <w:rsid w:val="00C101E2"/>
    <w:rsid w:val="00C1457E"/>
    <w:rsid w:val="00C1550B"/>
    <w:rsid w:val="00C15C9C"/>
    <w:rsid w:val="00C16989"/>
    <w:rsid w:val="00C17764"/>
    <w:rsid w:val="00C17834"/>
    <w:rsid w:val="00C216E7"/>
    <w:rsid w:val="00C23142"/>
    <w:rsid w:val="00C26C65"/>
    <w:rsid w:val="00C27266"/>
    <w:rsid w:val="00C27A83"/>
    <w:rsid w:val="00C30A28"/>
    <w:rsid w:val="00C31113"/>
    <w:rsid w:val="00C3151C"/>
    <w:rsid w:val="00C31E0D"/>
    <w:rsid w:val="00C31ED7"/>
    <w:rsid w:val="00C32004"/>
    <w:rsid w:val="00C32A28"/>
    <w:rsid w:val="00C3434F"/>
    <w:rsid w:val="00C35042"/>
    <w:rsid w:val="00C36F20"/>
    <w:rsid w:val="00C41076"/>
    <w:rsid w:val="00C4214A"/>
    <w:rsid w:val="00C4242C"/>
    <w:rsid w:val="00C45930"/>
    <w:rsid w:val="00C45CC0"/>
    <w:rsid w:val="00C479CC"/>
    <w:rsid w:val="00C500B5"/>
    <w:rsid w:val="00C5113A"/>
    <w:rsid w:val="00C51486"/>
    <w:rsid w:val="00C5316A"/>
    <w:rsid w:val="00C55917"/>
    <w:rsid w:val="00C5638D"/>
    <w:rsid w:val="00C5686E"/>
    <w:rsid w:val="00C61EC7"/>
    <w:rsid w:val="00C62736"/>
    <w:rsid w:val="00C6313E"/>
    <w:rsid w:val="00C63438"/>
    <w:rsid w:val="00C63741"/>
    <w:rsid w:val="00C6458F"/>
    <w:rsid w:val="00C7074A"/>
    <w:rsid w:val="00C71032"/>
    <w:rsid w:val="00C7322B"/>
    <w:rsid w:val="00C74A8D"/>
    <w:rsid w:val="00C7541A"/>
    <w:rsid w:val="00C76B2E"/>
    <w:rsid w:val="00C87ABB"/>
    <w:rsid w:val="00C87E72"/>
    <w:rsid w:val="00C921AB"/>
    <w:rsid w:val="00C925EB"/>
    <w:rsid w:val="00C93C29"/>
    <w:rsid w:val="00C94164"/>
    <w:rsid w:val="00C9477C"/>
    <w:rsid w:val="00C95603"/>
    <w:rsid w:val="00C95768"/>
    <w:rsid w:val="00CA057B"/>
    <w:rsid w:val="00CA20CC"/>
    <w:rsid w:val="00CA536F"/>
    <w:rsid w:val="00CB0F80"/>
    <w:rsid w:val="00CB1FFB"/>
    <w:rsid w:val="00CB2191"/>
    <w:rsid w:val="00CB36F7"/>
    <w:rsid w:val="00CB4AF3"/>
    <w:rsid w:val="00CB633B"/>
    <w:rsid w:val="00CC2FA2"/>
    <w:rsid w:val="00CD29AC"/>
    <w:rsid w:val="00CD32D7"/>
    <w:rsid w:val="00CD618B"/>
    <w:rsid w:val="00CE2156"/>
    <w:rsid w:val="00CE5D4A"/>
    <w:rsid w:val="00CE7B23"/>
    <w:rsid w:val="00CE7E4E"/>
    <w:rsid w:val="00CF255F"/>
    <w:rsid w:val="00CF2606"/>
    <w:rsid w:val="00CF2995"/>
    <w:rsid w:val="00CF656D"/>
    <w:rsid w:val="00D01316"/>
    <w:rsid w:val="00D01317"/>
    <w:rsid w:val="00D01B72"/>
    <w:rsid w:val="00D01C2F"/>
    <w:rsid w:val="00D01E17"/>
    <w:rsid w:val="00D03284"/>
    <w:rsid w:val="00D03B75"/>
    <w:rsid w:val="00D044F9"/>
    <w:rsid w:val="00D077E7"/>
    <w:rsid w:val="00D10C6E"/>
    <w:rsid w:val="00D110F1"/>
    <w:rsid w:val="00D1209B"/>
    <w:rsid w:val="00D137EA"/>
    <w:rsid w:val="00D1586C"/>
    <w:rsid w:val="00D17F13"/>
    <w:rsid w:val="00D20A29"/>
    <w:rsid w:val="00D20FE3"/>
    <w:rsid w:val="00D2277A"/>
    <w:rsid w:val="00D26FFC"/>
    <w:rsid w:val="00D331FA"/>
    <w:rsid w:val="00D35178"/>
    <w:rsid w:val="00D3522D"/>
    <w:rsid w:val="00D36B21"/>
    <w:rsid w:val="00D36D23"/>
    <w:rsid w:val="00D40096"/>
    <w:rsid w:val="00D40705"/>
    <w:rsid w:val="00D41C90"/>
    <w:rsid w:val="00D43C1C"/>
    <w:rsid w:val="00D44CD1"/>
    <w:rsid w:val="00D4577B"/>
    <w:rsid w:val="00D46042"/>
    <w:rsid w:val="00D461FA"/>
    <w:rsid w:val="00D46D44"/>
    <w:rsid w:val="00D5078C"/>
    <w:rsid w:val="00D51C4F"/>
    <w:rsid w:val="00D54330"/>
    <w:rsid w:val="00D5549C"/>
    <w:rsid w:val="00D603E5"/>
    <w:rsid w:val="00D60C3C"/>
    <w:rsid w:val="00D617A9"/>
    <w:rsid w:val="00D64393"/>
    <w:rsid w:val="00D64C36"/>
    <w:rsid w:val="00D72262"/>
    <w:rsid w:val="00D75C85"/>
    <w:rsid w:val="00D82E04"/>
    <w:rsid w:val="00D831D9"/>
    <w:rsid w:val="00D8793E"/>
    <w:rsid w:val="00D87E14"/>
    <w:rsid w:val="00D90738"/>
    <w:rsid w:val="00D90D10"/>
    <w:rsid w:val="00D9186F"/>
    <w:rsid w:val="00D92303"/>
    <w:rsid w:val="00D92615"/>
    <w:rsid w:val="00D94E02"/>
    <w:rsid w:val="00D95CB0"/>
    <w:rsid w:val="00D97D21"/>
    <w:rsid w:val="00DA13B4"/>
    <w:rsid w:val="00DA1A2A"/>
    <w:rsid w:val="00DA4111"/>
    <w:rsid w:val="00DA41AC"/>
    <w:rsid w:val="00DA5E1C"/>
    <w:rsid w:val="00DA7592"/>
    <w:rsid w:val="00DB370F"/>
    <w:rsid w:val="00DB3AD4"/>
    <w:rsid w:val="00DB5D7E"/>
    <w:rsid w:val="00DB619F"/>
    <w:rsid w:val="00DB6A6C"/>
    <w:rsid w:val="00DB6BD0"/>
    <w:rsid w:val="00DC03A4"/>
    <w:rsid w:val="00DC2CFD"/>
    <w:rsid w:val="00DC3139"/>
    <w:rsid w:val="00DC531C"/>
    <w:rsid w:val="00DC54A2"/>
    <w:rsid w:val="00DC5CF0"/>
    <w:rsid w:val="00DD07D8"/>
    <w:rsid w:val="00DD14DC"/>
    <w:rsid w:val="00DD15A3"/>
    <w:rsid w:val="00DE0D58"/>
    <w:rsid w:val="00DE25F2"/>
    <w:rsid w:val="00DE54F3"/>
    <w:rsid w:val="00DF044A"/>
    <w:rsid w:val="00DF32F4"/>
    <w:rsid w:val="00DF3897"/>
    <w:rsid w:val="00E0325A"/>
    <w:rsid w:val="00E06141"/>
    <w:rsid w:val="00E1239B"/>
    <w:rsid w:val="00E2001E"/>
    <w:rsid w:val="00E2091B"/>
    <w:rsid w:val="00E253BD"/>
    <w:rsid w:val="00E27F0B"/>
    <w:rsid w:val="00E3155B"/>
    <w:rsid w:val="00E327A5"/>
    <w:rsid w:val="00E33282"/>
    <w:rsid w:val="00E343E5"/>
    <w:rsid w:val="00E35940"/>
    <w:rsid w:val="00E35F1B"/>
    <w:rsid w:val="00E36B8B"/>
    <w:rsid w:val="00E36E4E"/>
    <w:rsid w:val="00E41CC0"/>
    <w:rsid w:val="00E447B7"/>
    <w:rsid w:val="00E44F0B"/>
    <w:rsid w:val="00E4544B"/>
    <w:rsid w:val="00E456A1"/>
    <w:rsid w:val="00E46039"/>
    <w:rsid w:val="00E46285"/>
    <w:rsid w:val="00E46354"/>
    <w:rsid w:val="00E479C1"/>
    <w:rsid w:val="00E47BA9"/>
    <w:rsid w:val="00E519DC"/>
    <w:rsid w:val="00E54B45"/>
    <w:rsid w:val="00E55100"/>
    <w:rsid w:val="00E56485"/>
    <w:rsid w:val="00E64142"/>
    <w:rsid w:val="00E65765"/>
    <w:rsid w:val="00E724EB"/>
    <w:rsid w:val="00E74BA9"/>
    <w:rsid w:val="00E754E5"/>
    <w:rsid w:val="00E75FDE"/>
    <w:rsid w:val="00E7748C"/>
    <w:rsid w:val="00E779B9"/>
    <w:rsid w:val="00E77D5C"/>
    <w:rsid w:val="00E82FF6"/>
    <w:rsid w:val="00E83D32"/>
    <w:rsid w:val="00E841B2"/>
    <w:rsid w:val="00E90714"/>
    <w:rsid w:val="00E91223"/>
    <w:rsid w:val="00E94599"/>
    <w:rsid w:val="00E9670D"/>
    <w:rsid w:val="00E97115"/>
    <w:rsid w:val="00E97AFD"/>
    <w:rsid w:val="00EA018F"/>
    <w:rsid w:val="00EA2B44"/>
    <w:rsid w:val="00EA3018"/>
    <w:rsid w:val="00EA31D3"/>
    <w:rsid w:val="00EA5904"/>
    <w:rsid w:val="00EA7115"/>
    <w:rsid w:val="00EB13AD"/>
    <w:rsid w:val="00EB3AC0"/>
    <w:rsid w:val="00EB5773"/>
    <w:rsid w:val="00EB7B42"/>
    <w:rsid w:val="00EC071E"/>
    <w:rsid w:val="00EC0DBC"/>
    <w:rsid w:val="00EC29A6"/>
    <w:rsid w:val="00EC3C6D"/>
    <w:rsid w:val="00EC5A55"/>
    <w:rsid w:val="00EC6952"/>
    <w:rsid w:val="00ED1B11"/>
    <w:rsid w:val="00ED2DCD"/>
    <w:rsid w:val="00ED46D9"/>
    <w:rsid w:val="00EE0872"/>
    <w:rsid w:val="00EE4279"/>
    <w:rsid w:val="00EF20EE"/>
    <w:rsid w:val="00EF341E"/>
    <w:rsid w:val="00EF3699"/>
    <w:rsid w:val="00EF370D"/>
    <w:rsid w:val="00EF5B58"/>
    <w:rsid w:val="00EF79E5"/>
    <w:rsid w:val="00F005EA"/>
    <w:rsid w:val="00F01A8C"/>
    <w:rsid w:val="00F04339"/>
    <w:rsid w:val="00F048FE"/>
    <w:rsid w:val="00F04BBE"/>
    <w:rsid w:val="00F04F09"/>
    <w:rsid w:val="00F057AF"/>
    <w:rsid w:val="00F072D4"/>
    <w:rsid w:val="00F10DA6"/>
    <w:rsid w:val="00F14112"/>
    <w:rsid w:val="00F168AD"/>
    <w:rsid w:val="00F16FFA"/>
    <w:rsid w:val="00F20455"/>
    <w:rsid w:val="00F24C0A"/>
    <w:rsid w:val="00F25B82"/>
    <w:rsid w:val="00F32991"/>
    <w:rsid w:val="00F347A0"/>
    <w:rsid w:val="00F35F71"/>
    <w:rsid w:val="00F405EA"/>
    <w:rsid w:val="00F41B4C"/>
    <w:rsid w:val="00F42412"/>
    <w:rsid w:val="00F475DE"/>
    <w:rsid w:val="00F50C43"/>
    <w:rsid w:val="00F51EAB"/>
    <w:rsid w:val="00F53E7C"/>
    <w:rsid w:val="00F55D3E"/>
    <w:rsid w:val="00F573FC"/>
    <w:rsid w:val="00F5742F"/>
    <w:rsid w:val="00F606DC"/>
    <w:rsid w:val="00F61BD0"/>
    <w:rsid w:val="00F63010"/>
    <w:rsid w:val="00F64513"/>
    <w:rsid w:val="00F66D7A"/>
    <w:rsid w:val="00F718FB"/>
    <w:rsid w:val="00F71A52"/>
    <w:rsid w:val="00F72B99"/>
    <w:rsid w:val="00F737C1"/>
    <w:rsid w:val="00F77E43"/>
    <w:rsid w:val="00F8185E"/>
    <w:rsid w:val="00F83B5C"/>
    <w:rsid w:val="00F85105"/>
    <w:rsid w:val="00F86F00"/>
    <w:rsid w:val="00F86F86"/>
    <w:rsid w:val="00F93535"/>
    <w:rsid w:val="00F9432B"/>
    <w:rsid w:val="00F955BF"/>
    <w:rsid w:val="00FA2D31"/>
    <w:rsid w:val="00FA3984"/>
    <w:rsid w:val="00FA4CE5"/>
    <w:rsid w:val="00FA5366"/>
    <w:rsid w:val="00FA5B4B"/>
    <w:rsid w:val="00FB1C1B"/>
    <w:rsid w:val="00FB401F"/>
    <w:rsid w:val="00FB4628"/>
    <w:rsid w:val="00FB60CE"/>
    <w:rsid w:val="00FB69E5"/>
    <w:rsid w:val="00FC2F2C"/>
    <w:rsid w:val="00FC71A4"/>
    <w:rsid w:val="00FD2450"/>
    <w:rsid w:val="00FD38AC"/>
    <w:rsid w:val="00FD3F85"/>
    <w:rsid w:val="00FD430D"/>
    <w:rsid w:val="00FD4C65"/>
    <w:rsid w:val="00FD61A7"/>
    <w:rsid w:val="00FD6906"/>
    <w:rsid w:val="00FE1962"/>
    <w:rsid w:val="00FE2D7C"/>
    <w:rsid w:val="00FE5611"/>
    <w:rsid w:val="00FE6362"/>
    <w:rsid w:val="00FF0C7C"/>
    <w:rsid w:val="00FF2473"/>
    <w:rsid w:val="00FF30FA"/>
    <w:rsid w:val="00FF4395"/>
    <w:rsid w:val="00FF4895"/>
    <w:rsid w:val="00FF54D2"/>
    <w:rsid w:val="00FF5A3A"/>
    <w:rsid w:val="00FF5DEC"/>
    <w:rsid w:val="010030A4"/>
    <w:rsid w:val="01032B97"/>
    <w:rsid w:val="01045B1D"/>
    <w:rsid w:val="010A0329"/>
    <w:rsid w:val="010A6EB5"/>
    <w:rsid w:val="010D0086"/>
    <w:rsid w:val="010F1B7F"/>
    <w:rsid w:val="01104657"/>
    <w:rsid w:val="01127FCB"/>
    <w:rsid w:val="01202C74"/>
    <w:rsid w:val="012324E5"/>
    <w:rsid w:val="012B66C4"/>
    <w:rsid w:val="013330F1"/>
    <w:rsid w:val="01342D6A"/>
    <w:rsid w:val="01350C06"/>
    <w:rsid w:val="01361B22"/>
    <w:rsid w:val="0136683B"/>
    <w:rsid w:val="01395D5D"/>
    <w:rsid w:val="013A60E4"/>
    <w:rsid w:val="013A6635"/>
    <w:rsid w:val="013D5037"/>
    <w:rsid w:val="01436805"/>
    <w:rsid w:val="01477D64"/>
    <w:rsid w:val="014A28A7"/>
    <w:rsid w:val="014D0371"/>
    <w:rsid w:val="014D2E82"/>
    <w:rsid w:val="01523F37"/>
    <w:rsid w:val="01530516"/>
    <w:rsid w:val="0160148B"/>
    <w:rsid w:val="01640CD6"/>
    <w:rsid w:val="016D3801"/>
    <w:rsid w:val="016D57EC"/>
    <w:rsid w:val="016D7686"/>
    <w:rsid w:val="01712955"/>
    <w:rsid w:val="01734776"/>
    <w:rsid w:val="0185492B"/>
    <w:rsid w:val="01860FA4"/>
    <w:rsid w:val="0187268B"/>
    <w:rsid w:val="01881788"/>
    <w:rsid w:val="01882C66"/>
    <w:rsid w:val="0189613D"/>
    <w:rsid w:val="018A3F59"/>
    <w:rsid w:val="018F2E0A"/>
    <w:rsid w:val="01902547"/>
    <w:rsid w:val="01916BAB"/>
    <w:rsid w:val="01936933"/>
    <w:rsid w:val="01936D9F"/>
    <w:rsid w:val="01956355"/>
    <w:rsid w:val="019A4AFB"/>
    <w:rsid w:val="019C1CCB"/>
    <w:rsid w:val="01A335DD"/>
    <w:rsid w:val="01AC6775"/>
    <w:rsid w:val="01AF242B"/>
    <w:rsid w:val="01B00A7C"/>
    <w:rsid w:val="01B6287C"/>
    <w:rsid w:val="01B64A33"/>
    <w:rsid w:val="01B85F6B"/>
    <w:rsid w:val="01BD2F2D"/>
    <w:rsid w:val="01C05B80"/>
    <w:rsid w:val="01C10AB6"/>
    <w:rsid w:val="01C36A5D"/>
    <w:rsid w:val="01C36EDE"/>
    <w:rsid w:val="01C755F2"/>
    <w:rsid w:val="01C844D9"/>
    <w:rsid w:val="01CC32A2"/>
    <w:rsid w:val="01CC44CE"/>
    <w:rsid w:val="01CD55AC"/>
    <w:rsid w:val="01CD6984"/>
    <w:rsid w:val="01D71AF4"/>
    <w:rsid w:val="01D76CE2"/>
    <w:rsid w:val="01D86D77"/>
    <w:rsid w:val="01DD0A04"/>
    <w:rsid w:val="01DF649F"/>
    <w:rsid w:val="01DF6ED8"/>
    <w:rsid w:val="01E37E22"/>
    <w:rsid w:val="01E44FDB"/>
    <w:rsid w:val="01E5198E"/>
    <w:rsid w:val="01E66F60"/>
    <w:rsid w:val="01E677EE"/>
    <w:rsid w:val="01E857AE"/>
    <w:rsid w:val="01EB1033"/>
    <w:rsid w:val="01F2062F"/>
    <w:rsid w:val="01F22837"/>
    <w:rsid w:val="01F25A9C"/>
    <w:rsid w:val="01FC36AB"/>
    <w:rsid w:val="01FE3684"/>
    <w:rsid w:val="0200068B"/>
    <w:rsid w:val="02014350"/>
    <w:rsid w:val="02143961"/>
    <w:rsid w:val="02170EFB"/>
    <w:rsid w:val="02192CA4"/>
    <w:rsid w:val="021C5C34"/>
    <w:rsid w:val="021C6236"/>
    <w:rsid w:val="021F75D6"/>
    <w:rsid w:val="021F7A69"/>
    <w:rsid w:val="02224730"/>
    <w:rsid w:val="02246ECC"/>
    <w:rsid w:val="02290530"/>
    <w:rsid w:val="02327872"/>
    <w:rsid w:val="023B6BC5"/>
    <w:rsid w:val="02406470"/>
    <w:rsid w:val="02494026"/>
    <w:rsid w:val="024F7E2A"/>
    <w:rsid w:val="025204F9"/>
    <w:rsid w:val="025354FB"/>
    <w:rsid w:val="025629BD"/>
    <w:rsid w:val="025717DC"/>
    <w:rsid w:val="02572E8F"/>
    <w:rsid w:val="025A7371"/>
    <w:rsid w:val="025F2354"/>
    <w:rsid w:val="025F5806"/>
    <w:rsid w:val="026604D9"/>
    <w:rsid w:val="02672D22"/>
    <w:rsid w:val="026A7774"/>
    <w:rsid w:val="026E5857"/>
    <w:rsid w:val="026F064D"/>
    <w:rsid w:val="0271154E"/>
    <w:rsid w:val="02754D80"/>
    <w:rsid w:val="02781615"/>
    <w:rsid w:val="02806830"/>
    <w:rsid w:val="02837CEC"/>
    <w:rsid w:val="028A7D55"/>
    <w:rsid w:val="02924457"/>
    <w:rsid w:val="02984E89"/>
    <w:rsid w:val="029A2779"/>
    <w:rsid w:val="029B1B24"/>
    <w:rsid w:val="029D518A"/>
    <w:rsid w:val="029E7DFA"/>
    <w:rsid w:val="029F2E53"/>
    <w:rsid w:val="029F7893"/>
    <w:rsid w:val="02A12D6C"/>
    <w:rsid w:val="02A24A07"/>
    <w:rsid w:val="02A36058"/>
    <w:rsid w:val="02A674C0"/>
    <w:rsid w:val="02A734E7"/>
    <w:rsid w:val="02A877B1"/>
    <w:rsid w:val="02AE05FE"/>
    <w:rsid w:val="02B62C71"/>
    <w:rsid w:val="02BD40EA"/>
    <w:rsid w:val="02BD5F7B"/>
    <w:rsid w:val="02C80382"/>
    <w:rsid w:val="02D30403"/>
    <w:rsid w:val="02D47E70"/>
    <w:rsid w:val="02DA01E2"/>
    <w:rsid w:val="02DD79EC"/>
    <w:rsid w:val="02DF34DD"/>
    <w:rsid w:val="02E20912"/>
    <w:rsid w:val="02E62869"/>
    <w:rsid w:val="02E874B6"/>
    <w:rsid w:val="02EB7C74"/>
    <w:rsid w:val="02EC1B59"/>
    <w:rsid w:val="02F01884"/>
    <w:rsid w:val="02F16DD3"/>
    <w:rsid w:val="02F4056C"/>
    <w:rsid w:val="02F83260"/>
    <w:rsid w:val="02F90A1E"/>
    <w:rsid w:val="02FE0775"/>
    <w:rsid w:val="0304659D"/>
    <w:rsid w:val="030B40DA"/>
    <w:rsid w:val="030C3F53"/>
    <w:rsid w:val="0313561A"/>
    <w:rsid w:val="031449C6"/>
    <w:rsid w:val="03172401"/>
    <w:rsid w:val="031D1ADB"/>
    <w:rsid w:val="031F7086"/>
    <w:rsid w:val="03244D1F"/>
    <w:rsid w:val="032638FB"/>
    <w:rsid w:val="032A28A5"/>
    <w:rsid w:val="032C4A49"/>
    <w:rsid w:val="032D29B2"/>
    <w:rsid w:val="03393DEC"/>
    <w:rsid w:val="0346604A"/>
    <w:rsid w:val="034809D1"/>
    <w:rsid w:val="03491FD9"/>
    <w:rsid w:val="034923B2"/>
    <w:rsid w:val="03500983"/>
    <w:rsid w:val="03511B65"/>
    <w:rsid w:val="03512102"/>
    <w:rsid w:val="03522DF5"/>
    <w:rsid w:val="03541CED"/>
    <w:rsid w:val="035A76B7"/>
    <w:rsid w:val="035C7A7E"/>
    <w:rsid w:val="03601B70"/>
    <w:rsid w:val="0360530C"/>
    <w:rsid w:val="03682A0D"/>
    <w:rsid w:val="036D1287"/>
    <w:rsid w:val="036D7252"/>
    <w:rsid w:val="0371153C"/>
    <w:rsid w:val="0371157F"/>
    <w:rsid w:val="03712853"/>
    <w:rsid w:val="037312F7"/>
    <w:rsid w:val="037337DB"/>
    <w:rsid w:val="03835160"/>
    <w:rsid w:val="038658FF"/>
    <w:rsid w:val="03897B55"/>
    <w:rsid w:val="038A3B08"/>
    <w:rsid w:val="038A7E04"/>
    <w:rsid w:val="038F75EA"/>
    <w:rsid w:val="039217B0"/>
    <w:rsid w:val="0394043C"/>
    <w:rsid w:val="0394554E"/>
    <w:rsid w:val="03960BA8"/>
    <w:rsid w:val="039A2CE3"/>
    <w:rsid w:val="039B71F8"/>
    <w:rsid w:val="039D0A2F"/>
    <w:rsid w:val="039E719B"/>
    <w:rsid w:val="039E76F9"/>
    <w:rsid w:val="039F35DE"/>
    <w:rsid w:val="03A31E28"/>
    <w:rsid w:val="03A46446"/>
    <w:rsid w:val="03A87905"/>
    <w:rsid w:val="03AB66EF"/>
    <w:rsid w:val="03AF766D"/>
    <w:rsid w:val="03B16E3B"/>
    <w:rsid w:val="03B44E81"/>
    <w:rsid w:val="03B629A7"/>
    <w:rsid w:val="03B70372"/>
    <w:rsid w:val="03B92C85"/>
    <w:rsid w:val="03BE6E4F"/>
    <w:rsid w:val="03C05795"/>
    <w:rsid w:val="03CD0542"/>
    <w:rsid w:val="03CE03DC"/>
    <w:rsid w:val="03D7744A"/>
    <w:rsid w:val="03D80F9D"/>
    <w:rsid w:val="03DC6108"/>
    <w:rsid w:val="03DC741E"/>
    <w:rsid w:val="03DF6EC3"/>
    <w:rsid w:val="03E1203E"/>
    <w:rsid w:val="03E65F7D"/>
    <w:rsid w:val="03FC07CE"/>
    <w:rsid w:val="040008CA"/>
    <w:rsid w:val="04073BE2"/>
    <w:rsid w:val="040B2C55"/>
    <w:rsid w:val="041744D3"/>
    <w:rsid w:val="04176EEE"/>
    <w:rsid w:val="04234145"/>
    <w:rsid w:val="04262E02"/>
    <w:rsid w:val="04264CA5"/>
    <w:rsid w:val="04267C87"/>
    <w:rsid w:val="04281FF1"/>
    <w:rsid w:val="0428457E"/>
    <w:rsid w:val="042A63E6"/>
    <w:rsid w:val="042B34B9"/>
    <w:rsid w:val="042D128F"/>
    <w:rsid w:val="04320695"/>
    <w:rsid w:val="04333B5C"/>
    <w:rsid w:val="04383A1C"/>
    <w:rsid w:val="04390316"/>
    <w:rsid w:val="043F3265"/>
    <w:rsid w:val="04445314"/>
    <w:rsid w:val="04484A38"/>
    <w:rsid w:val="044854E5"/>
    <w:rsid w:val="04490FF1"/>
    <w:rsid w:val="04492F03"/>
    <w:rsid w:val="044B5574"/>
    <w:rsid w:val="044E4186"/>
    <w:rsid w:val="045126D0"/>
    <w:rsid w:val="045551F1"/>
    <w:rsid w:val="045C4B0E"/>
    <w:rsid w:val="046D3536"/>
    <w:rsid w:val="046E7D42"/>
    <w:rsid w:val="0476651A"/>
    <w:rsid w:val="04782C7E"/>
    <w:rsid w:val="047E366C"/>
    <w:rsid w:val="047F4C73"/>
    <w:rsid w:val="047F71FB"/>
    <w:rsid w:val="04823985"/>
    <w:rsid w:val="04862BFE"/>
    <w:rsid w:val="048F2C45"/>
    <w:rsid w:val="049031F8"/>
    <w:rsid w:val="0499669B"/>
    <w:rsid w:val="049B09C8"/>
    <w:rsid w:val="04A2542B"/>
    <w:rsid w:val="04A736E4"/>
    <w:rsid w:val="04A96068"/>
    <w:rsid w:val="04AA1BCA"/>
    <w:rsid w:val="04B213C1"/>
    <w:rsid w:val="04B330D0"/>
    <w:rsid w:val="04B41506"/>
    <w:rsid w:val="04B51CB4"/>
    <w:rsid w:val="04B53BA0"/>
    <w:rsid w:val="04C535EA"/>
    <w:rsid w:val="04C95CE7"/>
    <w:rsid w:val="04CC5A5D"/>
    <w:rsid w:val="04D470D4"/>
    <w:rsid w:val="04D5142D"/>
    <w:rsid w:val="04D55038"/>
    <w:rsid w:val="04DF1A8A"/>
    <w:rsid w:val="04E20F9C"/>
    <w:rsid w:val="04E25DED"/>
    <w:rsid w:val="04E36460"/>
    <w:rsid w:val="04E468F2"/>
    <w:rsid w:val="04E672BC"/>
    <w:rsid w:val="04E8735E"/>
    <w:rsid w:val="04ED276E"/>
    <w:rsid w:val="04EF004B"/>
    <w:rsid w:val="04F512AE"/>
    <w:rsid w:val="04F76DD4"/>
    <w:rsid w:val="04FB0FF9"/>
    <w:rsid w:val="05002821"/>
    <w:rsid w:val="05023F13"/>
    <w:rsid w:val="0503113D"/>
    <w:rsid w:val="05056701"/>
    <w:rsid w:val="050714FA"/>
    <w:rsid w:val="050B0571"/>
    <w:rsid w:val="050B5203"/>
    <w:rsid w:val="050E5663"/>
    <w:rsid w:val="050F3A44"/>
    <w:rsid w:val="05181435"/>
    <w:rsid w:val="051D021A"/>
    <w:rsid w:val="051D6148"/>
    <w:rsid w:val="052860D5"/>
    <w:rsid w:val="052E0D93"/>
    <w:rsid w:val="052E22FC"/>
    <w:rsid w:val="0533334F"/>
    <w:rsid w:val="05370C0F"/>
    <w:rsid w:val="053829DE"/>
    <w:rsid w:val="05385F60"/>
    <w:rsid w:val="05386C58"/>
    <w:rsid w:val="053A371D"/>
    <w:rsid w:val="053E0B56"/>
    <w:rsid w:val="05407C05"/>
    <w:rsid w:val="05447383"/>
    <w:rsid w:val="0546272E"/>
    <w:rsid w:val="05480306"/>
    <w:rsid w:val="054D0F64"/>
    <w:rsid w:val="05511D01"/>
    <w:rsid w:val="055964B4"/>
    <w:rsid w:val="05600FC0"/>
    <w:rsid w:val="05613FAD"/>
    <w:rsid w:val="056441E4"/>
    <w:rsid w:val="05681257"/>
    <w:rsid w:val="05685BD9"/>
    <w:rsid w:val="056A57F8"/>
    <w:rsid w:val="056B0C5C"/>
    <w:rsid w:val="056B26CF"/>
    <w:rsid w:val="056D6438"/>
    <w:rsid w:val="05715D56"/>
    <w:rsid w:val="05742F00"/>
    <w:rsid w:val="05750033"/>
    <w:rsid w:val="057B0C51"/>
    <w:rsid w:val="0582727C"/>
    <w:rsid w:val="05877F6F"/>
    <w:rsid w:val="05883ED0"/>
    <w:rsid w:val="0588404C"/>
    <w:rsid w:val="058A5FB8"/>
    <w:rsid w:val="058C1466"/>
    <w:rsid w:val="058F0C05"/>
    <w:rsid w:val="059769B6"/>
    <w:rsid w:val="059E194E"/>
    <w:rsid w:val="05A00757"/>
    <w:rsid w:val="05A07A33"/>
    <w:rsid w:val="05A33662"/>
    <w:rsid w:val="05A86320"/>
    <w:rsid w:val="05A86B48"/>
    <w:rsid w:val="05A90ADB"/>
    <w:rsid w:val="05A96FB2"/>
    <w:rsid w:val="05AF680F"/>
    <w:rsid w:val="05B0365F"/>
    <w:rsid w:val="05B332C0"/>
    <w:rsid w:val="05B46C97"/>
    <w:rsid w:val="05B6360C"/>
    <w:rsid w:val="05BE4934"/>
    <w:rsid w:val="05C01556"/>
    <w:rsid w:val="05C04A80"/>
    <w:rsid w:val="05C25A33"/>
    <w:rsid w:val="05C448DE"/>
    <w:rsid w:val="05C46F8C"/>
    <w:rsid w:val="05C80A93"/>
    <w:rsid w:val="05C90F4B"/>
    <w:rsid w:val="05C95532"/>
    <w:rsid w:val="05CE7545"/>
    <w:rsid w:val="05D03F7C"/>
    <w:rsid w:val="05D61590"/>
    <w:rsid w:val="05D64371"/>
    <w:rsid w:val="05DA4D5B"/>
    <w:rsid w:val="05DC45C2"/>
    <w:rsid w:val="05DF6F6E"/>
    <w:rsid w:val="05E304B0"/>
    <w:rsid w:val="05E506AD"/>
    <w:rsid w:val="05F54A34"/>
    <w:rsid w:val="05F61633"/>
    <w:rsid w:val="05F915B3"/>
    <w:rsid w:val="05F97B27"/>
    <w:rsid w:val="05FF0060"/>
    <w:rsid w:val="06017ADC"/>
    <w:rsid w:val="0602265C"/>
    <w:rsid w:val="06062024"/>
    <w:rsid w:val="060F60B1"/>
    <w:rsid w:val="06100B7C"/>
    <w:rsid w:val="06114678"/>
    <w:rsid w:val="0612047D"/>
    <w:rsid w:val="06185269"/>
    <w:rsid w:val="061A215C"/>
    <w:rsid w:val="061D1262"/>
    <w:rsid w:val="061D142C"/>
    <w:rsid w:val="06225F0F"/>
    <w:rsid w:val="062D165D"/>
    <w:rsid w:val="06333997"/>
    <w:rsid w:val="06370BA4"/>
    <w:rsid w:val="063A2A3D"/>
    <w:rsid w:val="063B65AD"/>
    <w:rsid w:val="06492514"/>
    <w:rsid w:val="064B7D7A"/>
    <w:rsid w:val="06502D49"/>
    <w:rsid w:val="065471FB"/>
    <w:rsid w:val="06562220"/>
    <w:rsid w:val="065E5491"/>
    <w:rsid w:val="066359A9"/>
    <w:rsid w:val="066C21B8"/>
    <w:rsid w:val="066F538A"/>
    <w:rsid w:val="0670711D"/>
    <w:rsid w:val="067B0B53"/>
    <w:rsid w:val="067F3525"/>
    <w:rsid w:val="067F4F95"/>
    <w:rsid w:val="06806920"/>
    <w:rsid w:val="068D4CAE"/>
    <w:rsid w:val="068E1CA8"/>
    <w:rsid w:val="06904472"/>
    <w:rsid w:val="069916BD"/>
    <w:rsid w:val="06997E06"/>
    <w:rsid w:val="069F08BE"/>
    <w:rsid w:val="06A12381"/>
    <w:rsid w:val="06A53C01"/>
    <w:rsid w:val="06A91AA2"/>
    <w:rsid w:val="06A95204"/>
    <w:rsid w:val="06AF2CEF"/>
    <w:rsid w:val="06B52E78"/>
    <w:rsid w:val="06B64F7D"/>
    <w:rsid w:val="06BB3C62"/>
    <w:rsid w:val="06BD3726"/>
    <w:rsid w:val="06BF419A"/>
    <w:rsid w:val="06BF4EFC"/>
    <w:rsid w:val="06C12B5D"/>
    <w:rsid w:val="06C739E4"/>
    <w:rsid w:val="06CB5041"/>
    <w:rsid w:val="06D01FD2"/>
    <w:rsid w:val="06D66453"/>
    <w:rsid w:val="06E1069C"/>
    <w:rsid w:val="06E502F1"/>
    <w:rsid w:val="06E933ED"/>
    <w:rsid w:val="06EA65FB"/>
    <w:rsid w:val="06EE174C"/>
    <w:rsid w:val="06F07946"/>
    <w:rsid w:val="06F60B54"/>
    <w:rsid w:val="06F83D07"/>
    <w:rsid w:val="06FA5065"/>
    <w:rsid w:val="07014F39"/>
    <w:rsid w:val="070A1067"/>
    <w:rsid w:val="070A73D5"/>
    <w:rsid w:val="070B2C64"/>
    <w:rsid w:val="070F6DAE"/>
    <w:rsid w:val="0711715B"/>
    <w:rsid w:val="07127AC8"/>
    <w:rsid w:val="07130CD5"/>
    <w:rsid w:val="0716692A"/>
    <w:rsid w:val="071949BE"/>
    <w:rsid w:val="071C35F1"/>
    <w:rsid w:val="071E5E82"/>
    <w:rsid w:val="071E7AE7"/>
    <w:rsid w:val="072134E7"/>
    <w:rsid w:val="07246553"/>
    <w:rsid w:val="072F005B"/>
    <w:rsid w:val="07365297"/>
    <w:rsid w:val="073F2115"/>
    <w:rsid w:val="0742583E"/>
    <w:rsid w:val="07462D5D"/>
    <w:rsid w:val="074A7F36"/>
    <w:rsid w:val="075206FA"/>
    <w:rsid w:val="07577042"/>
    <w:rsid w:val="075848EC"/>
    <w:rsid w:val="075C3B2C"/>
    <w:rsid w:val="075C45C9"/>
    <w:rsid w:val="075E7FAF"/>
    <w:rsid w:val="076E63A4"/>
    <w:rsid w:val="076F0CB0"/>
    <w:rsid w:val="076F2044"/>
    <w:rsid w:val="077044D9"/>
    <w:rsid w:val="07724E37"/>
    <w:rsid w:val="0775691E"/>
    <w:rsid w:val="07763CCB"/>
    <w:rsid w:val="077869F1"/>
    <w:rsid w:val="07813B6B"/>
    <w:rsid w:val="07821BE4"/>
    <w:rsid w:val="07822CB7"/>
    <w:rsid w:val="078771A9"/>
    <w:rsid w:val="07897D72"/>
    <w:rsid w:val="078C4546"/>
    <w:rsid w:val="078F4CF6"/>
    <w:rsid w:val="079710D2"/>
    <w:rsid w:val="07991638"/>
    <w:rsid w:val="079E49B8"/>
    <w:rsid w:val="07A64AE1"/>
    <w:rsid w:val="07A6636E"/>
    <w:rsid w:val="07AB5ACD"/>
    <w:rsid w:val="07B0578B"/>
    <w:rsid w:val="07B436CE"/>
    <w:rsid w:val="07B5402B"/>
    <w:rsid w:val="07BC3A94"/>
    <w:rsid w:val="07C06431"/>
    <w:rsid w:val="07CE3FB0"/>
    <w:rsid w:val="07D07AA7"/>
    <w:rsid w:val="07D116C0"/>
    <w:rsid w:val="07D32AFB"/>
    <w:rsid w:val="07DC5E90"/>
    <w:rsid w:val="07DE427B"/>
    <w:rsid w:val="07DF4459"/>
    <w:rsid w:val="07E11425"/>
    <w:rsid w:val="07E22989"/>
    <w:rsid w:val="07E51404"/>
    <w:rsid w:val="07EB2551"/>
    <w:rsid w:val="07EB33D5"/>
    <w:rsid w:val="07ED40AA"/>
    <w:rsid w:val="07EE0349"/>
    <w:rsid w:val="07EE61CF"/>
    <w:rsid w:val="07F9473C"/>
    <w:rsid w:val="07FA265E"/>
    <w:rsid w:val="07FA76B6"/>
    <w:rsid w:val="07FB14D1"/>
    <w:rsid w:val="0800291A"/>
    <w:rsid w:val="08022332"/>
    <w:rsid w:val="080621C9"/>
    <w:rsid w:val="0806339B"/>
    <w:rsid w:val="08135963"/>
    <w:rsid w:val="08156943"/>
    <w:rsid w:val="081670CF"/>
    <w:rsid w:val="0817669D"/>
    <w:rsid w:val="08194BFD"/>
    <w:rsid w:val="081F2E16"/>
    <w:rsid w:val="0820461F"/>
    <w:rsid w:val="08236E8C"/>
    <w:rsid w:val="082642E1"/>
    <w:rsid w:val="082B3187"/>
    <w:rsid w:val="082B4D8E"/>
    <w:rsid w:val="083538B5"/>
    <w:rsid w:val="083632C8"/>
    <w:rsid w:val="08395A58"/>
    <w:rsid w:val="084E5E26"/>
    <w:rsid w:val="085046EC"/>
    <w:rsid w:val="08507C39"/>
    <w:rsid w:val="08517E60"/>
    <w:rsid w:val="0861649D"/>
    <w:rsid w:val="0862689B"/>
    <w:rsid w:val="08786CBB"/>
    <w:rsid w:val="087B174E"/>
    <w:rsid w:val="087F39E5"/>
    <w:rsid w:val="08817154"/>
    <w:rsid w:val="08835901"/>
    <w:rsid w:val="088460BF"/>
    <w:rsid w:val="08861B3F"/>
    <w:rsid w:val="0888012B"/>
    <w:rsid w:val="088A0D67"/>
    <w:rsid w:val="088C17E2"/>
    <w:rsid w:val="089201C5"/>
    <w:rsid w:val="0893301B"/>
    <w:rsid w:val="0895627A"/>
    <w:rsid w:val="08977BB9"/>
    <w:rsid w:val="08987DA8"/>
    <w:rsid w:val="089D554B"/>
    <w:rsid w:val="089F4123"/>
    <w:rsid w:val="08A26456"/>
    <w:rsid w:val="08AA0EFF"/>
    <w:rsid w:val="08AB3D1B"/>
    <w:rsid w:val="08AB5964"/>
    <w:rsid w:val="08AF5C17"/>
    <w:rsid w:val="08B44F37"/>
    <w:rsid w:val="08B64BA2"/>
    <w:rsid w:val="08B82404"/>
    <w:rsid w:val="08B903D2"/>
    <w:rsid w:val="08BE0572"/>
    <w:rsid w:val="08C8104D"/>
    <w:rsid w:val="08CB7CAE"/>
    <w:rsid w:val="08D35DAA"/>
    <w:rsid w:val="08D4281C"/>
    <w:rsid w:val="08D63E50"/>
    <w:rsid w:val="08D84504"/>
    <w:rsid w:val="08DF03F0"/>
    <w:rsid w:val="08E2517C"/>
    <w:rsid w:val="08EC7358"/>
    <w:rsid w:val="08EE2128"/>
    <w:rsid w:val="08F03C3B"/>
    <w:rsid w:val="08F87308"/>
    <w:rsid w:val="08F94B5D"/>
    <w:rsid w:val="08FB4AD9"/>
    <w:rsid w:val="08FE2DBA"/>
    <w:rsid w:val="09026F07"/>
    <w:rsid w:val="090D16A1"/>
    <w:rsid w:val="090D7981"/>
    <w:rsid w:val="090F3A15"/>
    <w:rsid w:val="0913264A"/>
    <w:rsid w:val="091752D2"/>
    <w:rsid w:val="091A54E0"/>
    <w:rsid w:val="091C12AF"/>
    <w:rsid w:val="091E19AC"/>
    <w:rsid w:val="091F7339"/>
    <w:rsid w:val="09202CBE"/>
    <w:rsid w:val="09204BF9"/>
    <w:rsid w:val="09246605"/>
    <w:rsid w:val="0925183D"/>
    <w:rsid w:val="0925257B"/>
    <w:rsid w:val="09286EA2"/>
    <w:rsid w:val="092B56F9"/>
    <w:rsid w:val="092D5FB5"/>
    <w:rsid w:val="092F7776"/>
    <w:rsid w:val="09313B98"/>
    <w:rsid w:val="093A2D1A"/>
    <w:rsid w:val="093B6639"/>
    <w:rsid w:val="0942273B"/>
    <w:rsid w:val="0948770D"/>
    <w:rsid w:val="094A003C"/>
    <w:rsid w:val="094B1BB1"/>
    <w:rsid w:val="094D72D7"/>
    <w:rsid w:val="094E143A"/>
    <w:rsid w:val="094E420B"/>
    <w:rsid w:val="09512A41"/>
    <w:rsid w:val="095477DE"/>
    <w:rsid w:val="09587603"/>
    <w:rsid w:val="095A50BB"/>
    <w:rsid w:val="095D322D"/>
    <w:rsid w:val="095F3CE3"/>
    <w:rsid w:val="095F5D54"/>
    <w:rsid w:val="09626298"/>
    <w:rsid w:val="096952F8"/>
    <w:rsid w:val="09724AED"/>
    <w:rsid w:val="09736A3E"/>
    <w:rsid w:val="097751C6"/>
    <w:rsid w:val="09776735"/>
    <w:rsid w:val="097770D4"/>
    <w:rsid w:val="09781FFB"/>
    <w:rsid w:val="097A7FD3"/>
    <w:rsid w:val="097C55C5"/>
    <w:rsid w:val="09800CE3"/>
    <w:rsid w:val="09807C8E"/>
    <w:rsid w:val="09815948"/>
    <w:rsid w:val="09897D9A"/>
    <w:rsid w:val="098C1E0E"/>
    <w:rsid w:val="098C73AC"/>
    <w:rsid w:val="099866AB"/>
    <w:rsid w:val="099B1E64"/>
    <w:rsid w:val="09A35924"/>
    <w:rsid w:val="09A834CE"/>
    <w:rsid w:val="09AB4536"/>
    <w:rsid w:val="09AB679D"/>
    <w:rsid w:val="09AC373E"/>
    <w:rsid w:val="09AC7E7B"/>
    <w:rsid w:val="09B16CAF"/>
    <w:rsid w:val="09B441BA"/>
    <w:rsid w:val="09B52821"/>
    <w:rsid w:val="09B56049"/>
    <w:rsid w:val="09B63760"/>
    <w:rsid w:val="09BA621B"/>
    <w:rsid w:val="09C33135"/>
    <w:rsid w:val="09C43137"/>
    <w:rsid w:val="09C45440"/>
    <w:rsid w:val="09CB6811"/>
    <w:rsid w:val="09CF5196"/>
    <w:rsid w:val="09D16D77"/>
    <w:rsid w:val="09D33B7D"/>
    <w:rsid w:val="09D3769E"/>
    <w:rsid w:val="09D56E5A"/>
    <w:rsid w:val="09DD3ED9"/>
    <w:rsid w:val="09E249E4"/>
    <w:rsid w:val="09EB3645"/>
    <w:rsid w:val="09EC7123"/>
    <w:rsid w:val="09F03933"/>
    <w:rsid w:val="09F263EA"/>
    <w:rsid w:val="09F310B4"/>
    <w:rsid w:val="09F3476C"/>
    <w:rsid w:val="09F530EA"/>
    <w:rsid w:val="09F734E2"/>
    <w:rsid w:val="09F735DE"/>
    <w:rsid w:val="09FA7C9C"/>
    <w:rsid w:val="09FD40CA"/>
    <w:rsid w:val="09FD4195"/>
    <w:rsid w:val="09FD6364"/>
    <w:rsid w:val="09FE00A6"/>
    <w:rsid w:val="09FE6719"/>
    <w:rsid w:val="09FF5CCB"/>
    <w:rsid w:val="0A03314A"/>
    <w:rsid w:val="0A052CF5"/>
    <w:rsid w:val="0A133773"/>
    <w:rsid w:val="0A147F72"/>
    <w:rsid w:val="0A171055"/>
    <w:rsid w:val="0A1B3422"/>
    <w:rsid w:val="0A215D31"/>
    <w:rsid w:val="0A224CDD"/>
    <w:rsid w:val="0A23009B"/>
    <w:rsid w:val="0A236C51"/>
    <w:rsid w:val="0A3316E0"/>
    <w:rsid w:val="0A377917"/>
    <w:rsid w:val="0A3936FE"/>
    <w:rsid w:val="0A411C45"/>
    <w:rsid w:val="0A4A3D18"/>
    <w:rsid w:val="0A4C15B6"/>
    <w:rsid w:val="0A4C5A07"/>
    <w:rsid w:val="0A544EA2"/>
    <w:rsid w:val="0A5F1F0D"/>
    <w:rsid w:val="0A604F98"/>
    <w:rsid w:val="0A64733E"/>
    <w:rsid w:val="0A6604B0"/>
    <w:rsid w:val="0A6C0264"/>
    <w:rsid w:val="0A700690"/>
    <w:rsid w:val="0A7363B5"/>
    <w:rsid w:val="0A737F52"/>
    <w:rsid w:val="0A780D0E"/>
    <w:rsid w:val="0A7B5AC9"/>
    <w:rsid w:val="0A7D14BD"/>
    <w:rsid w:val="0A7D6C3C"/>
    <w:rsid w:val="0A8659FE"/>
    <w:rsid w:val="0A87496E"/>
    <w:rsid w:val="0A920283"/>
    <w:rsid w:val="0A927EC6"/>
    <w:rsid w:val="0A932988"/>
    <w:rsid w:val="0A933E8A"/>
    <w:rsid w:val="0A947B74"/>
    <w:rsid w:val="0AA81768"/>
    <w:rsid w:val="0AA97315"/>
    <w:rsid w:val="0AAB22FC"/>
    <w:rsid w:val="0AAF74B2"/>
    <w:rsid w:val="0AB03E9A"/>
    <w:rsid w:val="0AB33AD8"/>
    <w:rsid w:val="0ABB1C18"/>
    <w:rsid w:val="0ABD41F1"/>
    <w:rsid w:val="0AC10340"/>
    <w:rsid w:val="0AC26BB5"/>
    <w:rsid w:val="0ACA108C"/>
    <w:rsid w:val="0ACF0A3C"/>
    <w:rsid w:val="0ACF2280"/>
    <w:rsid w:val="0ACF2DEB"/>
    <w:rsid w:val="0ACF4F42"/>
    <w:rsid w:val="0AD05045"/>
    <w:rsid w:val="0AD05413"/>
    <w:rsid w:val="0ADB1CB7"/>
    <w:rsid w:val="0ADC6566"/>
    <w:rsid w:val="0ADD22A6"/>
    <w:rsid w:val="0ADE2998"/>
    <w:rsid w:val="0AE13BDD"/>
    <w:rsid w:val="0AE819BA"/>
    <w:rsid w:val="0AEE6ECB"/>
    <w:rsid w:val="0AF11121"/>
    <w:rsid w:val="0AF55998"/>
    <w:rsid w:val="0AF676F2"/>
    <w:rsid w:val="0B001394"/>
    <w:rsid w:val="0B015E43"/>
    <w:rsid w:val="0B024871"/>
    <w:rsid w:val="0B0318CD"/>
    <w:rsid w:val="0B105BF8"/>
    <w:rsid w:val="0B1933CE"/>
    <w:rsid w:val="0B19754C"/>
    <w:rsid w:val="0B1C133D"/>
    <w:rsid w:val="0B1F3978"/>
    <w:rsid w:val="0B206CBB"/>
    <w:rsid w:val="0B211CF4"/>
    <w:rsid w:val="0B234216"/>
    <w:rsid w:val="0B246590"/>
    <w:rsid w:val="0B247DE5"/>
    <w:rsid w:val="0B2A41A3"/>
    <w:rsid w:val="0B2C33E7"/>
    <w:rsid w:val="0B2C5DC6"/>
    <w:rsid w:val="0B2C7A22"/>
    <w:rsid w:val="0B2D6259"/>
    <w:rsid w:val="0B2E43D8"/>
    <w:rsid w:val="0B2E6B91"/>
    <w:rsid w:val="0B2E781E"/>
    <w:rsid w:val="0B3D7EE3"/>
    <w:rsid w:val="0B407DDC"/>
    <w:rsid w:val="0B4129FE"/>
    <w:rsid w:val="0B444515"/>
    <w:rsid w:val="0B4B73D0"/>
    <w:rsid w:val="0B4F6E2B"/>
    <w:rsid w:val="0B50260C"/>
    <w:rsid w:val="0B5258C3"/>
    <w:rsid w:val="0B5766F0"/>
    <w:rsid w:val="0B584E54"/>
    <w:rsid w:val="0B5903F7"/>
    <w:rsid w:val="0B5C2A8C"/>
    <w:rsid w:val="0B623D2E"/>
    <w:rsid w:val="0B6337BA"/>
    <w:rsid w:val="0B677DFA"/>
    <w:rsid w:val="0B681077"/>
    <w:rsid w:val="0B6B1A39"/>
    <w:rsid w:val="0B7127E5"/>
    <w:rsid w:val="0B74139E"/>
    <w:rsid w:val="0B77002A"/>
    <w:rsid w:val="0B7C5320"/>
    <w:rsid w:val="0B821FA4"/>
    <w:rsid w:val="0B8265FA"/>
    <w:rsid w:val="0B84673E"/>
    <w:rsid w:val="0B892750"/>
    <w:rsid w:val="0B8B206A"/>
    <w:rsid w:val="0B9040FC"/>
    <w:rsid w:val="0B9276CB"/>
    <w:rsid w:val="0B955C7A"/>
    <w:rsid w:val="0B96524F"/>
    <w:rsid w:val="0B9B7A01"/>
    <w:rsid w:val="0B9C0A4D"/>
    <w:rsid w:val="0BA20034"/>
    <w:rsid w:val="0BA2413C"/>
    <w:rsid w:val="0BA60387"/>
    <w:rsid w:val="0BA933F1"/>
    <w:rsid w:val="0BA97D13"/>
    <w:rsid w:val="0BAC4214"/>
    <w:rsid w:val="0BAE21B6"/>
    <w:rsid w:val="0BB077FF"/>
    <w:rsid w:val="0BB16796"/>
    <w:rsid w:val="0BC27303"/>
    <w:rsid w:val="0BC44A7A"/>
    <w:rsid w:val="0BC80111"/>
    <w:rsid w:val="0BC94F53"/>
    <w:rsid w:val="0BD0095C"/>
    <w:rsid w:val="0BD341F6"/>
    <w:rsid w:val="0BDD0D6F"/>
    <w:rsid w:val="0BE3044C"/>
    <w:rsid w:val="0BE4092C"/>
    <w:rsid w:val="0BE627D3"/>
    <w:rsid w:val="0BE659AB"/>
    <w:rsid w:val="0BE830E8"/>
    <w:rsid w:val="0BE93A29"/>
    <w:rsid w:val="0BEC0FFD"/>
    <w:rsid w:val="0BED1A41"/>
    <w:rsid w:val="0BF36750"/>
    <w:rsid w:val="0BF55456"/>
    <w:rsid w:val="0BF6525B"/>
    <w:rsid w:val="0BF75685"/>
    <w:rsid w:val="0BFC2394"/>
    <w:rsid w:val="0BFD0809"/>
    <w:rsid w:val="0BFF33B8"/>
    <w:rsid w:val="0C002A30"/>
    <w:rsid w:val="0C011D61"/>
    <w:rsid w:val="0C037410"/>
    <w:rsid w:val="0C0839C8"/>
    <w:rsid w:val="0C0A2AB3"/>
    <w:rsid w:val="0C114A34"/>
    <w:rsid w:val="0C152540"/>
    <w:rsid w:val="0C171A93"/>
    <w:rsid w:val="0C194DC6"/>
    <w:rsid w:val="0C1A1A41"/>
    <w:rsid w:val="0C1B0FF7"/>
    <w:rsid w:val="0C1C2616"/>
    <w:rsid w:val="0C310D16"/>
    <w:rsid w:val="0C314457"/>
    <w:rsid w:val="0C316673"/>
    <w:rsid w:val="0C3170A5"/>
    <w:rsid w:val="0C3367F2"/>
    <w:rsid w:val="0C397F38"/>
    <w:rsid w:val="0C3D796B"/>
    <w:rsid w:val="0C3E48B5"/>
    <w:rsid w:val="0C417576"/>
    <w:rsid w:val="0C422425"/>
    <w:rsid w:val="0C4378E3"/>
    <w:rsid w:val="0C487094"/>
    <w:rsid w:val="0C497487"/>
    <w:rsid w:val="0C4C75C7"/>
    <w:rsid w:val="0C500B20"/>
    <w:rsid w:val="0C530EB0"/>
    <w:rsid w:val="0C5D673D"/>
    <w:rsid w:val="0C614383"/>
    <w:rsid w:val="0C6809E8"/>
    <w:rsid w:val="0C694FF9"/>
    <w:rsid w:val="0C6D1643"/>
    <w:rsid w:val="0C70637B"/>
    <w:rsid w:val="0C736F99"/>
    <w:rsid w:val="0C7537E9"/>
    <w:rsid w:val="0C7D0506"/>
    <w:rsid w:val="0C7D0758"/>
    <w:rsid w:val="0C7D5717"/>
    <w:rsid w:val="0C7D5D4D"/>
    <w:rsid w:val="0C925CB5"/>
    <w:rsid w:val="0C9469C1"/>
    <w:rsid w:val="0C9620A3"/>
    <w:rsid w:val="0C962E38"/>
    <w:rsid w:val="0C9A55C8"/>
    <w:rsid w:val="0C9D35BC"/>
    <w:rsid w:val="0CA20CCD"/>
    <w:rsid w:val="0CA67F32"/>
    <w:rsid w:val="0CA877AC"/>
    <w:rsid w:val="0CAF3768"/>
    <w:rsid w:val="0CB17E5C"/>
    <w:rsid w:val="0CBA05FA"/>
    <w:rsid w:val="0CBC4C76"/>
    <w:rsid w:val="0CC13C53"/>
    <w:rsid w:val="0CC24EC0"/>
    <w:rsid w:val="0CC3771D"/>
    <w:rsid w:val="0CC65D2B"/>
    <w:rsid w:val="0CC972AC"/>
    <w:rsid w:val="0CCF3633"/>
    <w:rsid w:val="0CD05130"/>
    <w:rsid w:val="0CD143FA"/>
    <w:rsid w:val="0CD50E84"/>
    <w:rsid w:val="0CE341CD"/>
    <w:rsid w:val="0CE34A54"/>
    <w:rsid w:val="0CE71F41"/>
    <w:rsid w:val="0CE92D8D"/>
    <w:rsid w:val="0CF03403"/>
    <w:rsid w:val="0CF83B04"/>
    <w:rsid w:val="0CFA05AF"/>
    <w:rsid w:val="0CFB69BD"/>
    <w:rsid w:val="0D00613C"/>
    <w:rsid w:val="0D012314"/>
    <w:rsid w:val="0D016D9E"/>
    <w:rsid w:val="0D030EA5"/>
    <w:rsid w:val="0D0B4CB2"/>
    <w:rsid w:val="0D1335B7"/>
    <w:rsid w:val="0D133FB6"/>
    <w:rsid w:val="0D145D23"/>
    <w:rsid w:val="0D147516"/>
    <w:rsid w:val="0D1B132E"/>
    <w:rsid w:val="0D1C2D18"/>
    <w:rsid w:val="0D1C78EC"/>
    <w:rsid w:val="0D1F5189"/>
    <w:rsid w:val="0D272E1F"/>
    <w:rsid w:val="0D29374B"/>
    <w:rsid w:val="0D2A49B5"/>
    <w:rsid w:val="0D2B029C"/>
    <w:rsid w:val="0D2D76BE"/>
    <w:rsid w:val="0D342DF7"/>
    <w:rsid w:val="0D35345B"/>
    <w:rsid w:val="0D3606B5"/>
    <w:rsid w:val="0D380511"/>
    <w:rsid w:val="0D386354"/>
    <w:rsid w:val="0D394FA6"/>
    <w:rsid w:val="0D3C3667"/>
    <w:rsid w:val="0D4A48C6"/>
    <w:rsid w:val="0D4B14A3"/>
    <w:rsid w:val="0D577726"/>
    <w:rsid w:val="0D683AA4"/>
    <w:rsid w:val="0D6A2CBC"/>
    <w:rsid w:val="0D71700E"/>
    <w:rsid w:val="0D723877"/>
    <w:rsid w:val="0D761CD4"/>
    <w:rsid w:val="0D763E29"/>
    <w:rsid w:val="0D77486B"/>
    <w:rsid w:val="0D7D0E92"/>
    <w:rsid w:val="0D7D5A91"/>
    <w:rsid w:val="0D7F7636"/>
    <w:rsid w:val="0D89702A"/>
    <w:rsid w:val="0D8A6AEC"/>
    <w:rsid w:val="0D8A7877"/>
    <w:rsid w:val="0D8F7FB1"/>
    <w:rsid w:val="0D94345A"/>
    <w:rsid w:val="0D9645C4"/>
    <w:rsid w:val="0D9B663C"/>
    <w:rsid w:val="0D9F41D3"/>
    <w:rsid w:val="0DA152FE"/>
    <w:rsid w:val="0DA3523C"/>
    <w:rsid w:val="0DAD2ADB"/>
    <w:rsid w:val="0DB27BC7"/>
    <w:rsid w:val="0DB45618"/>
    <w:rsid w:val="0DBD2C6E"/>
    <w:rsid w:val="0DC51760"/>
    <w:rsid w:val="0DC70037"/>
    <w:rsid w:val="0DD627EF"/>
    <w:rsid w:val="0DD81748"/>
    <w:rsid w:val="0DDC4E5B"/>
    <w:rsid w:val="0DE4343C"/>
    <w:rsid w:val="0DE62554"/>
    <w:rsid w:val="0DE629FD"/>
    <w:rsid w:val="0DE85C51"/>
    <w:rsid w:val="0DE95BE5"/>
    <w:rsid w:val="0DEE280A"/>
    <w:rsid w:val="0DF32FB7"/>
    <w:rsid w:val="0DF540CC"/>
    <w:rsid w:val="0DF7614A"/>
    <w:rsid w:val="0DF81AF1"/>
    <w:rsid w:val="0DF832F7"/>
    <w:rsid w:val="0DF87BED"/>
    <w:rsid w:val="0DFA0036"/>
    <w:rsid w:val="0DFA5954"/>
    <w:rsid w:val="0E027D2E"/>
    <w:rsid w:val="0E0615E6"/>
    <w:rsid w:val="0E086ADE"/>
    <w:rsid w:val="0E0C1F9D"/>
    <w:rsid w:val="0E11654A"/>
    <w:rsid w:val="0E117D19"/>
    <w:rsid w:val="0E142AF9"/>
    <w:rsid w:val="0E1562F1"/>
    <w:rsid w:val="0E157D1A"/>
    <w:rsid w:val="0E201559"/>
    <w:rsid w:val="0E203AD1"/>
    <w:rsid w:val="0E206F17"/>
    <w:rsid w:val="0E23781C"/>
    <w:rsid w:val="0E265595"/>
    <w:rsid w:val="0E28414B"/>
    <w:rsid w:val="0E2C75BA"/>
    <w:rsid w:val="0E2D3866"/>
    <w:rsid w:val="0E316613"/>
    <w:rsid w:val="0E3223C7"/>
    <w:rsid w:val="0E326155"/>
    <w:rsid w:val="0E3322D5"/>
    <w:rsid w:val="0E342E4D"/>
    <w:rsid w:val="0E3F253F"/>
    <w:rsid w:val="0E400697"/>
    <w:rsid w:val="0E443AFD"/>
    <w:rsid w:val="0E462CCE"/>
    <w:rsid w:val="0E471213"/>
    <w:rsid w:val="0E48745F"/>
    <w:rsid w:val="0E4C13BD"/>
    <w:rsid w:val="0E4D11D5"/>
    <w:rsid w:val="0E5129F2"/>
    <w:rsid w:val="0E515BAF"/>
    <w:rsid w:val="0E567B3A"/>
    <w:rsid w:val="0E573A0C"/>
    <w:rsid w:val="0E580971"/>
    <w:rsid w:val="0E586B19"/>
    <w:rsid w:val="0E651E98"/>
    <w:rsid w:val="0E731A8C"/>
    <w:rsid w:val="0E7446E3"/>
    <w:rsid w:val="0E765E69"/>
    <w:rsid w:val="0E7A1A0C"/>
    <w:rsid w:val="0E7A38BF"/>
    <w:rsid w:val="0E7A4AB7"/>
    <w:rsid w:val="0E7B0BEF"/>
    <w:rsid w:val="0E7B0DCC"/>
    <w:rsid w:val="0E853156"/>
    <w:rsid w:val="0E862742"/>
    <w:rsid w:val="0E864262"/>
    <w:rsid w:val="0E8941A5"/>
    <w:rsid w:val="0E92359D"/>
    <w:rsid w:val="0E9410EA"/>
    <w:rsid w:val="0E95233E"/>
    <w:rsid w:val="0E9804EF"/>
    <w:rsid w:val="0E9853FD"/>
    <w:rsid w:val="0E9945A0"/>
    <w:rsid w:val="0E9F00BA"/>
    <w:rsid w:val="0EA32D2E"/>
    <w:rsid w:val="0EA35CAB"/>
    <w:rsid w:val="0EA56040"/>
    <w:rsid w:val="0EA90C21"/>
    <w:rsid w:val="0EAB67BC"/>
    <w:rsid w:val="0EAE779E"/>
    <w:rsid w:val="0EAF4C90"/>
    <w:rsid w:val="0EB17486"/>
    <w:rsid w:val="0EB80B15"/>
    <w:rsid w:val="0EB9334C"/>
    <w:rsid w:val="0EBA46E0"/>
    <w:rsid w:val="0EBD6B16"/>
    <w:rsid w:val="0EC2048D"/>
    <w:rsid w:val="0ECA195A"/>
    <w:rsid w:val="0ECB54A9"/>
    <w:rsid w:val="0ECE3C71"/>
    <w:rsid w:val="0ED12D82"/>
    <w:rsid w:val="0EDE349F"/>
    <w:rsid w:val="0EDF1BEA"/>
    <w:rsid w:val="0EE07CFC"/>
    <w:rsid w:val="0EE915E1"/>
    <w:rsid w:val="0EEB464F"/>
    <w:rsid w:val="0EF4352A"/>
    <w:rsid w:val="0F052265"/>
    <w:rsid w:val="0F054BF4"/>
    <w:rsid w:val="0F054EB8"/>
    <w:rsid w:val="0F0A04DA"/>
    <w:rsid w:val="0F0A53A8"/>
    <w:rsid w:val="0F0E252B"/>
    <w:rsid w:val="0F105AE7"/>
    <w:rsid w:val="0F145CB6"/>
    <w:rsid w:val="0F192345"/>
    <w:rsid w:val="0F1D3357"/>
    <w:rsid w:val="0F1D5F28"/>
    <w:rsid w:val="0F21390E"/>
    <w:rsid w:val="0F2170E7"/>
    <w:rsid w:val="0F23623D"/>
    <w:rsid w:val="0F2904D1"/>
    <w:rsid w:val="0F2958E0"/>
    <w:rsid w:val="0F2B46E2"/>
    <w:rsid w:val="0F2D549E"/>
    <w:rsid w:val="0F315EB2"/>
    <w:rsid w:val="0F33470C"/>
    <w:rsid w:val="0F360E40"/>
    <w:rsid w:val="0F3D3C30"/>
    <w:rsid w:val="0F3F7FF0"/>
    <w:rsid w:val="0F463CE1"/>
    <w:rsid w:val="0F4A2457"/>
    <w:rsid w:val="0F4A5160"/>
    <w:rsid w:val="0F4C4E08"/>
    <w:rsid w:val="0F590E59"/>
    <w:rsid w:val="0F5C59D3"/>
    <w:rsid w:val="0F651DE9"/>
    <w:rsid w:val="0F694DD4"/>
    <w:rsid w:val="0F6D1318"/>
    <w:rsid w:val="0F6E39D9"/>
    <w:rsid w:val="0F78729C"/>
    <w:rsid w:val="0F7F1893"/>
    <w:rsid w:val="0F826A56"/>
    <w:rsid w:val="0F831458"/>
    <w:rsid w:val="0F850106"/>
    <w:rsid w:val="0F861A0F"/>
    <w:rsid w:val="0F87344A"/>
    <w:rsid w:val="0F887A1B"/>
    <w:rsid w:val="0F8C3D33"/>
    <w:rsid w:val="0F8D58D3"/>
    <w:rsid w:val="0F9222CE"/>
    <w:rsid w:val="0F930041"/>
    <w:rsid w:val="0F956ED8"/>
    <w:rsid w:val="0F9C4867"/>
    <w:rsid w:val="0F9C6A1C"/>
    <w:rsid w:val="0F9D744B"/>
    <w:rsid w:val="0F9E40C8"/>
    <w:rsid w:val="0FAE3F38"/>
    <w:rsid w:val="0FAE50DD"/>
    <w:rsid w:val="0FB61722"/>
    <w:rsid w:val="0FB93099"/>
    <w:rsid w:val="0FBF4AA9"/>
    <w:rsid w:val="0FC22003"/>
    <w:rsid w:val="0FC621C4"/>
    <w:rsid w:val="0FC7443C"/>
    <w:rsid w:val="0FCA09D9"/>
    <w:rsid w:val="0FCC3FB5"/>
    <w:rsid w:val="0FD00630"/>
    <w:rsid w:val="0FD425C4"/>
    <w:rsid w:val="0FD74E01"/>
    <w:rsid w:val="0FDC19E8"/>
    <w:rsid w:val="0FE06CCE"/>
    <w:rsid w:val="0FE12B6C"/>
    <w:rsid w:val="0FE3162B"/>
    <w:rsid w:val="0FE57671"/>
    <w:rsid w:val="0FE93226"/>
    <w:rsid w:val="0FED7B69"/>
    <w:rsid w:val="0FF00DDB"/>
    <w:rsid w:val="0FF74163"/>
    <w:rsid w:val="0FFF7484"/>
    <w:rsid w:val="10007993"/>
    <w:rsid w:val="10047321"/>
    <w:rsid w:val="100A0314"/>
    <w:rsid w:val="100E02B0"/>
    <w:rsid w:val="100F4721"/>
    <w:rsid w:val="10114B59"/>
    <w:rsid w:val="10115CBE"/>
    <w:rsid w:val="10125791"/>
    <w:rsid w:val="101276AA"/>
    <w:rsid w:val="10131430"/>
    <w:rsid w:val="10192925"/>
    <w:rsid w:val="101B5582"/>
    <w:rsid w:val="102442DD"/>
    <w:rsid w:val="10266943"/>
    <w:rsid w:val="102B239E"/>
    <w:rsid w:val="102E2425"/>
    <w:rsid w:val="102E38C6"/>
    <w:rsid w:val="103D5B8D"/>
    <w:rsid w:val="103F07C4"/>
    <w:rsid w:val="103F6043"/>
    <w:rsid w:val="10426913"/>
    <w:rsid w:val="10430107"/>
    <w:rsid w:val="10431F61"/>
    <w:rsid w:val="10470F35"/>
    <w:rsid w:val="10472D4F"/>
    <w:rsid w:val="104B5293"/>
    <w:rsid w:val="104C28C8"/>
    <w:rsid w:val="10500231"/>
    <w:rsid w:val="10597F70"/>
    <w:rsid w:val="105B5F57"/>
    <w:rsid w:val="10656D19"/>
    <w:rsid w:val="1068010D"/>
    <w:rsid w:val="106B17D8"/>
    <w:rsid w:val="106D70DE"/>
    <w:rsid w:val="10746F4E"/>
    <w:rsid w:val="107B294A"/>
    <w:rsid w:val="1085546B"/>
    <w:rsid w:val="108D3F3E"/>
    <w:rsid w:val="10930675"/>
    <w:rsid w:val="10974673"/>
    <w:rsid w:val="10A16F51"/>
    <w:rsid w:val="10A54A49"/>
    <w:rsid w:val="10A80E13"/>
    <w:rsid w:val="10AA3010"/>
    <w:rsid w:val="10AB563B"/>
    <w:rsid w:val="10AB5F2B"/>
    <w:rsid w:val="10AE4B10"/>
    <w:rsid w:val="10B767FB"/>
    <w:rsid w:val="10BC76A6"/>
    <w:rsid w:val="10BD28A6"/>
    <w:rsid w:val="10BE0DBC"/>
    <w:rsid w:val="10C01EFE"/>
    <w:rsid w:val="10C50E1F"/>
    <w:rsid w:val="10C833F2"/>
    <w:rsid w:val="10CA5F92"/>
    <w:rsid w:val="10D02AA1"/>
    <w:rsid w:val="10D0442B"/>
    <w:rsid w:val="10D23CC9"/>
    <w:rsid w:val="10DC0ECF"/>
    <w:rsid w:val="10DF08DA"/>
    <w:rsid w:val="10E542B1"/>
    <w:rsid w:val="10E741A0"/>
    <w:rsid w:val="10F34724"/>
    <w:rsid w:val="10F35598"/>
    <w:rsid w:val="10F722DB"/>
    <w:rsid w:val="10F845FF"/>
    <w:rsid w:val="10FD4D11"/>
    <w:rsid w:val="10FE14EA"/>
    <w:rsid w:val="11042494"/>
    <w:rsid w:val="110A70C6"/>
    <w:rsid w:val="11100FAB"/>
    <w:rsid w:val="11162B82"/>
    <w:rsid w:val="11163D16"/>
    <w:rsid w:val="111745FC"/>
    <w:rsid w:val="1121286B"/>
    <w:rsid w:val="11240BFA"/>
    <w:rsid w:val="112A6783"/>
    <w:rsid w:val="112B69CF"/>
    <w:rsid w:val="112C7C31"/>
    <w:rsid w:val="112D6F5E"/>
    <w:rsid w:val="112E257E"/>
    <w:rsid w:val="113D52A3"/>
    <w:rsid w:val="11461A8F"/>
    <w:rsid w:val="114B3CB2"/>
    <w:rsid w:val="114C6331"/>
    <w:rsid w:val="114D6BCE"/>
    <w:rsid w:val="11515ABE"/>
    <w:rsid w:val="11537A88"/>
    <w:rsid w:val="11542267"/>
    <w:rsid w:val="115516AC"/>
    <w:rsid w:val="115527C3"/>
    <w:rsid w:val="115A1386"/>
    <w:rsid w:val="116212BF"/>
    <w:rsid w:val="11642447"/>
    <w:rsid w:val="116546AE"/>
    <w:rsid w:val="1168381B"/>
    <w:rsid w:val="116A069D"/>
    <w:rsid w:val="116A0A51"/>
    <w:rsid w:val="1171263D"/>
    <w:rsid w:val="11720412"/>
    <w:rsid w:val="117A1BCF"/>
    <w:rsid w:val="117F0093"/>
    <w:rsid w:val="118B6CF7"/>
    <w:rsid w:val="11927A12"/>
    <w:rsid w:val="11931D6C"/>
    <w:rsid w:val="119547C7"/>
    <w:rsid w:val="119714B3"/>
    <w:rsid w:val="119836EC"/>
    <w:rsid w:val="119A00EA"/>
    <w:rsid w:val="119C3D54"/>
    <w:rsid w:val="119F259A"/>
    <w:rsid w:val="11A36B61"/>
    <w:rsid w:val="11A906F0"/>
    <w:rsid w:val="11AA2210"/>
    <w:rsid w:val="11AF5CD2"/>
    <w:rsid w:val="11BD6129"/>
    <w:rsid w:val="11BD6267"/>
    <w:rsid w:val="11C02CE8"/>
    <w:rsid w:val="11C039F3"/>
    <w:rsid w:val="11C0490E"/>
    <w:rsid w:val="11C326F9"/>
    <w:rsid w:val="11C4419C"/>
    <w:rsid w:val="11C70CED"/>
    <w:rsid w:val="11C82C8E"/>
    <w:rsid w:val="11CE3625"/>
    <w:rsid w:val="11D20624"/>
    <w:rsid w:val="11D235B4"/>
    <w:rsid w:val="11D33DC4"/>
    <w:rsid w:val="11D54127"/>
    <w:rsid w:val="11D70327"/>
    <w:rsid w:val="11DA2BC1"/>
    <w:rsid w:val="11DA4C2B"/>
    <w:rsid w:val="11E01AC0"/>
    <w:rsid w:val="11E258FA"/>
    <w:rsid w:val="11E53796"/>
    <w:rsid w:val="11E671A3"/>
    <w:rsid w:val="11E84188"/>
    <w:rsid w:val="11EB622D"/>
    <w:rsid w:val="11EC65D6"/>
    <w:rsid w:val="11EE7910"/>
    <w:rsid w:val="11F272D0"/>
    <w:rsid w:val="11F40514"/>
    <w:rsid w:val="11F61021"/>
    <w:rsid w:val="11FD243C"/>
    <w:rsid w:val="12001A01"/>
    <w:rsid w:val="120251EC"/>
    <w:rsid w:val="120256C2"/>
    <w:rsid w:val="1206462B"/>
    <w:rsid w:val="12064930"/>
    <w:rsid w:val="12111743"/>
    <w:rsid w:val="12111D0C"/>
    <w:rsid w:val="12127460"/>
    <w:rsid w:val="12184732"/>
    <w:rsid w:val="121C431D"/>
    <w:rsid w:val="121D48EB"/>
    <w:rsid w:val="12271BE6"/>
    <w:rsid w:val="12285B3B"/>
    <w:rsid w:val="122A7CC0"/>
    <w:rsid w:val="122F2BCE"/>
    <w:rsid w:val="12301BA3"/>
    <w:rsid w:val="123B25B9"/>
    <w:rsid w:val="123B79E8"/>
    <w:rsid w:val="123F73C0"/>
    <w:rsid w:val="12414F26"/>
    <w:rsid w:val="12492C39"/>
    <w:rsid w:val="124D729E"/>
    <w:rsid w:val="124E1981"/>
    <w:rsid w:val="124E588E"/>
    <w:rsid w:val="12521372"/>
    <w:rsid w:val="12580FFA"/>
    <w:rsid w:val="125F245C"/>
    <w:rsid w:val="12640D69"/>
    <w:rsid w:val="12675A01"/>
    <w:rsid w:val="126B1DEE"/>
    <w:rsid w:val="126C6070"/>
    <w:rsid w:val="126D2B50"/>
    <w:rsid w:val="126D3C62"/>
    <w:rsid w:val="12723637"/>
    <w:rsid w:val="12723AA3"/>
    <w:rsid w:val="12727BC0"/>
    <w:rsid w:val="1278242B"/>
    <w:rsid w:val="127D1CFD"/>
    <w:rsid w:val="12822829"/>
    <w:rsid w:val="1282783E"/>
    <w:rsid w:val="128C7DEB"/>
    <w:rsid w:val="128F5C9F"/>
    <w:rsid w:val="129210A1"/>
    <w:rsid w:val="12956F36"/>
    <w:rsid w:val="129628A5"/>
    <w:rsid w:val="129C0D3F"/>
    <w:rsid w:val="129D4311"/>
    <w:rsid w:val="129F10FE"/>
    <w:rsid w:val="12A076B6"/>
    <w:rsid w:val="12A11A81"/>
    <w:rsid w:val="12A316C8"/>
    <w:rsid w:val="12A905D0"/>
    <w:rsid w:val="12AC0206"/>
    <w:rsid w:val="12AC6530"/>
    <w:rsid w:val="12AD0A7F"/>
    <w:rsid w:val="12B118B4"/>
    <w:rsid w:val="12B223D2"/>
    <w:rsid w:val="12B435EE"/>
    <w:rsid w:val="12B7435D"/>
    <w:rsid w:val="12B9598B"/>
    <w:rsid w:val="12BA728E"/>
    <w:rsid w:val="12BC3333"/>
    <w:rsid w:val="12C910BD"/>
    <w:rsid w:val="12CD7F65"/>
    <w:rsid w:val="12D11387"/>
    <w:rsid w:val="12D23768"/>
    <w:rsid w:val="12D30B61"/>
    <w:rsid w:val="12D76345"/>
    <w:rsid w:val="12D8632B"/>
    <w:rsid w:val="12DD72C4"/>
    <w:rsid w:val="12DF7153"/>
    <w:rsid w:val="12E2175C"/>
    <w:rsid w:val="12E90488"/>
    <w:rsid w:val="12F23913"/>
    <w:rsid w:val="12F9233E"/>
    <w:rsid w:val="12F9776E"/>
    <w:rsid w:val="12FB3077"/>
    <w:rsid w:val="12FC0E2F"/>
    <w:rsid w:val="13025BE4"/>
    <w:rsid w:val="13074937"/>
    <w:rsid w:val="13077073"/>
    <w:rsid w:val="13093EF8"/>
    <w:rsid w:val="130C06C0"/>
    <w:rsid w:val="130C16EE"/>
    <w:rsid w:val="130D3C3B"/>
    <w:rsid w:val="1311589D"/>
    <w:rsid w:val="13150851"/>
    <w:rsid w:val="13166CFF"/>
    <w:rsid w:val="1318181E"/>
    <w:rsid w:val="1318279D"/>
    <w:rsid w:val="13191D69"/>
    <w:rsid w:val="131A06F5"/>
    <w:rsid w:val="131A50F8"/>
    <w:rsid w:val="13216EAF"/>
    <w:rsid w:val="13250637"/>
    <w:rsid w:val="13264D76"/>
    <w:rsid w:val="13292EC2"/>
    <w:rsid w:val="133138C0"/>
    <w:rsid w:val="1334335E"/>
    <w:rsid w:val="133D0CA2"/>
    <w:rsid w:val="133D50F8"/>
    <w:rsid w:val="133D6202"/>
    <w:rsid w:val="13406645"/>
    <w:rsid w:val="134C745C"/>
    <w:rsid w:val="134F7BF1"/>
    <w:rsid w:val="13541B40"/>
    <w:rsid w:val="13550411"/>
    <w:rsid w:val="136730E1"/>
    <w:rsid w:val="136F0B41"/>
    <w:rsid w:val="13706909"/>
    <w:rsid w:val="137347D0"/>
    <w:rsid w:val="13767B94"/>
    <w:rsid w:val="137F7E48"/>
    <w:rsid w:val="138003D8"/>
    <w:rsid w:val="13806B2E"/>
    <w:rsid w:val="13866BD4"/>
    <w:rsid w:val="1389656B"/>
    <w:rsid w:val="138B5820"/>
    <w:rsid w:val="139031C4"/>
    <w:rsid w:val="139E119B"/>
    <w:rsid w:val="13A02310"/>
    <w:rsid w:val="13A4159D"/>
    <w:rsid w:val="13A63CA4"/>
    <w:rsid w:val="13A861C2"/>
    <w:rsid w:val="13B2127D"/>
    <w:rsid w:val="13B23C25"/>
    <w:rsid w:val="13B57993"/>
    <w:rsid w:val="13B77D75"/>
    <w:rsid w:val="13B97E4A"/>
    <w:rsid w:val="13BA4CC8"/>
    <w:rsid w:val="13BD5E5A"/>
    <w:rsid w:val="13C41162"/>
    <w:rsid w:val="13C63875"/>
    <w:rsid w:val="13CC49C2"/>
    <w:rsid w:val="13D5608F"/>
    <w:rsid w:val="13E24FF5"/>
    <w:rsid w:val="13E351B3"/>
    <w:rsid w:val="13E57FD8"/>
    <w:rsid w:val="13EB597E"/>
    <w:rsid w:val="13EB615F"/>
    <w:rsid w:val="13F1789C"/>
    <w:rsid w:val="13F30976"/>
    <w:rsid w:val="13FE75B8"/>
    <w:rsid w:val="14086DE2"/>
    <w:rsid w:val="140A282E"/>
    <w:rsid w:val="141007E1"/>
    <w:rsid w:val="141736A9"/>
    <w:rsid w:val="141C1EF3"/>
    <w:rsid w:val="141C531E"/>
    <w:rsid w:val="141D14A9"/>
    <w:rsid w:val="14230EAF"/>
    <w:rsid w:val="14246D62"/>
    <w:rsid w:val="142823F8"/>
    <w:rsid w:val="142A6DC1"/>
    <w:rsid w:val="142E76AE"/>
    <w:rsid w:val="14317254"/>
    <w:rsid w:val="143A0CCA"/>
    <w:rsid w:val="14406862"/>
    <w:rsid w:val="14443C7D"/>
    <w:rsid w:val="144562A2"/>
    <w:rsid w:val="144B68C3"/>
    <w:rsid w:val="144B79B4"/>
    <w:rsid w:val="144D73C3"/>
    <w:rsid w:val="145159B3"/>
    <w:rsid w:val="14683246"/>
    <w:rsid w:val="1469680C"/>
    <w:rsid w:val="146B2D4D"/>
    <w:rsid w:val="146B7AFC"/>
    <w:rsid w:val="147215AB"/>
    <w:rsid w:val="14774177"/>
    <w:rsid w:val="14774F5E"/>
    <w:rsid w:val="147C4439"/>
    <w:rsid w:val="147C7A10"/>
    <w:rsid w:val="147F0B94"/>
    <w:rsid w:val="14816540"/>
    <w:rsid w:val="148255EC"/>
    <w:rsid w:val="1484516E"/>
    <w:rsid w:val="148624C0"/>
    <w:rsid w:val="1488149C"/>
    <w:rsid w:val="148849DE"/>
    <w:rsid w:val="14A313F3"/>
    <w:rsid w:val="14A328A3"/>
    <w:rsid w:val="14A4365E"/>
    <w:rsid w:val="14A51D7B"/>
    <w:rsid w:val="14A76182"/>
    <w:rsid w:val="14AA421D"/>
    <w:rsid w:val="14AD74AF"/>
    <w:rsid w:val="14AE044B"/>
    <w:rsid w:val="14B00BCE"/>
    <w:rsid w:val="14B01D38"/>
    <w:rsid w:val="14B64E82"/>
    <w:rsid w:val="14BC3E0F"/>
    <w:rsid w:val="14BE219C"/>
    <w:rsid w:val="14C021B2"/>
    <w:rsid w:val="14C023CB"/>
    <w:rsid w:val="14C121B9"/>
    <w:rsid w:val="14C34FE7"/>
    <w:rsid w:val="14C52A94"/>
    <w:rsid w:val="14C72A2C"/>
    <w:rsid w:val="14CC049A"/>
    <w:rsid w:val="14CF6503"/>
    <w:rsid w:val="14D33393"/>
    <w:rsid w:val="14D851E2"/>
    <w:rsid w:val="14DE4341"/>
    <w:rsid w:val="14E362BD"/>
    <w:rsid w:val="14E47C3D"/>
    <w:rsid w:val="14E52D98"/>
    <w:rsid w:val="14E6053C"/>
    <w:rsid w:val="14EE31CD"/>
    <w:rsid w:val="14F343CC"/>
    <w:rsid w:val="14F73844"/>
    <w:rsid w:val="14F87464"/>
    <w:rsid w:val="14FA25E3"/>
    <w:rsid w:val="14FE099B"/>
    <w:rsid w:val="14FE37D5"/>
    <w:rsid w:val="150455EA"/>
    <w:rsid w:val="15065E8F"/>
    <w:rsid w:val="150C0F4C"/>
    <w:rsid w:val="150D4688"/>
    <w:rsid w:val="151432C9"/>
    <w:rsid w:val="15177050"/>
    <w:rsid w:val="15180AFF"/>
    <w:rsid w:val="15204B85"/>
    <w:rsid w:val="1525584E"/>
    <w:rsid w:val="15307872"/>
    <w:rsid w:val="1532798D"/>
    <w:rsid w:val="153320AA"/>
    <w:rsid w:val="153364A4"/>
    <w:rsid w:val="1535242D"/>
    <w:rsid w:val="153F211B"/>
    <w:rsid w:val="15414CA6"/>
    <w:rsid w:val="154E3BE8"/>
    <w:rsid w:val="154F2C34"/>
    <w:rsid w:val="154F352D"/>
    <w:rsid w:val="1550560F"/>
    <w:rsid w:val="155A56EB"/>
    <w:rsid w:val="155E69FB"/>
    <w:rsid w:val="155F31DA"/>
    <w:rsid w:val="155F416A"/>
    <w:rsid w:val="156348D8"/>
    <w:rsid w:val="15644FC9"/>
    <w:rsid w:val="1566492B"/>
    <w:rsid w:val="15687B53"/>
    <w:rsid w:val="156C3CD7"/>
    <w:rsid w:val="15761F97"/>
    <w:rsid w:val="15771E61"/>
    <w:rsid w:val="1577683F"/>
    <w:rsid w:val="157F37C3"/>
    <w:rsid w:val="15845CC3"/>
    <w:rsid w:val="15875F52"/>
    <w:rsid w:val="1589331B"/>
    <w:rsid w:val="158C3568"/>
    <w:rsid w:val="158D0D32"/>
    <w:rsid w:val="15915509"/>
    <w:rsid w:val="15916DBB"/>
    <w:rsid w:val="15924436"/>
    <w:rsid w:val="159345B6"/>
    <w:rsid w:val="159953C1"/>
    <w:rsid w:val="159C6728"/>
    <w:rsid w:val="15A43E94"/>
    <w:rsid w:val="15A52C51"/>
    <w:rsid w:val="15A66708"/>
    <w:rsid w:val="15AA0E72"/>
    <w:rsid w:val="15AB3FD4"/>
    <w:rsid w:val="15AE13B2"/>
    <w:rsid w:val="15B263D8"/>
    <w:rsid w:val="15B26B34"/>
    <w:rsid w:val="15B45948"/>
    <w:rsid w:val="15BC0A49"/>
    <w:rsid w:val="15BC6FAC"/>
    <w:rsid w:val="15BE6410"/>
    <w:rsid w:val="15C4132C"/>
    <w:rsid w:val="15CD0015"/>
    <w:rsid w:val="15CF40F6"/>
    <w:rsid w:val="15CF5835"/>
    <w:rsid w:val="15D22759"/>
    <w:rsid w:val="15D40790"/>
    <w:rsid w:val="15D67C1F"/>
    <w:rsid w:val="15E019B2"/>
    <w:rsid w:val="15E1231F"/>
    <w:rsid w:val="15E17C29"/>
    <w:rsid w:val="15E658A7"/>
    <w:rsid w:val="15E777F2"/>
    <w:rsid w:val="15E83801"/>
    <w:rsid w:val="15EF298D"/>
    <w:rsid w:val="15F63F33"/>
    <w:rsid w:val="15F72436"/>
    <w:rsid w:val="15F94F2F"/>
    <w:rsid w:val="16060EF8"/>
    <w:rsid w:val="16076C91"/>
    <w:rsid w:val="160D6F9C"/>
    <w:rsid w:val="16132886"/>
    <w:rsid w:val="1615790D"/>
    <w:rsid w:val="16171571"/>
    <w:rsid w:val="161A5F8D"/>
    <w:rsid w:val="161F27DA"/>
    <w:rsid w:val="16277023"/>
    <w:rsid w:val="162964D1"/>
    <w:rsid w:val="162B615F"/>
    <w:rsid w:val="162E6D2D"/>
    <w:rsid w:val="1633331B"/>
    <w:rsid w:val="163437B4"/>
    <w:rsid w:val="1634445C"/>
    <w:rsid w:val="16385F6C"/>
    <w:rsid w:val="163D75D8"/>
    <w:rsid w:val="163F63D1"/>
    <w:rsid w:val="163F7187"/>
    <w:rsid w:val="16415CF0"/>
    <w:rsid w:val="16422488"/>
    <w:rsid w:val="165E128A"/>
    <w:rsid w:val="166012C6"/>
    <w:rsid w:val="16627DE2"/>
    <w:rsid w:val="16682229"/>
    <w:rsid w:val="166A6287"/>
    <w:rsid w:val="166D40A5"/>
    <w:rsid w:val="16700553"/>
    <w:rsid w:val="16706481"/>
    <w:rsid w:val="16745380"/>
    <w:rsid w:val="167760F7"/>
    <w:rsid w:val="167C7A60"/>
    <w:rsid w:val="167E01DB"/>
    <w:rsid w:val="16852787"/>
    <w:rsid w:val="16875F89"/>
    <w:rsid w:val="168D6639"/>
    <w:rsid w:val="168E1562"/>
    <w:rsid w:val="168F6CD7"/>
    <w:rsid w:val="169231EA"/>
    <w:rsid w:val="1697464E"/>
    <w:rsid w:val="16A3262C"/>
    <w:rsid w:val="16A351AA"/>
    <w:rsid w:val="16A773BA"/>
    <w:rsid w:val="16A82624"/>
    <w:rsid w:val="16AE2A36"/>
    <w:rsid w:val="16AE5916"/>
    <w:rsid w:val="16B3439E"/>
    <w:rsid w:val="16B3652F"/>
    <w:rsid w:val="16B45027"/>
    <w:rsid w:val="16BC42C6"/>
    <w:rsid w:val="16BC45F1"/>
    <w:rsid w:val="16BC7E7D"/>
    <w:rsid w:val="16C32A19"/>
    <w:rsid w:val="16C34988"/>
    <w:rsid w:val="16C36109"/>
    <w:rsid w:val="16C67279"/>
    <w:rsid w:val="16C879DC"/>
    <w:rsid w:val="16CC1FF5"/>
    <w:rsid w:val="16CD4F64"/>
    <w:rsid w:val="16CE0B96"/>
    <w:rsid w:val="16CE5378"/>
    <w:rsid w:val="16D01D1F"/>
    <w:rsid w:val="16D10118"/>
    <w:rsid w:val="16D34E55"/>
    <w:rsid w:val="16D54005"/>
    <w:rsid w:val="16D80D4D"/>
    <w:rsid w:val="16D86A76"/>
    <w:rsid w:val="16DB2469"/>
    <w:rsid w:val="16DE00A0"/>
    <w:rsid w:val="16EB10BE"/>
    <w:rsid w:val="16EE5E4D"/>
    <w:rsid w:val="16EF0C42"/>
    <w:rsid w:val="16F1211F"/>
    <w:rsid w:val="16F43598"/>
    <w:rsid w:val="16F605AF"/>
    <w:rsid w:val="16F65F53"/>
    <w:rsid w:val="16F8649F"/>
    <w:rsid w:val="16F94823"/>
    <w:rsid w:val="16FA2647"/>
    <w:rsid w:val="16FB251C"/>
    <w:rsid w:val="16FC773F"/>
    <w:rsid w:val="16FE353E"/>
    <w:rsid w:val="16FE5074"/>
    <w:rsid w:val="170067AB"/>
    <w:rsid w:val="17053931"/>
    <w:rsid w:val="170B3E5D"/>
    <w:rsid w:val="170D068F"/>
    <w:rsid w:val="17190E2C"/>
    <w:rsid w:val="171B4794"/>
    <w:rsid w:val="171D585D"/>
    <w:rsid w:val="17226432"/>
    <w:rsid w:val="17233178"/>
    <w:rsid w:val="1725115C"/>
    <w:rsid w:val="17277EF1"/>
    <w:rsid w:val="172802D1"/>
    <w:rsid w:val="17280541"/>
    <w:rsid w:val="17291071"/>
    <w:rsid w:val="172A0EFE"/>
    <w:rsid w:val="17343D30"/>
    <w:rsid w:val="17382003"/>
    <w:rsid w:val="173869E3"/>
    <w:rsid w:val="17393F18"/>
    <w:rsid w:val="173A3EF5"/>
    <w:rsid w:val="173E567E"/>
    <w:rsid w:val="173F7A4A"/>
    <w:rsid w:val="17426E86"/>
    <w:rsid w:val="174649C4"/>
    <w:rsid w:val="174B4390"/>
    <w:rsid w:val="17691252"/>
    <w:rsid w:val="176B386C"/>
    <w:rsid w:val="176C5357"/>
    <w:rsid w:val="176F0B60"/>
    <w:rsid w:val="177B196D"/>
    <w:rsid w:val="17823839"/>
    <w:rsid w:val="178356EA"/>
    <w:rsid w:val="17873C67"/>
    <w:rsid w:val="178A013E"/>
    <w:rsid w:val="178E1F7E"/>
    <w:rsid w:val="178E45AC"/>
    <w:rsid w:val="178E58D3"/>
    <w:rsid w:val="179001C2"/>
    <w:rsid w:val="179055AD"/>
    <w:rsid w:val="17924FC2"/>
    <w:rsid w:val="179450CA"/>
    <w:rsid w:val="17980C08"/>
    <w:rsid w:val="17982B57"/>
    <w:rsid w:val="179D1B7C"/>
    <w:rsid w:val="17A01D65"/>
    <w:rsid w:val="17A46E72"/>
    <w:rsid w:val="17A774EC"/>
    <w:rsid w:val="17A90198"/>
    <w:rsid w:val="17AB4FFA"/>
    <w:rsid w:val="17B275C3"/>
    <w:rsid w:val="17B55967"/>
    <w:rsid w:val="17B74DCB"/>
    <w:rsid w:val="17BE1082"/>
    <w:rsid w:val="17C120F6"/>
    <w:rsid w:val="17C41A1B"/>
    <w:rsid w:val="17C534CD"/>
    <w:rsid w:val="17C7384C"/>
    <w:rsid w:val="17CB227E"/>
    <w:rsid w:val="17CB6689"/>
    <w:rsid w:val="17CD1C16"/>
    <w:rsid w:val="17D07B70"/>
    <w:rsid w:val="17D17A45"/>
    <w:rsid w:val="17D20120"/>
    <w:rsid w:val="17D50115"/>
    <w:rsid w:val="17D5554F"/>
    <w:rsid w:val="17DC3B4E"/>
    <w:rsid w:val="17DE36BD"/>
    <w:rsid w:val="17DE42BA"/>
    <w:rsid w:val="17E21B65"/>
    <w:rsid w:val="17E5482B"/>
    <w:rsid w:val="17EF6030"/>
    <w:rsid w:val="17F02DCE"/>
    <w:rsid w:val="17F47E4B"/>
    <w:rsid w:val="17F7656E"/>
    <w:rsid w:val="17FC37C2"/>
    <w:rsid w:val="180158F7"/>
    <w:rsid w:val="180B24FC"/>
    <w:rsid w:val="1812361A"/>
    <w:rsid w:val="181E5A7A"/>
    <w:rsid w:val="18234BD8"/>
    <w:rsid w:val="182818B6"/>
    <w:rsid w:val="182A12F9"/>
    <w:rsid w:val="182A30AB"/>
    <w:rsid w:val="182C1AAD"/>
    <w:rsid w:val="182E0907"/>
    <w:rsid w:val="182F1D2F"/>
    <w:rsid w:val="18347220"/>
    <w:rsid w:val="18356BCF"/>
    <w:rsid w:val="18365CFA"/>
    <w:rsid w:val="183A72AB"/>
    <w:rsid w:val="183C7E1B"/>
    <w:rsid w:val="1849187C"/>
    <w:rsid w:val="184A3267"/>
    <w:rsid w:val="184E3064"/>
    <w:rsid w:val="184F3FA8"/>
    <w:rsid w:val="185177CD"/>
    <w:rsid w:val="1855373C"/>
    <w:rsid w:val="185544CC"/>
    <w:rsid w:val="18565113"/>
    <w:rsid w:val="186115E5"/>
    <w:rsid w:val="18612C91"/>
    <w:rsid w:val="186171DD"/>
    <w:rsid w:val="18631426"/>
    <w:rsid w:val="186B2E61"/>
    <w:rsid w:val="187118C0"/>
    <w:rsid w:val="18753A9D"/>
    <w:rsid w:val="1879145D"/>
    <w:rsid w:val="187E11F0"/>
    <w:rsid w:val="18807E64"/>
    <w:rsid w:val="1881044B"/>
    <w:rsid w:val="188251C6"/>
    <w:rsid w:val="18842CDA"/>
    <w:rsid w:val="18860743"/>
    <w:rsid w:val="18896A5F"/>
    <w:rsid w:val="188A0103"/>
    <w:rsid w:val="188B634A"/>
    <w:rsid w:val="18903C03"/>
    <w:rsid w:val="18942157"/>
    <w:rsid w:val="18953A5B"/>
    <w:rsid w:val="18967123"/>
    <w:rsid w:val="18971C6C"/>
    <w:rsid w:val="189A2898"/>
    <w:rsid w:val="18AC2EF8"/>
    <w:rsid w:val="18B64CDF"/>
    <w:rsid w:val="18B8422F"/>
    <w:rsid w:val="18C008F7"/>
    <w:rsid w:val="18C013A5"/>
    <w:rsid w:val="18C7035A"/>
    <w:rsid w:val="18C823BC"/>
    <w:rsid w:val="18C870A1"/>
    <w:rsid w:val="18C878AA"/>
    <w:rsid w:val="18CB260B"/>
    <w:rsid w:val="18CD3427"/>
    <w:rsid w:val="18DA5B54"/>
    <w:rsid w:val="18DB3A5F"/>
    <w:rsid w:val="18E02817"/>
    <w:rsid w:val="18E1557E"/>
    <w:rsid w:val="18E66B7F"/>
    <w:rsid w:val="18EC08A8"/>
    <w:rsid w:val="18ED16DF"/>
    <w:rsid w:val="18EF047D"/>
    <w:rsid w:val="18EF29FC"/>
    <w:rsid w:val="18F07EF1"/>
    <w:rsid w:val="18F7601D"/>
    <w:rsid w:val="18FB2400"/>
    <w:rsid w:val="18FE4832"/>
    <w:rsid w:val="18FF2892"/>
    <w:rsid w:val="19031D64"/>
    <w:rsid w:val="19057DC1"/>
    <w:rsid w:val="190A1503"/>
    <w:rsid w:val="190A2AF7"/>
    <w:rsid w:val="190A7F0A"/>
    <w:rsid w:val="19143C7C"/>
    <w:rsid w:val="19186E02"/>
    <w:rsid w:val="191B6BB9"/>
    <w:rsid w:val="191C7F76"/>
    <w:rsid w:val="19203917"/>
    <w:rsid w:val="19233D5E"/>
    <w:rsid w:val="19261AE4"/>
    <w:rsid w:val="19263C6E"/>
    <w:rsid w:val="19267687"/>
    <w:rsid w:val="192870C4"/>
    <w:rsid w:val="192A31EA"/>
    <w:rsid w:val="192A3D9F"/>
    <w:rsid w:val="192A51DD"/>
    <w:rsid w:val="192D4498"/>
    <w:rsid w:val="19314B52"/>
    <w:rsid w:val="19336F9B"/>
    <w:rsid w:val="193C1724"/>
    <w:rsid w:val="19403158"/>
    <w:rsid w:val="19424F83"/>
    <w:rsid w:val="19481493"/>
    <w:rsid w:val="19492737"/>
    <w:rsid w:val="1949394F"/>
    <w:rsid w:val="195439B6"/>
    <w:rsid w:val="195C60CE"/>
    <w:rsid w:val="196A0660"/>
    <w:rsid w:val="196E1D5B"/>
    <w:rsid w:val="1970015C"/>
    <w:rsid w:val="19715A02"/>
    <w:rsid w:val="197C31A6"/>
    <w:rsid w:val="197E60A1"/>
    <w:rsid w:val="19836031"/>
    <w:rsid w:val="19882298"/>
    <w:rsid w:val="19896D63"/>
    <w:rsid w:val="198F17E3"/>
    <w:rsid w:val="19906E28"/>
    <w:rsid w:val="199B2770"/>
    <w:rsid w:val="199D0F93"/>
    <w:rsid w:val="199D5B93"/>
    <w:rsid w:val="199E3299"/>
    <w:rsid w:val="19A4583C"/>
    <w:rsid w:val="19A7636F"/>
    <w:rsid w:val="19A7721F"/>
    <w:rsid w:val="19AB155F"/>
    <w:rsid w:val="19AF5A77"/>
    <w:rsid w:val="19B81CB1"/>
    <w:rsid w:val="19B86557"/>
    <w:rsid w:val="19BB643C"/>
    <w:rsid w:val="19BC6185"/>
    <w:rsid w:val="19BF41A6"/>
    <w:rsid w:val="19BF6FAD"/>
    <w:rsid w:val="19C31789"/>
    <w:rsid w:val="19C36D81"/>
    <w:rsid w:val="19C75886"/>
    <w:rsid w:val="19CD6BEF"/>
    <w:rsid w:val="19CF6119"/>
    <w:rsid w:val="19D84107"/>
    <w:rsid w:val="19D97C15"/>
    <w:rsid w:val="19DB6DA3"/>
    <w:rsid w:val="19DF1A8A"/>
    <w:rsid w:val="19E332AE"/>
    <w:rsid w:val="19E35A63"/>
    <w:rsid w:val="19E87F5F"/>
    <w:rsid w:val="19EA23B9"/>
    <w:rsid w:val="19EB43D4"/>
    <w:rsid w:val="19EC08BD"/>
    <w:rsid w:val="19EF13F6"/>
    <w:rsid w:val="19FB739E"/>
    <w:rsid w:val="19FC7574"/>
    <w:rsid w:val="19FD4797"/>
    <w:rsid w:val="19FD6ED7"/>
    <w:rsid w:val="1A000891"/>
    <w:rsid w:val="1A023DF9"/>
    <w:rsid w:val="1A081317"/>
    <w:rsid w:val="1A08336B"/>
    <w:rsid w:val="1A0A7C31"/>
    <w:rsid w:val="1A0D45F6"/>
    <w:rsid w:val="1A105A40"/>
    <w:rsid w:val="1A1407D6"/>
    <w:rsid w:val="1A152093"/>
    <w:rsid w:val="1A155C93"/>
    <w:rsid w:val="1A1745EA"/>
    <w:rsid w:val="1A1767F1"/>
    <w:rsid w:val="1A1B4EBB"/>
    <w:rsid w:val="1A1F286B"/>
    <w:rsid w:val="1A230D6E"/>
    <w:rsid w:val="1A23506C"/>
    <w:rsid w:val="1A244EF0"/>
    <w:rsid w:val="1A275C80"/>
    <w:rsid w:val="1A313C0E"/>
    <w:rsid w:val="1A415D99"/>
    <w:rsid w:val="1A4268EB"/>
    <w:rsid w:val="1A4769AA"/>
    <w:rsid w:val="1A530597"/>
    <w:rsid w:val="1A547560"/>
    <w:rsid w:val="1A56462D"/>
    <w:rsid w:val="1A574442"/>
    <w:rsid w:val="1A5B1740"/>
    <w:rsid w:val="1A5B280D"/>
    <w:rsid w:val="1A5B5B9B"/>
    <w:rsid w:val="1A632227"/>
    <w:rsid w:val="1A6460AE"/>
    <w:rsid w:val="1A65291F"/>
    <w:rsid w:val="1A690E65"/>
    <w:rsid w:val="1A6F22E5"/>
    <w:rsid w:val="1A7B3979"/>
    <w:rsid w:val="1A861BD4"/>
    <w:rsid w:val="1A8B64E4"/>
    <w:rsid w:val="1A8F2374"/>
    <w:rsid w:val="1A9545E7"/>
    <w:rsid w:val="1A9E753B"/>
    <w:rsid w:val="1AA100DC"/>
    <w:rsid w:val="1AA53D0A"/>
    <w:rsid w:val="1AB27820"/>
    <w:rsid w:val="1AB31E3F"/>
    <w:rsid w:val="1AB53304"/>
    <w:rsid w:val="1AB82935"/>
    <w:rsid w:val="1AB91C6A"/>
    <w:rsid w:val="1AB91F2F"/>
    <w:rsid w:val="1ABC7A0A"/>
    <w:rsid w:val="1ABF6939"/>
    <w:rsid w:val="1AC12C78"/>
    <w:rsid w:val="1AC8082C"/>
    <w:rsid w:val="1ACA2967"/>
    <w:rsid w:val="1ACA36DF"/>
    <w:rsid w:val="1AD01877"/>
    <w:rsid w:val="1ADB6E93"/>
    <w:rsid w:val="1AE95AB6"/>
    <w:rsid w:val="1AEC4DF0"/>
    <w:rsid w:val="1AED4506"/>
    <w:rsid w:val="1AF1038D"/>
    <w:rsid w:val="1AF24D05"/>
    <w:rsid w:val="1AF62168"/>
    <w:rsid w:val="1AF66D59"/>
    <w:rsid w:val="1AF875F3"/>
    <w:rsid w:val="1AFA35AB"/>
    <w:rsid w:val="1AFE444E"/>
    <w:rsid w:val="1B0415D6"/>
    <w:rsid w:val="1B044317"/>
    <w:rsid w:val="1B0932B3"/>
    <w:rsid w:val="1B0C53F6"/>
    <w:rsid w:val="1B0D037F"/>
    <w:rsid w:val="1B11054A"/>
    <w:rsid w:val="1B110595"/>
    <w:rsid w:val="1B150B74"/>
    <w:rsid w:val="1B151BEC"/>
    <w:rsid w:val="1B161B79"/>
    <w:rsid w:val="1B1805E0"/>
    <w:rsid w:val="1B1A152C"/>
    <w:rsid w:val="1B1D08F9"/>
    <w:rsid w:val="1B21362E"/>
    <w:rsid w:val="1B2F6C56"/>
    <w:rsid w:val="1B3078B9"/>
    <w:rsid w:val="1B33025B"/>
    <w:rsid w:val="1B3312FB"/>
    <w:rsid w:val="1B333679"/>
    <w:rsid w:val="1B3463D2"/>
    <w:rsid w:val="1B367AF5"/>
    <w:rsid w:val="1B3B1C95"/>
    <w:rsid w:val="1B3D6648"/>
    <w:rsid w:val="1B3E2E5C"/>
    <w:rsid w:val="1B3E444D"/>
    <w:rsid w:val="1B4130B8"/>
    <w:rsid w:val="1B4B3C4B"/>
    <w:rsid w:val="1B4E3C1C"/>
    <w:rsid w:val="1B4F18DC"/>
    <w:rsid w:val="1B50639B"/>
    <w:rsid w:val="1B5103B1"/>
    <w:rsid w:val="1B540A17"/>
    <w:rsid w:val="1B55052D"/>
    <w:rsid w:val="1B592D58"/>
    <w:rsid w:val="1B5B2AF0"/>
    <w:rsid w:val="1B5D67D3"/>
    <w:rsid w:val="1B5E38D5"/>
    <w:rsid w:val="1B6056C8"/>
    <w:rsid w:val="1B652304"/>
    <w:rsid w:val="1B6F6E30"/>
    <w:rsid w:val="1B750E87"/>
    <w:rsid w:val="1B7621B4"/>
    <w:rsid w:val="1B786EEA"/>
    <w:rsid w:val="1B793A29"/>
    <w:rsid w:val="1B7B3AF9"/>
    <w:rsid w:val="1B8215F6"/>
    <w:rsid w:val="1B8358F6"/>
    <w:rsid w:val="1B8422F4"/>
    <w:rsid w:val="1B853D31"/>
    <w:rsid w:val="1B861DEE"/>
    <w:rsid w:val="1B87713A"/>
    <w:rsid w:val="1B8F5B36"/>
    <w:rsid w:val="1B902F8A"/>
    <w:rsid w:val="1B914169"/>
    <w:rsid w:val="1B937B5F"/>
    <w:rsid w:val="1B947AF6"/>
    <w:rsid w:val="1B955B85"/>
    <w:rsid w:val="1B956131"/>
    <w:rsid w:val="1B9947A9"/>
    <w:rsid w:val="1BA05487"/>
    <w:rsid w:val="1BA5327B"/>
    <w:rsid w:val="1BAA5160"/>
    <w:rsid w:val="1BB46720"/>
    <w:rsid w:val="1BBA092C"/>
    <w:rsid w:val="1BBA3C5F"/>
    <w:rsid w:val="1BBD2909"/>
    <w:rsid w:val="1BC95000"/>
    <w:rsid w:val="1BCA6567"/>
    <w:rsid w:val="1BCD6F7C"/>
    <w:rsid w:val="1BCF159A"/>
    <w:rsid w:val="1BD3383D"/>
    <w:rsid w:val="1BD343B6"/>
    <w:rsid w:val="1BD572EB"/>
    <w:rsid w:val="1BD71EB1"/>
    <w:rsid w:val="1BD74C10"/>
    <w:rsid w:val="1BD82861"/>
    <w:rsid w:val="1BD87D5C"/>
    <w:rsid w:val="1BDE3726"/>
    <w:rsid w:val="1BDF1ABD"/>
    <w:rsid w:val="1BDF6E5F"/>
    <w:rsid w:val="1BE04FD1"/>
    <w:rsid w:val="1BE0523A"/>
    <w:rsid w:val="1BE70626"/>
    <w:rsid w:val="1BE7593F"/>
    <w:rsid w:val="1BEA2473"/>
    <w:rsid w:val="1BEB7331"/>
    <w:rsid w:val="1BEF649A"/>
    <w:rsid w:val="1BF70F98"/>
    <w:rsid w:val="1BFB4DAE"/>
    <w:rsid w:val="1BFB573D"/>
    <w:rsid w:val="1BFC0FE2"/>
    <w:rsid w:val="1BFE2CE6"/>
    <w:rsid w:val="1C0404FE"/>
    <w:rsid w:val="1C0C3060"/>
    <w:rsid w:val="1C0D1D43"/>
    <w:rsid w:val="1C0D4EA6"/>
    <w:rsid w:val="1C1137D3"/>
    <w:rsid w:val="1C113F74"/>
    <w:rsid w:val="1C1167B5"/>
    <w:rsid w:val="1C122FF1"/>
    <w:rsid w:val="1C14361B"/>
    <w:rsid w:val="1C167636"/>
    <w:rsid w:val="1C197B20"/>
    <w:rsid w:val="1C1A4D04"/>
    <w:rsid w:val="1C266038"/>
    <w:rsid w:val="1C2A5889"/>
    <w:rsid w:val="1C3208DC"/>
    <w:rsid w:val="1C3572E3"/>
    <w:rsid w:val="1C393FDD"/>
    <w:rsid w:val="1C3A45B0"/>
    <w:rsid w:val="1C3B6EE0"/>
    <w:rsid w:val="1C3C3C12"/>
    <w:rsid w:val="1C3E378B"/>
    <w:rsid w:val="1C3E7528"/>
    <w:rsid w:val="1C436D58"/>
    <w:rsid w:val="1C4507D6"/>
    <w:rsid w:val="1C482B6C"/>
    <w:rsid w:val="1C4B542A"/>
    <w:rsid w:val="1C4E716B"/>
    <w:rsid w:val="1C510952"/>
    <w:rsid w:val="1C581A8C"/>
    <w:rsid w:val="1C582B76"/>
    <w:rsid w:val="1C587590"/>
    <w:rsid w:val="1C60434F"/>
    <w:rsid w:val="1C646FED"/>
    <w:rsid w:val="1C6A2A05"/>
    <w:rsid w:val="1C6D13B4"/>
    <w:rsid w:val="1C7577D3"/>
    <w:rsid w:val="1C76294D"/>
    <w:rsid w:val="1C7C3D2E"/>
    <w:rsid w:val="1C7F3E11"/>
    <w:rsid w:val="1C825B8F"/>
    <w:rsid w:val="1C87383D"/>
    <w:rsid w:val="1C8E2434"/>
    <w:rsid w:val="1C973C61"/>
    <w:rsid w:val="1C987C5C"/>
    <w:rsid w:val="1C987D18"/>
    <w:rsid w:val="1C9C1EE9"/>
    <w:rsid w:val="1C9F5F4E"/>
    <w:rsid w:val="1CA158D8"/>
    <w:rsid w:val="1CA542AC"/>
    <w:rsid w:val="1CAB69CA"/>
    <w:rsid w:val="1CB11E74"/>
    <w:rsid w:val="1CB31D7E"/>
    <w:rsid w:val="1CB41657"/>
    <w:rsid w:val="1CB51EB0"/>
    <w:rsid w:val="1CB770F4"/>
    <w:rsid w:val="1CC04436"/>
    <w:rsid w:val="1CC06F51"/>
    <w:rsid w:val="1CC174BC"/>
    <w:rsid w:val="1CD24803"/>
    <w:rsid w:val="1CDF76EC"/>
    <w:rsid w:val="1CE701E6"/>
    <w:rsid w:val="1CF02A3A"/>
    <w:rsid w:val="1CF40CCC"/>
    <w:rsid w:val="1CF56220"/>
    <w:rsid w:val="1CF57722"/>
    <w:rsid w:val="1D033112"/>
    <w:rsid w:val="1D0B1216"/>
    <w:rsid w:val="1D0B4EFC"/>
    <w:rsid w:val="1D1041CC"/>
    <w:rsid w:val="1D105131"/>
    <w:rsid w:val="1D113F21"/>
    <w:rsid w:val="1D2460DE"/>
    <w:rsid w:val="1D262C59"/>
    <w:rsid w:val="1D270997"/>
    <w:rsid w:val="1D292B5D"/>
    <w:rsid w:val="1D2F7999"/>
    <w:rsid w:val="1D3227A2"/>
    <w:rsid w:val="1D3247D4"/>
    <w:rsid w:val="1D326EC6"/>
    <w:rsid w:val="1D345A7D"/>
    <w:rsid w:val="1D382A1B"/>
    <w:rsid w:val="1D3A54A0"/>
    <w:rsid w:val="1D3B322F"/>
    <w:rsid w:val="1D3E60EC"/>
    <w:rsid w:val="1D4168E6"/>
    <w:rsid w:val="1D4C797E"/>
    <w:rsid w:val="1D55705D"/>
    <w:rsid w:val="1D59262B"/>
    <w:rsid w:val="1D5A3D5B"/>
    <w:rsid w:val="1D5F5A06"/>
    <w:rsid w:val="1D607839"/>
    <w:rsid w:val="1D6248A3"/>
    <w:rsid w:val="1D652B69"/>
    <w:rsid w:val="1D6708D4"/>
    <w:rsid w:val="1D6930FD"/>
    <w:rsid w:val="1D6C769E"/>
    <w:rsid w:val="1D6D1EBD"/>
    <w:rsid w:val="1D711938"/>
    <w:rsid w:val="1D721AA5"/>
    <w:rsid w:val="1D792D40"/>
    <w:rsid w:val="1D7A452E"/>
    <w:rsid w:val="1D7A5AE8"/>
    <w:rsid w:val="1D7D1B53"/>
    <w:rsid w:val="1D7E3727"/>
    <w:rsid w:val="1D803F99"/>
    <w:rsid w:val="1D81583E"/>
    <w:rsid w:val="1D823F1B"/>
    <w:rsid w:val="1D846721"/>
    <w:rsid w:val="1D86217E"/>
    <w:rsid w:val="1D8C1524"/>
    <w:rsid w:val="1D902A13"/>
    <w:rsid w:val="1D9C020D"/>
    <w:rsid w:val="1D9C2C9F"/>
    <w:rsid w:val="1D9F240E"/>
    <w:rsid w:val="1DA267E5"/>
    <w:rsid w:val="1DA372F6"/>
    <w:rsid w:val="1DA7120E"/>
    <w:rsid w:val="1DA83559"/>
    <w:rsid w:val="1DA93B22"/>
    <w:rsid w:val="1DAA3FB0"/>
    <w:rsid w:val="1DAB27AD"/>
    <w:rsid w:val="1DB05EFC"/>
    <w:rsid w:val="1DB423AB"/>
    <w:rsid w:val="1DB6030A"/>
    <w:rsid w:val="1DBA40C9"/>
    <w:rsid w:val="1DBE1714"/>
    <w:rsid w:val="1DBF2368"/>
    <w:rsid w:val="1DC3385F"/>
    <w:rsid w:val="1DC356AF"/>
    <w:rsid w:val="1DC54486"/>
    <w:rsid w:val="1DD123E6"/>
    <w:rsid w:val="1DD41EA1"/>
    <w:rsid w:val="1DD6053C"/>
    <w:rsid w:val="1DD81269"/>
    <w:rsid w:val="1DD8365C"/>
    <w:rsid w:val="1DDB1CC8"/>
    <w:rsid w:val="1DE12930"/>
    <w:rsid w:val="1DE17BEB"/>
    <w:rsid w:val="1DE52EA0"/>
    <w:rsid w:val="1DE64A48"/>
    <w:rsid w:val="1DE763E4"/>
    <w:rsid w:val="1DED1695"/>
    <w:rsid w:val="1DF40C53"/>
    <w:rsid w:val="1DF43B07"/>
    <w:rsid w:val="1DF44DDE"/>
    <w:rsid w:val="1DF47B48"/>
    <w:rsid w:val="1DFB387E"/>
    <w:rsid w:val="1DFE4DCA"/>
    <w:rsid w:val="1DFE7C4F"/>
    <w:rsid w:val="1DFF7CAC"/>
    <w:rsid w:val="1E03491C"/>
    <w:rsid w:val="1E0667DE"/>
    <w:rsid w:val="1E0B7E89"/>
    <w:rsid w:val="1E0C028C"/>
    <w:rsid w:val="1E0D1CE3"/>
    <w:rsid w:val="1E0E213F"/>
    <w:rsid w:val="1E127068"/>
    <w:rsid w:val="1E172173"/>
    <w:rsid w:val="1E1E0D59"/>
    <w:rsid w:val="1E1F7964"/>
    <w:rsid w:val="1E211CAF"/>
    <w:rsid w:val="1E24164C"/>
    <w:rsid w:val="1E2971F1"/>
    <w:rsid w:val="1E2F67B8"/>
    <w:rsid w:val="1E3173A3"/>
    <w:rsid w:val="1E366767"/>
    <w:rsid w:val="1E396257"/>
    <w:rsid w:val="1E3D13EE"/>
    <w:rsid w:val="1E41004D"/>
    <w:rsid w:val="1E421BD0"/>
    <w:rsid w:val="1E5136A8"/>
    <w:rsid w:val="1E543FF0"/>
    <w:rsid w:val="1E5D6E8E"/>
    <w:rsid w:val="1E5D7443"/>
    <w:rsid w:val="1E6209FE"/>
    <w:rsid w:val="1E671455"/>
    <w:rsid w:val="1E6852D6"/>
    <w:rsid w:val="1E690457"/>
    <w:rsid w:val="1E6D06C1"/>
    <w:rsid w:val="1E726D7E"/>
    <w:rsid w:val="1E730144"/>
    <w:rsid w:val="1E74103D"/>
    <w:rsid w:val="1E750D86"/>
    <w:rsid w:val="1E7A6DF6"/>
    <w:rsid w:val="1E7B12B0"/>
    <w:rsid w:val="1E7E247C"/>
    <w:rsid w:val="1E7F5CB2"/>
    <w:rsid w:val="1E817575"/>
    <w:rsid w:val="1E865195"/>
    <w:rsid w:val="1E8B2948"/>
    <w:rsid w:val="1E924978"/>
    <w:rsid w:val="1E94088A"/>
    <w:rsid w:val="1E94366E"/>
    <w:rsid w:val="1E94676F"/>
    <w:rsid w:val="1E965AAA"/>
    <w:rsid w:val="1E970A7C"/>
    <w:rsid w:val="1E976569"/>
    <w:rsid w:val="1E9873F8"/>
    <w:rsid w:val="1E9C1994"/>
    <w:rsid w:val="1E9D59A2"/>
    <w:rsid w:val="1EA025D5"/>
    <w:rsid w:val="1EA36416"/>
    <w:rsid w:val="1EA420B2"/>
    <w:rsid w:val="1EA923A9"/>
    <w:rsid w:val="1EA96538"/>
    <w:rsid w:val="1EAE1AED"/>
    <w:rsid w:val="1EB05103"/>
    <w:rsid w:val="1EB066C3"/>
    <w:rsid w:val="1EB31B66"/>
    <w:rsid w:val="1EB717EE"/>
    <w:rsid w:val="1EB919CC"/>
    <w:rsid w:val="1EBA0D8C"/>
    <w:rsid w:val="1EBB1886"/>
    <w:rsid w:val="1EBE018C"/>
    <w:rsid w:val="1EC55242"/>
    <w:rsid w:val="1EC634FE"/>
    <w:rsid w:val="1ECC7A42"/>
    <w:rsid w:val="1ECF6172"/>
    <w:rsid w:val="1ED72C7F"/>
    <w:rsid w:val="1ED955E9"/>
    <w:rsid w:val="1EDC6A65"/>
    <w:rsid w:val="1EE143D0"/>
    <w:rsid w:val="1EE14A91"/>
    <w:rsid w:val="1EE32DE2"/>
    <w:rsid w:val="1EE66043"/>
    <w:rsid w:val="1EEB0132"/>
    <w:rsid w:val="1EEF2245"/>
    <w:rsid w:val="1EF61725"/>
    <w:rsid w:val="1EF8052A"/>
    <w:rsid w:val="1F035279"/>
    <w:rsid w:val="1F036EF9"/>
    <w:rsid w:val="1F092B20"/>
    <w:rsid w:val="1F0A288F"/>
    <w:rsid w:val="1F105625"/>
    <w:rsid w:val="1F130A95"/>
    <w:rsid w:val="1F1473B1"/>
    <w:rsid w:val="1F177525"/>
    <w:rsid w:val="1F1C6036"/>
    <w:rsid w:val="1F1D2F96"/>
    <w:rsid w:val="1F206A9C"/>
    <w:rsid w:val="1F207893"/>
    <w:rsid w:val="1F212DFB"/>
    <w:rsid w:val="1F235FFD"/>
    <w:rsid w:val="1F253B21"/>
    <w:rsid w:val="1F2573ED"/>
    <w:rsid w:val="1F274F7E"/>
    <w:rsid w:val="1F2E2DF3"/>
    <w:rsid w:val="1F2F3AA8"/>
    <w:rsid w:val="1F31712C"/>
    <w:rsid w:val="1F323881"/>
    <w:rsid w:val="1F333B6F"/>
    <w:rsid w:val="1F3563AE"/>
    <w:rsid w:val="1F377092"/>
    <w:rsid w:val="1F392DD0"/>
    <w:rsid w:val="1F3A5E2B"/>
    <w:rsid w:val="1F3F1559"/>
    <w:rsid w:val="1F3F3488"/>
    <w:rsid w:val="1F417863"/>
    <w:rsid w:val="1F4B180C"/>
    <w:rsid w:val="1F4B39AA"/>
    <w:rsid w:val="1F4B5513"/>
    <w:rsid w:val="1F4C4292"/>
    <w:rsid w:val="1F4D07DD"/>
    <w:rsid w:val="1F4E59D6"/>
    <w:rsid w:val="1F507C0F"/>
    <w:rsid w:val="1F572E39"/>
    <w:rsid w:val="1F582664"/>
    <w:rsid w:val="1F5A6548"/>
    <w:rsid w:val="1F5C0235"/>
    <w:rsid w:val="1F6115C2"/>
    <w:rsid w:val="1F63717C"/>
    <w:rsid w:val="1F663436"/>
    <w:rsid w:val="1F665A50"/>
    <w:rsid w:val="1F6B7698"/>
    <w:rsid w:val="1F6C013E"/>
    <w:rsid w:val="1F6C0892"/>
    <w:rsid w:val="1F7026F6"/>
    <w:rsid w:val="1F72473F"/>
    <w:rsid w:val="1F7463D2"/>
    <w:rsid w:val="1F7D05C3"/>
    <w:rsid w:val="1F8129E5"/>
    <w:rsid w:val="1F82449F"/>
    <w:rsid w:val="1F8635C4"/>
    <w:rsid w:val="1F866AD3"/>
    <w:rsid w:val="1F8D3954"/>
    <w:rsid w:val="1F913226"/>
    <w:rsid w:val="1F91689D"/>
    <w:rsid w:val="1F9403CB"/>
    <w:rsid w:val="1F953961"/>
    <w:rsid w:val="1F963795"/>
    <w:rsid w:val="1F9B498A"/>
    <w:rsid w:val="1FA920E7"/>
    <w:rsid w:val="1FAC5B62"/>
    <w:rsid w:val="1FAE6941"/>
    <w:rsid w:val="1FB03051"/>
    <w:rsid w:val="1FB5147F"/>
    <w:rsid w:val="1FBA2250"/>
    <w:rsid w:val="1FC0654C"/>
    <w:rsid w:val="1FC11AB2"/>
    <w:rsid w:val="1FC86F4C"/>
    <w:rsid w:val="1FCD6C57"/>
    <w:rsid w:val="1FCF588A"/>
    <w:rsid w:val="1FD66279"/>
    <w:rsid w:val="1FD91963"/>
    <w:rsid w:val="1FDA0087"/>
    <w:rsid w:val="1FDB25B0"/>
    <w:rsid w:val="1FDB6770"/>
    <w:rsid w:val="1FDD2BE3"/>
    <w:rsid w:val="1FDD6227"/>
    <w:rsid w:val="1FE43FC1"/>
    <w:rsid w:val="1FE45DD3"/>
    <w:rsid w:val="1FE96AE1"/>
    <w:rsid w:val="1FEA10DB"/>
    <w:rsid w:val="1FEC14B4"/>
    <w:rsid w:val="1FEC692D"/>
    <w:rsid w:val="1FEF7DCC"/>
    <w:rsid w:val="1FF30298"/>
    <w:rsid w:val="1FF62444"/>
    <w:rsid w:val="1FF857B2"/>
    <w:rsid w:val="1FFE1ADE"/>
    <w:rsid w:val="1FFE7057"/>
    <w:rsid w:val="200026F4"/>
    <w:rsid w:val="20060D21"/>
    <w:rsid w:val="200A6A85"/>
    <w:rsid w:val="200B4785"/>
    <w:rsid w:val="201057B8"/>
    <w:rsid w:val="20122F79"/>
    <w:rsid w:val="20137DB0"/>
    <w:rsid w:val="20167238"/>
    <w:rsid w:val="201A6EED"/>
    <w:rsid w:val="201D1941"/>
    <w:rsid w:val="201F22B8"/>
    <w:rsid w:val="201F6BD2"/>
    <w:rsid w:val="2020639E"/>
    <w:rsid w:val="202376B5"/>
    <w:rsid w:val="202A21A2"/>
    <w:rsid w:val="202A7A74"/>
    <w:rsid w:val="202F27E8"/>
    <w:rsid w:val="202F3DB3"/>
    <w:rsid w:val="203220D3"/>
    <w:rsid w:val="203248D3"/>
    <w:rsid w:val="203570BC"/>
    <w:rsid w:val="2039463E"/>
    <w:rsid w:val="2039504A"/>
    <w:rsid w:val="20401842"/>
    <w:rsid w:val="204729D7"/>
    <w:rsid w:val="20486061"/>
    <w:rsid w:val="204E4689"/>
    <w:rsid w:val="204F3B10"/>
    <w:rsid w:val="2051237D"/>
    <w:rsid w:val="20562552"/>
    <w:rsid w:val="20641F8C"/>
    <w:rsid w:val="20653411"/>
    <w:rsid w:val="206951BE"/>
    <w:rsid w:val="206A53E7"/>
    <w:rsid w:val="206B056C"/>
    <w:rsid w:val="20704C10"/>
    <w:rsid w:val="20730EDC"/>
    <w:rsid w:val="20751050"/>
    <w:rsid w:val="207532B2"/>
    <w:rsid w:val="20780081"/>
    <w:rsid w:val="20787691"/>
    <w:rsid w:val="207B3251"/>
    <w:rsid w:val="207D1D84"/>
    <w:rsid w:val="2085008F"/>
    <w:rsid w:val="20871E0F"/>
    <w:rsid w:val="20874B55"/>
    <w:rsid w:val="208B4927"/>
    <w:rsid w:val="208C2669"/>
    <w:rsid w:val="208C65D8"/>
    <w:rsid w:val="208C6B12"/>
    <w:rsid w:val="208D63E6"/>
    <w:rsid w:val="20991F8F"/>
    <w:rsid w:val="209C594A"/>
    <w:rsid w:val="209D5FD7"/>
    <w:rsid w:val="209E0722"/>
    <w:rsid w:val="20A31EA3"/>
    <w:rsid w:val="20A468BE"/>
    <w:rsid w:val="20A56E00"/>
    <w:rsid w:val="20A619E4"/>
    <w:rsid w:val="20A74B11"/>
    <w:rsid w:val="20AE284E"/>
    <w:rsid w:val="20AF1DE6"/>
    <w:rsid w:val="20B21DE3"/>
    <w:rsid w:val="20B70C5D"/>
    <w:rsid w:val="20BE5F5A"/>
    <w:rsid w:val="20C04A77"/>
    <w:rsid w:val="20C52784"/>
    <w:rsid w:val="20CF28F2"/>
    <w:rsid w:val="20D71606"/>
    <w:rsid w:val="20D723AC"/>
    <w:rsid w:val="20E15865"/>
    <w:rsid w:val="20E16E32"/>
    <w:rsid w:val="20E548E5"/>
    <w:rsid w:val="20E65778"/>
    <w:rsid w:val="20E9339D"/>
    <w:rsid w:val="20ED55F5"/>
    <w:rsid w:val="20F0067C"/>
    <w:rsid w:val="20F92125"/>
    <w:rsid w:val="2101067D"/>
    <w:rsid w:val="210118B2"/>
    <w:rsid w:val="21044918"/>
    <w:rsid w:val="21073C06"/>
    <w:rsid w:val="210D3BAE"/>
    <w:rsid w:val="21146D03"/>
    <w:rsid w:val="2114760F"/>
    <w:rsid w:val="211508E7"/>
    <w:rsid w:val="21191AE1"/>
    <w:rsid w:val="211A23A5"/>
    <w:rsid w:val="211A7E1B"/>
    <w:rsid w:val="211B62B3"/>
    <w:rsid w:val="211D6E26"/>
    <w:rsid w:val="211E4C2A"/>
    <w:rsid w:val="21327923"/>
    <w:rsid w:val="214629FE"/>
    <w:rsid w:val="214847DF"/>
    <w:rsid w:val="214861D8"/>
    <w:rsid w:val="214D5F23"/>
    <w:rsid w:val="215E564A"/>
    <w:rsid w:val="215F2B31"/>
    <w:rsid w:val="21631C7E"/>
    <w:rsid w:val="21650D1A"/>
    <w:rsid w:val="21655773"/>
    <w:rsid w:val="216734AD"/>
    <w:rsid w:val="21683A4A"/>
    <w:rsid w:val="2169145D"/>
    <w:rsid w:val="217067B5"/>
    <w:rsid w:val="217204D2"/>
    <w:rsid w:val="217505C5"/>
    <w:rsid w:val="217879BB"/>
    <w:rsid w:val="217B1E8C"/>
    <w:rsid w:val="21803FAA"/>
    <w:rsid w:val="218C44A7"/>
    <w:rsid w:val="218F3137"/>
    <w:rsid w:val="21900BB9"/>
    <w:rsid w:val="21902632"/>
    <w:rsid w:val="219277F1"/>
    <w:rsid w:val="21986E01"/>
    <w:rsid w:val="219F3ED8"/>
    <w:rsid w:val="21A31181"/>
    <w:rsid w:val="21A372EF"/>
    <w:rsid w:val="21A87982"/>
    <w:rsid w:val="21AE2AB8"/>
    <w:rsid w:val="21B05A6B"/>
    <w:rsid w:val="21B74435"/>
    <w:rsid w:val="21C07EB0"/>
    <w:rsid w:val="21C5575A"/>
    <w:rsid w:val="21C66DC9"/>
    <w:rsid w:val="21C806C4"/>
    <w:rsid w:val="21C9031B"/>
    <w:rsid w:val="21D13C26"/>
    <w:rsid w:val="21D6492E"/>
    <w:rsid w:val="21E22BDB"/>
    <w:rsid w:val="21E92768"/>
    <w:rsid w:val="21EA62BD"/>
    <w:rsid w:val="21ED1FF9"/>
    <w:rsid w:val="21EF6281"/>
    <w:rsid w:val="21F95BE9"/>
    <w:rsid w:val="21FA5933"/>
    <w:rsid w:val="21FD6FBA"/>
    <w:rsid w:val="21FE3A99"/>
    <w:rsid w:val="220D053D"/>
    <w:rsid w:val="221211CC"/>
    <w:rsid w:val="22141A67"/>
    <w:rsid w:val="22145FB8"/>
    <w:rsid w:val="22172D2E"/>
    <w:rsid w:val="221A5FAF"/>
    <w:rsid w:val="22242968"/>
    <w:rsid w:val="22256FDB"/>
    <w:rsid w:val="222E1192"/>
    <w:rsid w:val="222F29D1"/>
    <w:rsid w:val="222F4D41"/>
    <w:rsid w:val="2230000E"/>
    <w:rsid w:val="22306B32"/>
    <w:rsid w:val="22310C33"/>
    <w:rsid w:val="22310F90"/>
    <w:rsid w:val="2231480A"/>
    <w:rsid w:val="223219D0"/>
    <w:rsid w:val="22353B4D"/>
    <w:rsid w:val="22372AAE"/>
    <w:rsid w:val="22385E11"/>
    <w:rsid w:val="224148E0"/>
    <w:rsid w:val="22431AC8"/>
    <w:rsid w:val="22453BB9"/>
    <w:rsid w:val="224B0C04"/>
    <w:rsid w:val="224B57C4"/>
    <w:rsid w:val="224C47AB"/>
    <w:rsid w:val="224D3778"/>
    <w:rsid w:val="224F1C1D"/>
    <w:rsid w:val="22507B13"/>
    <w:rsid w:val="22511DC1"/>
    <w:rsid w:val="225278B6"/>
    <w:rsid w:val="22596EC8"/>
    <w:rsid w:val="225D276A"/>
    <w:rsid w:val="226D5B6D"/>
    <w:rsid w:val="22743426"/>
    <w:rsid w:val="22784ACD"/>
    <w:rsid w:val="22784BCF"/>
    <w:rsid w:val="22791CFC"/>
    <w:rsid w:val="227963C0"/>
    <w:rsid w:val="22797BAC"/>
    <w:rsid w:val="227E6E15"/>
    <w:rsid w:val="2281743D"/>
    <w:rsid w:val="228544CA"/>
    <w:rsid w:val="228850B7"/>
    <w:rsid w:val="228D00EB"/>
    <w:rsid w:val="22935709"/>
    <w:rsid w:val="229E0059"/>
    <w:rsid w:val="229E1992"/>
    <w:rsid w:val="22A25D04"/>
    <w:rsid w:val="22A34E57"/>
    <w:rsid w:val="22A3701D"/>
    <w:rsid w:val="22AB29CA"/>
    <w:rsid w:val="22AB4D43"/>
    <w:rsid w:val="22B15C16"/>
    <w:rsid w:val="22B411E1"/>
    <w:rsid w:val="22B90530"/>
    <w:rsid w:val="22C04975"/>
    <w:rsid w:val="22C375F7"/>
    <w:rsid w:val="22C73E32"/>
    <w:rsid w:val="22CD58F6"/>
    <w:rsid w:val="22CE4C11"/>
    <w:rsid w:val="22CF2F4B"/>
    <w:rsid w:val="22D8014E"/>
    <w:rsid w:val="22E2326E"/>
    <w:rsid w:val="22E47933"/>
    <w:rsid w:val="22E54B40"/>
    <w:rsid w:val="22E72ABF"/>
    <w:rsid w:val="22E808A8"/>
    <w:rsid w:val="22F015DA"/>
    <w:rsid w:val="22F93464"/>
    <w:rsid w:val="22FC0833"/>
    <w:rsid w:val="2304049D"/>
    <w:rsid w:val="230569FF"/>
    <w:rsid w:val="2306731C"/>
    <w:rsid w:val="23070C7C"/>
    <w:rsid w:val="230E4A16"/>
    <w:rsid w:val="230F06D1"/>
    <w:rsid w:val="23117139"/>
    <w:rsid w:val="23135034"/>
    <w:rsid w:val="23144C11"/>
    <w:rsid w:val="231453B9"/>
    <w:rsid w:val="23167C7E"/>
    <w:rsid w:val="23176574"/>
    <w:rsid w:val="23196495"/>
    <w:rsid w:val="231B2DBD"/>
    <w:rsid w:val="231D1838"/>
    <w:rsid w:val="231F44C0"/>
    <w:rsid w:val="232023CC"/>
    <w:rsid w:val="232272BA"/>
    <w:rsid w:val="23271E05"/>
    <w:rsid w:val="23283103"/>
    <w:rsid w:val="232E7BA6"/>
    <w:rsid w:val="233A0E68"/>
    <w:rsid w:val="233A2812"/>
    <w:rsid w:val="233D4725"/>
    <w:rsid w:val="233E3C70"/>
    <w:rsid w:val="234277F2"/>
    <w:rsid w:val="23460499"/>
    <w:rsid w:val="23460728"/>
    <w:rsid w:val="23494AA7"/>
    <w:rsid w:val="234B6204"/>
    <w:rsid w:val="234C6598"/>
    <w:rsid w:val="23514A84"/>
    <w:rsid w:val="235161EF"/>
    <w:rsid w:val="2355204B"/>
    <w:rsid w:val="23594BDB"/>
    <w:rsid w:val="235A766B"/>
    <w:rsid w:val="23607963"/>
    <w:rsid w:val="2361779A"/>
    <w:rsid w:val="23666812"/>
    <w:rsid w:val="236B3D2C"/>
    <w:rsid w:val="23760651"/>
    <w:rsid w:val="237613B4"/>
    <w:rsid w:val="238537B6"/>
    <w:rsid w:val="23864F82"/>
    <w:rsid w:val="238C00F0"/>
    <w:rsid w:val="238E72A4"/>
    <w:rsid w:val="239A282D"/>
    <w:rsid w:val="239B35E8"/>
    <w:rsid w:val="239B57DE"/>
    <w:rsid w:val="239B7AC4"/>
    <w:rsid w:val="239D64FB"/>
    <w:rsid w:val="239E6B2C"/>
    <w:rsid w:val="23A137F6"/>
    <w:rsid w:val="23A2125D"/>
    <w:rsid w:val="23A53E8D"/>
    <w:rsid w:val="23A74447"/>
    <w:rsid w:val="23AD124D"/>
    <w:rsid w:val="23AD6133"/>
    <w:rsid w:val="23AE0B4E"/>
    <w:rsid w:val="23AE49D0"/>
    <w:rsid w:val="23AF688E"/>
    <w:rsid w:val="23B13C21"/>
    <w:rsid w:val="23B30D1B"/>
    <w:rsid w:val="23B47EBF"/>
    <w:rsid w:val="23B61701"/>
    <w:rsid w:val="23BF0331"/>
    <w:rsid w:val="23C40511"/>
    <w:rsid w:val="23C43C70"/>
    <w:rsid w:val="23C9126A"/>
    <w:rsid w:val="23CB5B2A"/>
    <w:rsid w:val="23CC308A"/>
    <w:rsid w:val="23CC4386"/>
    <w:rsid w:val="23CE54E7"/>
    <w:rsid w:val="23D04DCB"/>
    <w:rsid w:val="23DF565F"/>
    <w:rsid w:val="23E139AB"/>
    <w:rsid w:val="23EE30A3"/>
    <w:rsid w:val="23EF2501"/>
    <w:rsid w:val="23EF350A"/>
    <w:rsid w:val="23EF680A"/>
    <w:rsid w:val="23F229AC"/>
    <w:rsid w:val="23F71470"/>
    <w:rsid w:val="23F76B18"/>
    <w:rsid w:val="23F82959"/>
    <w:rsid w:val="23FA3D93"/>
    <w:rsid w:val="23FF5265"/>
    <w:rsid w:val="24043095"/>
    <w:rsid w:val="24111E71"/>
    <w:rsid w:val="24125F70"/>
    <w:rsid w:val="24126696"/>
    <w:rsid w:val="24197B4B"/>
    <w:rsid w:val="242531C4"/>
    <w:rsid w:val="24273A84"/>
    <w:rsid w:val="24283C75"/>
    <w:rsid w:val="242D33BE"/>
    <w:rsid w:val="242F0166"/>
    <w:rsid w:val="24344FFD"/>
    <w:rsid w:val="243454F7"/>
    <w:rsid w:val="24370809"/>
    <w:rsid w:val="2437186F"/>
    <w:rsid w:val="243B73F4"/>
    <w:rsid w:val="243D73C1"/>
    <w:rsid w:val="243F3110"/>
    <w:rsid w:val="24406FE8"/>
    <w:rsid w:val="2444694D"/>
    <w:rsid w:val="24476139"/>
    <w:rsid w:val="244B5341"/>
    <w:rsid w:val="244F3C79"/>
    <w:rsid w:val="24506DFF"/>
    <w:rsid w:val="24520428"/>
    <w:rsid w:val="24582FD6"/>
    <w:rsid w:val="24587452"/>
    <w:rsid w:val="24620BFE"/>
    <w:rsid w:val="24672AD2"/>
    <w:rsid w:val="246A4754"/>
    <w:rsid w:val="246C7CB1"/>
    <w:rsid w:val="24774AEA"/>
    <w:rsid w:val="247B579E"/>
    <w:rsid w:val="247C018E"/>
    <w:rsid w:val="248A11C2"/>
    <w:rsid w:val="248A6882"/>
    <w:rsid w:val="248A6E34"/>
    <w:rsid w:val="248D249F"/>
    <w:rsid w:val="248F7ECF"/>
    <w:rsid w:val="24903595"/>
    <w:rsid w:val="2494198B"/>
    <w:rsid w:val="24A10911"/>
    <w:rsid w:val="24A22F1C"/>
    <w:rsid w:val="24A246F1"/>
    <w:rsid w:val="24A27C61"/>
    <w:rsid w:val="24A53609"/>
    <w:rsid w:val="24A57BC3"/>
    <w:rsid w:val="24A72C1A"/>
    <w:rsid w:val="24A95E29"/>
    <w:rsid w:val="24AA3281"/>
    <w:rsid w:val="24AB7E17"/>
    <w:rsid w:val="24B26D83"/>
    <w:rsid w:val="24B40767"/>
    <w:rsid w:val="24B60418"/>
    <w:rsid w:val="24BA0B6D"/>
    <w:rsid w:val="24BC42CD"/>
    <w:rsid w:val="24BF4BC0"/>
    <w:rsid w:val="24C01F93"/>
    <w:rsid w:val="24CD5F3C"/>
    <w:rsid w:val="24CE653C"/>
    <w:rsid w:val="24D1074B"/>
    <w:rsid w:val="24D237DB"/>
    <w:rsid w:val="24D463E0"/>
    <w:rsid w:val="24D87F7C"/>
    <w:rsid w:val="24DD2DD9"/>
    <w:rsid w:val="24DD51F9"/>
    <w:rsid w:val="24EC05C4"/>
    <w:rsid w:val="24EC7B7F"/>
    <w:rsid w:val="24F5560A"/>
    <w:rsid w:val="24F8456C"/>
    <w:rsid w:val="24FC620B"/>
    <w:rsid w:val="24FE0381"/>
    <w:rsid w:val="24FF7336"/>
    <w:rsid w:val="25033C25"/>
    <w:rsid w:val="250E27CB"/>
    <w:rsid w:val="25115CD6"/>
    <w:rsid w:val="25131CDA"/>
    <w:rsid w:val="25154F99"/>
    <w:rsid w:val="25156BAC"/>
    <w:rsid w:val="25174DC8"/>
    <w:rsid w:val="25200885"/>
    <w:rsid w:val="25215A6A"/>
    <w:rsid w:val="252451C7"/>
    <w:rsid w:val="252611C1"/>
    <w:rsid w:val="252636BC"/>
    <w:rsid w:val="25284F49"/>
    <w:rsid w:val="25297410"/>
    <w:rsid w:val="252C5348"/>
    <w:rsid w:val="25330C17"/>
    <w:rsid w:val="25376ACF"/>
    <w:rsid w:val="25382FCF"/>
    <w:rsid w:val="25393E4F"/>
    <w:rsid w:val="253A65FE"/>
    <w:rsid w:val="253B2191"/>
    <w:rsid w:val="253C1488"/>
    <w:rsid w:val="25402400"/>
    <w:rsid w:val="25407088"/>
    <w:rsid w:val="25443214"/>
    <w:rsid w:val="25453733"/>
    <w:rsid w:val="25455E14"/>
    <w:rsid w:val="25477B9D"/>
    <w:rsid w:val="25495425"/>
    <w:rsid w:val="254D26A7"/>
    <w:rsid w:val="254E691A"/>
    <w:rsid w:val="254F2A94"/>
    <w:rsid w:val="25523A8C"/>
    <w:rsid w:val="25530E1D"/>
    <w:rsid w:val="25530EF7"/>
    <w:rsid w:val="25591F28"/>
    <w:rsid w:val="255A0DFC"/>
    <w:rsid w:val="255B0CDC"/>
    <w:rsid w:val="255C4D95"/>
    <w:rsid w:val="255D4F6F"/>
    <w:rsid w:val="255D6CCF"/>
    <w:rsid w:val="256576C1"/>
    <w:rsid w:val="256820A2"/>
    <w:rsid w:val="256D7A27"/>
    <w:rsid w:val="256F3606"/>
    <w:rsid w:val="2570756F"/>
    <w:rsid w:val="2573601F"/>
    <w:rsid w:val="257374F8"/>
    <w:rsid w:val="2574535D"/>
    <w:rsid w:val="25796964"/>
    <w:rsid w:val="257B0F03"/>
    <w:rsid w:val="257C18DA"/>
    <w:rsid w:val="257C4047"/>
    <w:rsid w:val="257E5598"/>
    <w:rsid w:val="257E63FE"/>
    <w:rsid w:val="25800EBD"/>
    <w:rsid w:val="25871FB5"/>
    <w:rsid w:val="25875878"/>
    <w:rsid w:val="25882A0D"/>
    <w:rsid w:val="258F5811"/>
    <w:rsid w:val="259231BE"/>
    <w:rsid w:val="259832D0"/>
    <w:rsid w:val="259F043C"/>
    <w:rsid w:val="25A006B1"/>
    <w:rsid w:val="25A55F80"/>
    <w:rsid w:val="25A81292"/>
    <w:rsid w:val="25AE45E9"/>
    <w:rsid w:val="25B121F9"/>
    <w:rsid w:val="25B32A19"/>
    <w:rsid w:val="25B47DB0"/>
    <w:rsid w:val="25BA4871"/>
    <w:rsid w:val="25BF39C5"/>
    <w:rsid w:val="25C32E97"/>
    <w:rsid w:val="25C5398D"/>
    <w:rsid w:val="25CA51B7"/>
    <w:rsid w:val="25CC0D27"/>
    <w:rsid w:val="25CE374E"/>
    <w:rsid w:val="25D370F4"/>
    <w:rsid w:val="25D57D6B"/>
    <w:rsid w:val="25D94B24"/>
    <w:rsid w:val="25D960A0"/>
    <w:rsid w:val="25DB3B19"/>
    <w:rsid w:val="25DE7F00"/>
    <w:rsid w:val="25DF5BA2"/>
    <w:rsid w:val="25E10488"/>
    <w:rsid w:val="25E91207"/>
    <w:rsid w:val="25E96888"/>
    <w:rsid w:val="25EB5E60"/>
    <w:rsid w:val="25EE27E4"/>
    <w:rsid w:val="25F13C33"/>
    <w:rsid w:val="25F32DBC"/>
    <w:rsid w:val="25F644D5"/>
    <w:rsid w:val="25F72311"/>
    <w:rsid w:val="25F96D3E"/>
    <w:rsid w:val="25FB5B14"/>
    <w:rsid w:val="25FF3CEB"/>
    <w:rsid w:val="260537E5"/>
    <w:rsid w:val="26065CA4"/>
    <w:rsid w:val="26082A84"/>
    <w:rsid w:val="26086C3B"/>
    <w:rsid w:val="26097196"/>
    <w:rsid w:val="26124A0C"/>
    <w:rsid w:val="261372D2"/>
    <w:rsid w:val="261409CB"/>
    <w:rsid w:val="26144B86"/>
    <w:rsid w:val="26162530"/>
    <w:rsid w:val="2618262C"/>
    <w:rsid w:val="261A70F2"/>
    <w:rsid w:val="261F21D6"/>
    <w:rsid w:val="262339B3"/>
    <w:rsid w:val="26233B02"/>
    <w:rsid w:val="262B3576"/>
    <w:rsid w:val="262C0820"/>
    <w:rsid w:val="262F484D"/>
    <w:rsid w:val="26330A0A"/>
    <w:rsid w:val="26337210"/>
    <w:rsid w:val="263628F3"/>
    <w:rsid w:val="263765EB"/>
    <w:rsid w:val="26385516"/>
    <w:rsid w:val="2639297E"/>
    <w:rsid w:val="263E7AD9"/>
    <w:rsid w:val="26472A68"/>
    <w:rsid w:val="26481A02"/>
    <w:rsid w:val="26494AFF"/>
    <w:rsid w:val="26497F1A"/>
    <w:rsid w:val="264A458C"/>
    <w:rsid w:val="264F70DC"/>
    <w:rsid w:val="26545359"/>
    <w:rsid w:val="26562F57"/>
    <w:rsid w:val="265A068A"/>
    <w:rsid w:val="265A1709"/>
    <w:rsid w:val="265E6BF3"/>
    <w:rsid w:val="26631F38"/>
    <w:rsid w:val="2668384B"/>
    <w:rsid w:val="266A33EF"/>
    <w:rsid w:val="266D709D"/>
    <w:rsid w:val="267343E2"/>
    <w:rsid w:val="26767F22"/>
    <w:rsid w:val="26812A73"/>
    <w:rsid w:val="26824CF0"/>
    <w:rsid w:val="268577E7"/>
    <w:rsid w:val="268F0525"/>
    <w:rsid w:val="268F1916"/>
    <w:rsid w:val="268F2529"/>
    <w:rsid w:val="268F4330"/>
    <w:rsid w:val="26940E31"/>
    <w:rsid w:val="269B556C"/>
    <w:rsid w:val="269C17E7"/>
    <w:rsid w:val="269C2DEA"/>
    <w:rsid w:val="269E4030"/>
    <w:rsid w:val="26A36989"/>
    <w:rsid w:val="26A527ED"/>
    <w:rsid w:val="26A90918"/>
    <w:rsid w:val="26AA3DA3"/>
    <w:rsid w:val="26BB5432"/>
    <w:rsid w:val="26BC7862"/>
    <w:rsid w:val="26BC7A25"/>
    <w:rsid w:val="26C43E9B"/>
    <w:rsid w:val="26C93A21"/>
    <w:rsid w:val="26C97212"/>
    <w:rsid w:val="26CC251C"/>
    <w:rsid w:val="26CC64EA"/>
    <w:rsid w:val="26CE7A48"/>
    <w:rsid w:val="26CF4F0D"/>
    <w:rsid w:val="26CF61A5"/>
    <w:rsid w:val="26D16EB1"/>
    <w:rsid w:val="26D44D6F"/>
    <w:rsid w:val="26D57509"/>
    <w:rsid w:val="26D92FEF"/>
    <w:rsid w:val="26DE6B88"/>
    <w:rsid w:val="26DF4DEB"/>
    <w:rsid w:val="26E1356B"/>
    <w:rsid w:val="26EC7C47"/>
    <w:rsid w:val="26ED5F7B"/>
    <w:rsid w:val="26EF7370"/>
    <w:rsid w:val="26F02E00"/>
    <w:rsid w:val="26F91DC4"/>
    <w:rsid w:val="26FE2FC1"/>
    <w:rsid w:val="26FF5FD5"/>
    <w:rsid w:val="27021A51"/>
    <w:rsid w:val="270A24AE"/>
    <w:rsid w:val="270D6AB9"/>
    <w:rsid w:val="27133109"/>
    <w:rsid w:val="2717195D"/>
    <w:rsid w:val="271A0AA3"/>
    <w:rsid w:val="27207FB4"/>
    <w:rsid w:val="27211232"/>
    <w:rsid w:val="27255747"/>
    <w:rsid w:val="272B56B2"/>
    <w:rsid w:val="272C726B"/>
    <w:rsid w:val="272D5E53"/>
    <w:rsid w:val="272E30A0"/>
    <w:rsid w:val="273264D7"/>
    <w:rsid w:val="2737596D"/>
    <w:rsid w:val="273768D2"/>
    <w:rsid w:val="27380926"/>
    <w:rsid w:val="273977B7"/>
    <w:rsid w:val="273C3A20"/>
    <w:rsid w:val="274C4A80"/>
    <w:rsid w:val="27517308"/>
    <w:rsid w:val="275210C4"/>
    <w:rsid w:val="27552EEF"/>
    <w:rsid w:val="275635F1"/>
    <w:rsid w:val="27576D87"/>
    <w:rsid w:val="275D18CF"/>
    <w:rsid w:val="2760195D"/>
    <w:rsid w:val="276064AC"/>
    <w:rsid w:val="2761118F"/>
    <w:rsid w:val="27611E30"/>
    <w:rsid w:val="276177FF"/>
    <w:rsid w:val="2763224F"/>
    <w:rsid w:val="27636091"/>
    <w:rsid w:val="27691100"/>
    <w:rsid w:val="276C5D2A"/>
    <w:rsid w:val="276E4A5A"/>
    <w:rsid w:val="27716C93"/>
    <w:rsid w:val="277A6B8B"/>
    <w:rsid w:val="277B168E"/>
    <w:rsid w:val="277B5CBF"/>
    <w:rsid w:val="277C48A6"/>
    <w:rsid w:val="277F699C"/>
    <w:rsid w:val="27804079"/>
    <w:rsid w:val="27817708"/>
    <w:rsid w:val="278836F5"/>
    <w:rsid w:val="278F0247"/>
    <w:rsid w:val="27930184"/>
    <w:rsid w:val="279458E8"/>
    <w:rsid w:val="279C2E2C"/>
    <w:rsid w:val="27A00560"/>
    <w:rsid w:val="27A05C64"/>
    <w:rsid w:val="27A25011"/>
    <w:rsid w:val="27A6719E"/>
    <w:rsid w:val="27B25E6C"/>
    <w:rsid w:val="27B934B1"/>
    <w:rsid w:val="27BA0DC6"/>
    <w:rsid w:val="27BA47C4"/>
    <w:rsid w:val="27BD1CA7"/>
    <w:rsid w:val="27BD342B"/>
    <w:rsid w:val="27C06667"/>
    <w:rsid w:val="27C6290A"/>
    <w:rsid w:val="27D01024"/>
    <w:rsid w:val="27D309ED"/>
    <w:rsid w:val="27D56FF1"/>
    <w:rsid w:val="27D95E71"/>
    <w:rsid w:val="27DA0152"/>
    <w:rsid w:val="27DA5EDD"/>
    <w:rsid w:val="27DB3EDB"/>
    <w:rsid w:val="27DD7DC7"/>
    <w:rsid w:val="27DF1193"/>
    <w:rsid w:val="27DF2CFE"/>
    <w:rsid w:val="27E50A49"/>
    <w:rsid w:val="27ED7D83"/>
    <w:rsid w:val="27EF4093"/>
    <w:rsid w:val="280270E8"/>
    <w:rsid w:val="28056E88"/>
    <w:rsid w:val="280928EB"/>
    <w:rsid w:val="280E0DD1"/>
    <w:rsid w:val="28100840"/>
    <w:rsid w:val="28111BEB"/>
    <w:rsid w:val="28156CDF"/>
    <w:rsid w:val="281A2BBF"/>
    <w:rsid w:val="281A3B19"/>
    <w:rsid w:val="281A48F4"/>
    <w:rsid w:val="281A6738"/>
    <w:rsid w:val="281A7247"/>
    <w:rsid w:val="281C3CFA"/>
    <w:rsid w:val="281E59DD"/>
    <w:rsid w:val="282468ED"/>
    <w:rsid w:val="28251F3F"/>
    <w:rsid w:val="282E3E08"/>
    <w:rsid w:val="282F22C7"/>
    <w:rsid w:val="28355040"/>
    <w:rsid w:val="283A3A00"/>
    <w:rsid w:val="283C301C"/>
    <w:rsid w:val="283D29FE"/>
    <w:rsid w:val="283D6D2F"/>
    <w:rsid w:val="28455C32"/>
    <w:rsid w:val="28465599"/>
    <w:rsid w:val="284A003B"/>
    <w:rsid w:val="28514113"/>
    <w:rsid w:val="285376AE"/>
    <w:rsid w:val="28544100"/>
    <w:rsid w:val="2855356D"/>
    <w:rsid w:val="285A367B"/>
    <w:rsid w:val="285D3B1D"/>
    <w:rsid w:val="285D5F07"/>
    <w:rsid w:val="285D76BC"/>
    <w:rsid w:val="285E2FF5"/>
    <w:rsid w:val="28631768"/>
    <w:rsid w:val="28636B67"/>
    <w:rsid w:val="28654EFC"/>
    <w:rsid w:val="286D2673"/>
    <w:rsid w:val="286E15BD"/>
    <w:rsid w:val="287607EB"/>
    <w:rsid w:val="28777CF9"/>
    <w:rsid w:val="28787651"/>
    <w:rsid w:val="287A20FC"/>
    <w:rsid w:val="287C281C"/>
    <w:rsid w:val="28801CEB"/>
    <w:rsid w:val="28820F21"/>
    <w:rsid w:val="28820F26"/>
    <w:rsid w:val="2885433F"/>
    <w:rsid w:val="288602EB"/>
    <w:rsid w:val="288E5A5A"/>
    <w:rsid w:val="289041EF"/>
    <w:rsid w:val="28932DC3"/>
    <w:rsid w:val="28934C1A"/>
    <w:rsid w:val="28947D02"/>
    <w:rsid w:val="2896455E"/>
    <w:rsid w:val="28A00E54"/>
    <w:rsid w:val="28A32620"/>
    <w:rsid w:val="28A4324C"/>
    <w:rsid w:val="28A6302C"/>
    <w:rsid w:val="28A84B8D"/>
    <w:rsid w:val="28AD071E"/>
    <w:rsid w:val="28AF7B32"/>
    <w:rsid w:val="28B225C9"/>
    <w:rsid w:val="28B86917"/>
    <w:rsid w:val="28C269E0"/>
    <w:rsid w:val="28C436C9"/>
    <w:rsid w:val="28C55853"/>
    <w:rsid w:val="28C81594"/>
    <w:rsid w:val="28CC12CA"/>
    <w:rsid w:val="28CC6D3D"/>
    <w:rsid w:val="28CF5153"/>
    <w:rsid w:val="28D715B6"/>
    <w:rsid w:val="28DB2767"/>
    <w:rsid w:val="28DE3240"/>
    <w:rsid w:val="28DF6AE6"/>
    <w:rsid w:val="28E03EB7"/>
    <w:rsid w:val="28E33251"/>
    <w:rsid w:val="28E65EF0"/>
    <w:rsid w:val="28E74AD6"/>
    <w:rsid w:val="28EF5ABA"/>
    <w:rsid w:val="28F065ED"/>
    <w:rsid w:val="28F10ED3"/>
    <w:rsid w:val="28F41CEC"/>
    <w:rsid w:val="28F96E5E"/>
    <w:rsid w:val="28FC7B9E"/>
    <w:rsid w:val="290039DB"/>
    <w:rsid w:val="2904052A"/>
    <w:rsid w:val="29052030"/>
    <w:rsid w:val="290A0AB5"/>
    <w:rsid w:val="29125FC9"/>
    <w:rsid w:val="29184F15"/>
    <w:rsid w:val="29186452"/>
    <w:rsid w:val="291964FC"/>
    <w:rsid w:val="29196B7E"/>
    <w:rsid w:val="29274272"/>
    <w:rsid w:val="292F1638"/>
    <w:rsid w:val="29334ED3"/>
    <w:rsid w:val="29342A3D"/>
    <w:rsid w:val="293919A4"/>
    <w:rsid w:val="293D6D6F"/>
    <w:rsid w:val="29404057"/>
    <w:rsid w:val="29430F78"/>
    <w:rsid w:val="294375EF"/>
    <w:rsid w:val="29437E01"/>
    <w:rsid w:val="29450407"/>
    <w:rsid w:val="29460984"/>
    <w:rsid w:val="294B4E95"/>
    <w:rsid w:val="294E5F74"/>
    <w:rsid w:val="2950427D"/>
    <w:rsid w:val="2955603B"/>
    <w:rsid w:val="29557DBB"/>
    <w:rsid w:val="295977AD"/>
    <w:rsid w:val="295D5118"/>
    <w:rsid w:val="29632C98"/>
    <w:rsid w:val="29667E65"/>
    <w:rsid w:val="296822A8"/>
    <w:rsid w:val="29697BE8"/>
    <w:rsid w:val="296A50EB"/>
    <w:rsid w:val="296C39DF"/>
    <w:rsid w:val="296D5849"/>
    <w:rsid w:val="29702AFD"/>
    <w:rsid w:val="297043AA"/>
    <w:rsid w:val="29707D7F"/>
    <w:rsid w:val="29727D97"/>
    <w:rsid w:val="297B1396"/>
    <w:rsid w:val="297F293D"/>
    <w:rsid w:val="29826B74"/>
    <w:rsid w:val="29830F5E"/>
    <w:rsid w:val="298370D9"/>
    <w:rsid w:val="29847150"/>
    <w:rsid w:val="298821BD"/>
    <w:rsid w:val="298973AC"/>
    <w:rsid w:val="298B2694"/>
    <w:rsid w:val="298E14B8"/>
    <w:rsid w:val="298F7D17"/>
    <w:rsid w:val="29911F84"/>
    <w:rsid w:val="299404C4"/>
    <w:rsid w:val="299B0A5B"/>
    <w:rsid w:val="299C78E0"/>
    <w:rsid w:val="299E1217"/>
    <w:rsid w:val="29A85FA7"/>
    <w:rsid w:val="29A97BD1"/>
    <w:rsid w:val="29AA13B9"/>
    <w:rsid w:val="29AA4ECE"/>
    <w:rsid w:val="29AF0B2C"/>
    <w:rsid w:val="29B41F41"/>
    <w:rsid w:val="29BA0B91"/>
    <w:rsid w:val="29C36FBD"/>
    <w:rsid w:val="29C56C6E"/>
    <w:rsid w:val="29C70C3D"/>
    <w:rsid w:val="29CB25CD"/>
    <w:rsid w:val="29CC1A63"/>
    <w:rsid w:val="29D64D3D"/>
    <w:rsid w:val="29DB2320"/>
    <w:rsid w:val="29DD4943"/>
    <w:rsid w:val="29E03A45"/>
    <w:rsid w:val="29E23A0C"/>
    <w:rsid w:val="29E25693"/>
    <w:rsid w:val="29E54AAA"/>
    <w:rsid w:val="29EA4D0D"/>
    <w:rsid w:val="29EA50AE"/>
    <w:rsid w:val="29F77210"/>
    <w:rsid w:val="29F810CD"/>
    <w:rsid w:val="29FB6B5D"/>
    <w:rsid w:val="2A026688"/>
    <w:rsid w:val="2A0A5692"/>
    <w:rsid w:val="2A107702"/>
    <w:rsid w:val="2A116849"/>
    <w:rsid w:val="2A121856"/>
    <w:rsid w:val="2A1E5960"/>
    <w:rsid w:val="2A205DBA"/>
    <w:rsid w:val="2A2665D6"/>
    <w:rsid w:val="2A2767D7"/>
    <w:rsid w:val="2A2B5AAC"/>
    <w:rsid w:val="2A2C7C32"/>
    <w:rsid w:val="2A31291E"/>
    <w:rsid w:val="2A330E43"/>
    <w:rsid w:val="2A3471E3"/>
    <w:rsid w:val="2A363998"/>
    <w:rsid w:val="2A363F6E"/>
    <w:rsid w:val="2A374DF1"/>
    <w:rsid w:val="2A3B3607"/>
    <w:rsid w:val="2A3C12CA"/>
    <w:rsid w:val="2A3C5B33"/>
    <w:rsid w:val="2A411356"/>
    <w:rsid w:val="2A430CA1"/>
    <w:rsid w:val="2A433B28"/>
    <w:rsid w:val="2A434E14"/>
    <w:rsid w:val="2A4626E6"/>
    <w:rsid w:val="2A473157"/>
    <w:rsid w:val="2A496718"/>
    <w:rsid w:val="2A4B3E6B"/>
    <w:rsid w:val="2A5A79ED"/>
    <w:rsid w:val="2A5F5587"/>
    <w:rsid w:val="2A600F8C"/>
    <w:rsid w:val="2A607AB5"/>
    <w:rsid w:val="2A70631B"/>
    <w:rsid w:val="2A731124"/>
    <w:rsid w:val="2A7B0570"/>
    <w:rsid w:val="2A803585"/>
    <w:rsid w:val="2A821F7D"/>
    <w:rsid w:val="2A83263C"/>
    <w:rsid w:val="2A8370CE"/>
    <w:rsid w:val="2A8818BF"/>
    <w:rsid w:val="2A89024C"/>
    <w:rsid w:val="2A8D1F07"/>
    <w:rsid w:val="2A8E38DD"/>
    <w:rsid w:val="2A8F37E6"/>
    <w:rsid w:val="2A93119B"/>
    <w:rsid w:val="2A9B6F7E"/>
    <w:rsid w:val="2A9E267F"/>
    <w:rsid w:val="2A9F034B"/>
    <w:rsid w:val="2AA01EAB"/>
    <w:rsid w:val="2AA10B5E"/>
    <w:rsid w:val="2AA3338C"/>
    <w:rsid w:val="2AA4312E"/>
    <w:rsid w:val="2AA4747D"/>
    <w:rsid w:val="2AA66B98"/>
    <w:rsid w:val="2AA67CDE"/>
    <w:rsid w:val="2AAA6146"/>
    <w:rsid w:val="2AAE247A"/>
    <w:rsid w:val="2AB26D60"/>
    <w:rsid w:val="2AB31913"/>
    <w:rsid w:val="2AB85C2B"/>
    <w:rsid w:val="2ABD791A"/>
    <w:rsid w:val="2AC844DB"/>
    <w:rsid w:val="2ACA26C2"/>
    <w:rsid w:val="2ACD5C6E"/>
    <w:rsid w:val="2ACF317D"/>
    <w:rsid w:val="2ACF3ADF"/>
    <w:rsid w:val="2AD11ECA"/>
    <w:rsid w:val="2AD40647"/>
    <w:rsid w:val="2AD53ED4"/>
    <w:rsid w:val="2ADC590A"/>
    <w:rsid w:val="2ADE5A76"/>
    <w:rsid w:val="2ADE5C1D"/>
    <w:rsid w:val="2ADF3EB3"/>
    <w:rsid w:val="2AE046AD"/>
    <w:rsid w:val="2AE4763E"/>
    <w:rsid w:val="2AE66741"/>
    <w:rsid w:val="2AE70D4E"/>
    <w:rsid w:val="2AE83C4E"/>
    <w:rsid w:val="2AE9757F"/>
    <w:rsid w:val="2AEF00F0"/>
    <w:rsid w:val="2AF216AB"/>
    <w:rsid w:val="2AF44101"/>
    <w:rsid w:val="2AF55EA9"/>
    <w:rsid w:val="2AF7727E"/>
    <w:rsid w:val="2AF77EC9"/>
    <w:rsid w:val="2AFD4B30"/>
    <w:rsid w:val="2B026284"/>
    <w:rsid w:val="2B043DB5"/>
    <w:rsid w:val="2B046707"/>
    <w:rsid w:val="2B101488"/>
    <w:rsid w:val="2B1111D3"/>
    <w:rsid w:val="2B111A6D"/>
    <w:rsid w:val="2B155ACA"/>
    <w:rsid w:val="2B1A3FE4"/>
    <w:rsid w:val="2B1B2442"/>
    <w:rsid w:val="2B1C0D9A"/>
    <w:rsid w:val="2B1C1797"/>
    <w:rsid w:val="2B1E1428"/>
    <w:rsid w:val="2B200955"/>
    <w:rsid w:val="2B2050FA"/>
    <w:rsid w:val="2B205633"/>
    <w:rsid w:val="2B227614"/>
    <w:rsid w:val="2B242A15"/>
    <w:rsid w:val="2B277B63"/>
    <w:rsid w:val="2B307642"/>
    <w:rsid w:val="2B3A633C"/>
    <w:rsid w:val="2B3B125E"/>
    <w:rsid w:val="2B43762F"/>
    <w:rsid w:val="2B453C99"/>
    <w:rsid w:val="2B485A10"/>
    <w:rsid w:val="2B4A1DC4"/>
    <w:rsid w:val="2B4B4FB1"/>
    <w:rsid w:val="2B4B5711"/>
    <w:rsid w:val="2B4D05C4"/>
    <w:rsid w:val="2B531857"/>
    <w:rsid w:val="2B562F94"/>
    <w:rsid w:val="2B5753C5"/>
    <w:rsid w:val="2B585B79"/>
    <w:rsid w:val="2B5C0DE8"/>
    <w:rsid w:val="2B5D0B8A"/>
    <w:rsid w:val="2B5D14C0"/>
    <w:rsid w:val="2B6571D0"/>
    <w:rsid w:val="2B673563"/>
    <w:rsid w:val="2B69699B"/>
    <w:rsid w:val="2B6E3F7C"/>
    <w:rsid w:val="2B7227FD"/>
    <w:rsid w:val="2B724E09"/>
    <w:rsid w:val="2B7315BD"/>
    <w:rsid w:val="2B7413CA"/>
    <w:rsid w:val="2B7A0D34"/>
    <w:rsid w:val="2B7A1512"/>
    <w:rsid w:val="2B8026E7"/>
    <w:rsid w:val="2B8265A2"/>
    <w:rsid w:val="2B82687C"/>
    <w:rsid w:val="2B843186"/>
    <w:rsid w:val="2B8B753A"/>
    <w:rsid w:val="2B9D540E"/>
    <w:rsid w:val="2B9E487D"/>
    <w:rsid w:val="2B9F54AF"/>
    <w:rsid w:val="2BA85704"/>
    <w:rsid w:val="2BA92E8F"/>
    <w:rsid w:val="2BAF4647"/>
    <w:rsid w:val="2BAF5663"/>
    <w:rsid w:val="2BB14FCF"/>
    <w:rsid w:val="2BB41D61"/>
    <w:rsid w:val="2BBB64FD"/>
    <w:rsid w:val="2BBC7E7B"/>
    <w:rsid w:val="2BBF6BBB"/>
    <w:rsid w:val="2BC179B3"/>
    <w:rsid w:val="2BC237CF"/>
    <w:rsid w:val="2BC33474"/>
    <w:rsid w:val="2BC42A1A"/>
    <w:rsid w:val="2BC61D90"/>
    <w:rsid w:val="2BCD1041"/>
    <w:rsid w:val="2BCD3693"/>
    <w:rsid w:val="2BCE4576"/>
    <w:rsid w:val="2BCE4F48"/>
    <w:rsid w:val="2BCF7094"/>
    <w:rsid w:val="2BD002CA"/>
    <w:rsid w:val="2BD35324"/>
    <w:rsid w:val="2BD4372C"/>
    <w:rsid w:val="2BDA1BE3"/>
    <w:rsid w:val="2BDD46C6"/>
    <w:rsid w:val="2BDE4686"/>
    <w:rsid w:val="2BE15373"/>
    <w:rsid w:val="2BE16B8A"/>
    <w:rsid w:val="2BE2664E"/>
    <w:rsid w:val="2BE27083"/>
    <w:rsid w:val="2BE43729"/>
    <w:rsid w:val="2BE8020D"/>
    <w:rsid w:val="2BE9306B"/>
    <w:rsid w:val="2BE9702C"/>
    <w:rsid w:val="2BEB26DD"/>
    <w:rsid w:val="2BED0CA1"/>
    <w:rsid w:val="2BEF6674"/>
    <w:rsid w:val="2BF1687A"/>
    <w:rsid w:val="2BF21066"/>
    <w:rsid w:val="2BF95826"/>
    <w:rsid w:val="2BFB7FB7"/>
    <w:rsid w:val="2BFC707E"/>
    <w:rsid w:val="2BFC7459"/>
    <w:rsid w:val="2BFF52B9"/>
    <w:rsid w:val="2C032ACE"/>
    <w:rsid w:val="2C092D54"/>
    <w:rsid w:val="2C0A51D9"/>
    <w:rsid w:val="2C1222BE"/>
    <w:rsid w:val="2C1325EE"/>
    <w:rsid w:val="2C190D96"/>
    <w:rsid w:val="2C234DA8"/>
    <w:rsid w:val="2C2D553E"/>
    <w:rsid w:val="2C306F50"/>
    <w:rsid w:val="2C332EA1"/>
    <w:rsid w:val="2C363209"/>
    <w:rsid w:val="2C3C12A4"/>
    <w:rsid w:val="2C3F1D21"/>
    <w:rsid w:val="2C40508F"/>
    <w:rsid w:val="2C435FF2"/>
    <w:rsid w:val="2C4365AD"/>
    <w:rsid w:val="2C4F3F52"/>
    <w:rsid w:val="2C4F6974"/>
    <w:rsid w:val="2C54286A"/>
    <w:rsid w:val="2C54457E"/>
    <w:rsid w:val="2C55425C"/>
    <w:rsid w:val="2C560F28"/>
    <w:rsid w:val="2C5971A4"/>
    <w:rsid w:val="2C605088"/>
    <w:rsid w:val="2C616AD9"/>
    <w:rsid w:val="2C621283"/>
    <w:rsid w:val="2C636CEA"/>
    <w:rsid w:val="2C642129"/>
    <w:rsid w:val="2C672884"/>
    <w:rsid w:val="2C6C40F6"/>
    <w:rsid w:val="2C721B16"/>
    <w:rsid w:val="2C7577EC"/>
    <w:rsid w:val="2C7D42AF"/>
    <w:rsid w:val="2C7F2F05"/>
    <w:rsid w:val="2C830214"/>
    <w:rsid w:val="2C836B36"/>
    <w:rsid w:val="2C837E08"/>
    <w:rsid w:val="2C874F78"/>
    <w:rsid w:val="2C8767D2"/>
    <w:rsid w:val="2C892158"/>
    <w:rsid w:val="2C8D76D6"/>
    <w:rsid w:val="2C90221A"/>
    <w:rsid w:val="2C9A76DD"/>
    <w:rsid w:val="2C9F65E4"/>
    <w:rsid w:val="2CA32FDA"/>
    <w:rsid w:val="2CA52412"/>
    <w:rsid w:val="2CA64F3A"/>
    <w:rsid w:val="2CAA53C5"/>
    <w:rsid w:val="2CAD1C63"/>
    <w:rsid w:val="2CAD75D4"/>
    <w:rsid w:val="2CAE2A49"/>
    <w:rsid w:val="2CAE7A58"/>
    <w:rsid w:val="2CB27720"/>
    <w:rsid w:val="2CB360DC"/>
    <w:rsid w:val="2CBE3405"/>
    <w:rsid w:val="2CBF7A5B"/>
    <w:rsid w:val="2CC05462"/>
    <w:rsid w:val="2CC14E88"/>
    <w:rsid w:val="2CC17C50"/>
    <w:rsid w:val="2CC70F07"/>
    <w:rsid w:val="2CCB13FC"/>
    <w:rsid w:val="2CCC3BEB"/>
    <w:rsid w:val="2CD150E2"/>
    <w:rsid w:val="2CD32F10"/>
    <w:rsid w:val="2CD456DB"/>
    <w:rsid w:val="2CDD33A2"/>
    <w:rsid w:val="2CDE7E19"/>
    <w:rsid w:val="2CE6303F"/>
    <w:rsid w:val="2CE8635C"/>
    <w:rsid w:val="2CE909EC"/>
    <w:rsid w:val="2CEC0B6A"/>
    <w:rsid w:val="2CEC3BB7"/>
    <w:rsid w:val="2CED77DE"/>
    <w:rsid w:val="2CF069C4"/>
    <w:rsid w:val="2CF520FC"/>
    <w:rsid w:val="2CF858BE"/>
    <w:rsid w:val="2D0911D4"/>
    <w:rsid w:val="2D147634"/>
    <w:rsid w:val="2D183510"/>
    <w:rsid w:val="2D1934B5"/>
    <w:rsid w:val="2D1C7D0F"/>
    <w:rsid w:val="2D1E34D5"/>
    <w:rsid w:val="2D20686F"/>
    <w:rsid w:val="2D214A86"/>
    <w:rsid w:val="2D23396C"/>
    <w:rsid w:val="2D2714A9"/>
    <w:rsid w:val="2D281902"/>
    <w:rsid w:val="2D297776"/>
    <w:rsid w:val="2D301832"/>
    <w:rsid w:val="2D3448F8"/>
    <w:rsid w:val="2D34497F"/>
    <w:rsid w:val="2D357F68"/>
    <w:rsid w:val="2D386479"/>
    <w:rsid w:val="2D3F1569"/>
    <w:rsid w:val="2D402156"/>
    <w:rsid w:val="2D413569"/>
    <w:rsid w:val="2D4579A6"/>
    <w:rsid w:val="2D465181"/>
    <w:rsid w:val="2D59719E"/>
    <w:rsid w:val="2D5A1A5F"/>
    <w:rsid w:val="2D6329A9"/>
    <w:rsid w:val="2D6362D0"/>
    <w:rsid w:val="2D651B08"/>
    <w:rsid w:val="2D6C3434"/>
    <w:rsid w:val="2D7479C4"/>
    <w:rsid w:val="2D7521C0"/>
    <w:rsid w:val="2D7C2B39"/>
    <w:rsid w:val="2D7F7D38"/>
    <w:rsid w:val="2D8001EE"/>
    <w:rsid w:val="2D8079B7"/>
    <w:rsid w:val="2D811C01"/>
    <w:rsid w:val="2D832E1B"/>
    <w:rsid w:val="2D8E73AD"/>
    <w:rsid w:val="2D8E7981"/>
    <w:rsid w:val="2D91549D"/>
    <w:rsid w:val="2D965A2B"/>
    <w:rsid w:val="2D977031"/>
    <w:rsid w:val="2D9868B8"/>
    <w:rsid w:val="2D9960D8"/>
    <w:rsid w:val="2D9C1147"/>
    <w:rsid w:val="2D9D4A81"/>
    <w:rsid w:val="2D9F6F93"/>
    <w:rsid w:val="2DA148C1"/>
    <w:rsid w:val="2DA64079"/>
    <w:rsid w:val="2DA81EA6"/>
    <w:rsid w:val="2DAA60B7"/>
    <w:rsid w:val="2DB147E6"/>
    <w:rsid w:val="2DB3103D"/>
    <w:rsid w:val="2DB517FD"/>
    <w:rsid w:val="2DC13346"/>
    <w:rsid w:val="2DC35373"/>
    <w:rsid w:val="2DC9262B"/>
    <w:rsid w:val="2DCB36A3"/>
    <w:rsid w:val="2DCE7D45"/>
    <w:rsid w:val="2DE36A3B"/>
    <w:rsid w:val="2DE85C0E"/>
    <w:rsid w:val="2DEA231A"/>
    <w:rsid w:val="2DEC1744"/>
    <w:rsid w:val="2DED7E02"/>
    <w:rsid w:val="2DF11BF3"/>
    <w:rsid w:val="2DF24B53"/>
    <w:rsid w:val="2DFF45CE"/>
    <w:rsid w:val="2E00600C"/>
    <w:rsid w:val="2E03113F"/>
    <w:rsid w:val="2E032941"/>
    <w:rsid w:val="2E0479DC"/>
    <w:rsid w:val="2E067822"/>
    <w:rsid w:val="2E0728AE"/>
    <w:rsid w:val="2E081327"/>
    <w:rsid w:val="2E0A5761"/>
    <w:rsid w:val="2E105BE0"/>
    <w:rsid w:val="2E17357A"/>
    <w:rsid w:val="2E177C59"/>
    <w:rsid w:val="2E1C54CB"/>
    <w:rsid w:val="2E1E2073"/>
    <w:rsid w:val="2E1F4DE6"/>
    <w:rsid w:val="2E270757"/>
    <w:rsid w:val="2E2A4278"/>
    <w:rsid w:val="2E2A5AC5"/>
    <w:rsid w:val="2E307C8E"/>
    <w:rsid w:val="2E3320AE"/>
    <w:rsid w:val="2E340DE9"/>
    <w:rsid w:val="2E363532"/>
    <w:rsid w:val="2E37363C"/>
    <w:rsid w:val="2E3B23E8"/>
    <w:rsid w:val="2E3D7FA6"/>
    <w:rsid w:val="2E3F02BF"/>
    <w:rsid w:val="2E3F5938"/>
    <w:rsid w:val="2E423958"/>
    <w:rsid w:val="2E45651F"/>
    <w:rsid w:val="2E4A7EC4"/>
    <w:rsid w:val="2E4C0C35"/>
    <w:rsid w:val="2E4C364A"/>
    <w:rsid w:val="2E4E06EE"/>
    <w:rsid w:val="2E4F3EA3"/>
    <w:rsid w:val="2E5D33C2"/>
    <w:rsid w:val="2E5F1B56"/>
    <w:rsid w:val="2E614F51"/>
    <w:rsid w:val="2E644BB5"/>
    <w:rsid w:val="2E646B83"/>
    <w:rsid w:val="2E6615A5"/>
    <w:rsid w:val="2E752813"/>
    <w:rsid w:val="2E823D3C"/>
    <w:rsid w:val="2E847CF1"/>
    <w:rsid w:val="2E861829"/>
    <w:rsid w:val="2E864029"/>
    <w:rsid w:val="2E873450"/>
    <w:rsid w:val="2E8A6191"/>
    <w:rsid w:val="2E8C4181"/>
    <w:rsid w:val="2E8F17B6"/>
    <w:rsid w:val="2E8F7884"/>
    <w:rsid w:val="2E900106"/>
    <w:rsid w:val="2E931AEA"/>
    <w:rsid w:val="2E9825F6"/>
    <w:rsid w:val="2E9C2055"/>
    <w:rsid w:val="2E9E20DB"/>
    <w:rsid w:val="2EA52BF0"/>
    <w:rsid w:val="2EA62C67"/>
    <w:rsid w:val="2EB506FD"/>
    <w:rsid w:val="2EB8551C"/>
    <w:rsid w:val="2EBE6686"/>
    <w:rsid w:val="2EC329B1"/>
    <w:rsid w:val="2ECB5B63"/>
    <w:rsid w:val="2ED526F3"/>
    <w:rsid w:val="2ED52B92"/>
    <w:rsid w:val="2ED57CEC"/>
    <w:rsid w:val="2ED84650"/>
    <w:rsid w:val="2ED93E21"/>
    <w:rsid w:val="2EDF0D4F"/>
    <w:rsid w:val="2EDF2192"/>
    <w:rsid w:val="2EE15CBF"/>
    <w:rsid w:val="2EE214FD"/>
    <w:rsid w:val="2EE3199B"/>
    <w:rsid w:val="2EE67CD4"/>
    <w:rsid w:val="2EE73920"/>
    <w:rsid w:val="2EE84DDE"/>
    <w:rsid w:val="2EE97ABB"/>
    <w:rsid w:val="2EEC30FD"/>
    <w:rsid w:val="2EF37D5C"/>
    <w:rsid w:val="2EF6409A"/>
    <w:rsid w:val="2EF75187"/>
    <w:rsid w:val="2EFC54C0"/>
    <w:rsid w:val="2EFD6D52"/>
    <w:rsid w:val="2EFE1C47"/>
    <w:rsid w:val="2F03377B"/>
    <w:rsid w:val="2F0B581D"/>
    <w:rsid w:val="2F0E19D5"/>
    <w:rsid w:val="2F114B44"/>
    <w:rsid w:val="2F1A6E5D"/>
    <w:rsid w:val="2F1E485F"/>
    <w:rsid w:val="2F200405"/>
    <w:rsid w:val="2F232588"/>
    <w:rsid w:val="2F24528F"/>
    <w:rsid w:val="2F2C5356"/>
    <w:rsid w:val="2F2F0DAC"/>
    <w:rsid w:val="2F317059"/>
    <w:rsid w:val="2F34572B"/>
    <w:rsid w:val="2F3B4EFE"/>
    <w:rsid w:val="2F3C64F8"/>
    <w:rsid w:val="2F3E2DA8"/>
    <w:rsid w:val="2F422712"/>
    <w:rsid w:val="2F4516A6"/>
    <w:rsid w:val="2F4B37B4"/>
    <w:rsid w:val="2F4B3946"/>
    <w:rsid w:val="2F5F713D"/>
    <w:rsid w:val="2F6663CC"/>
    <w:rsid w:val="2F685CE8"/>
    <w:rsid w:val="2F6C2A40"/>
    <w:rsid w:val="2F710313"/>
    <w:rsid w:val="2F731177"/>
    <w:rsid w:val="2F74217B"/>
    <w:rsid w:val="2F763FAF"/>
    <w:rsid w:val="2F8161F9"/>
    <w:rsid w:val="2F885862"/>
    <w:rsid w:val="2F8F4779"/>
    <w:rsid w:val="2F911A4F"/>
    <w:rsid w:val="2F915085"/>
    <w:rsid w:val="2F9940B2"/>
    <w:rsid w:val="2F994CE8"/>
    <w:rsid w:val="2F9A79C2"/>
    <w:rsid w:val="2F9D6299"/>
    <w:rsid w:val="2F9E00DA"/>
    <w:rsid w:val="2F9F265F"/>
    <w:rsid w:val="2FA23983"/>
    <w:rsid w:val="2FA427FB"/>
    <w:rsid w:val="2FAB2746"/>
    <w:rsid w:val="2FAC4A40"/>
    <w:rsid w:val="2FAE177B"/>
    <w:rsid w:val="2FAF3921"/>
    <w:rsid w:val="2FAF3AB8"/>
    <w:rsid w:val="2FB11A05"/>
    <w:rsid w:val="2FB11C83"/>
    <w:rsid w:val="2FB15C4D"/>
    <w:rsid w:val="2FB710D3"/>
    <w:rsid w:val="2FB74DA1"/>
    <w:rsid w:val="2FB91D70"/>
    <w:rsid w:val="2FC00E9A"/>
    <w:rsid w:val="2FC11324"/>
    <w:rsid w:val="2FC3397B"/>
    <w:rsid w:val="2FC5106B"/>
    <w:rsid w:val="2FC513E3"/>
    <w:rsid w:val="2FC53658"/>
    <w:rsid w:val="2FD05681"/>
    <w:rsid w:val="2FD10D1F"/>
    <w:rsid w:val="2FD3264E"/>
    <w:rsid w:val="2FD356D9"/>
    <w:rsid w:val="2FD478E8"/>
    <w:rsid w:val="2FDA5C5D"/>
    <w:rsid w:val="2FDD1C1F"/>
    <w:rsid w:val="2FE32245"/>
    <w:rsid w:val="2FE627A0"/>
    <w:rsid w:val="2FEC2330"/>
    <w:rsid w:val="2FEE23B2"/>
    <w:rsid w:val="3004786B"/>
    <w:rsid w:val="300A778E"/>
    <w:rsid w:val="301619C2"/>
    <w:rsid w:val="301932BE"/>
    <w:rsid w:val="30223AC8"/>
    <w:rsid w:val="302A1CA1"/>
    <w:rsid w:val="302C5300"/>
    <w:rsid w:val="302C729F"/>
    <w:rsid w:val="302E4787"/>
    <w:rsid w:val="30322CAD"/>
    <w:rsid w:val="303A56BF"/>
    <w:rsid w:val="303E0A3C"/>
    <w:rsid w:val="30422D49"/>
    <w:rsid w:val="304438EA"/>
    <w:rsid w:val="30476971"/>
    <w:rsid w:val="304E5C28"/>
    <w:rsid w:val="30533F18"/>
    <w:rsid w:val="30547522"/>
    <w:rsid w:val="3058256D"/>
    <w:rsid w:val="305A3B91"/>
    <w:rsid w:val="305C3C38"/>
    <w:rsid w:val="305D79E9"/>
    <w:rsid w:val="3063297F"/>
    <w:rsid w:val="3068110A"/>
    <w:rsid w:val="306D0058"/>
    <w:rsid w:val="306F1F1F"/>
    <w:rsid w:val="30703D5A"/>
    <w:rsid w:val="3070652D"/>
    <w:rsid w:val="30712AFA"/>
    <w:rsid w:val="30767C06"/>
    <w:rsid w:val="30784ED7"/>
    <w:rsid w:val="307C1ED2"/>
    <w:rsid w:val="307C270E"/>
    <w:rsid w:val="30836D95"/>
    <w:rsid w:val="308A093E"/>
    <w:rsid w:val="308B1638"/>
    <w:rsid w:val="308C7078"/>
    <w:rsid w:val="308E3CF8"/>
    <w:rsid w:val="30904700"/>
    <w:rsid w:val="3093125C"/>
    <w:rsid w:val="309312A6"/>
    <w:rsid w:val="30931B32"/>
    <w:rsid w:val="309D6ABB"/>
    <w:rsid w:val="30A207E0"/>
    <w:rsid w:val="30A4235E"/>
    <w:rsid w:val="30A52479"/>
    <w:rsid w:val="30A773C2"/>
    <w:rsid w:val="30AD1107"/>
    <w:rsid w:val="30AF20E7"/>
    <w:rsid w:val="30B001AA"/>
    <w:rsid w:val="30B001E8"/>
    <w:rsid w:val="30B44F8D"/>
    <w:rsid w:val="30B47EC2"/>
    <w:rsid w:val="30B815CC"/>
    <w:rsid w:val="30B81653"/>
    <w:rsid w:val="30B96B67"/>
    <w:rsid w:val="30BB59D3"/>
    <w:rsid w:val="30C25277"/>
    <w:rsid w:val="30C40827"/>
    <w:rsid w:val="30C44E6C"/>
    <w:rsid w:val="30C52089"/>
    <w:rsid w:val="30C6332E"/>
    <w:rsid w:val="30C7514C"/>
    <w:rsid w:val="30D72B81"/>
    <w:rsid w:val="30DA7F19"/>
    <w:rsid w:val="30DE5469"/>
    <w:rsid w:val="30DF6D27"/>
    <w:rsid w:val="30E25D49"/>
    <w:rsid w:val="30E42053"/>
    <w:rsid w:val="30EC1A2A"/>
    <w:rsid w:val="30EC398D"/>
    <w:rsid w:val="30ED6810"/>
    <w:rsid w:val="30F55096"/>
    <w:rsid w:val="30FF0C3F"/>
    <w:rsid w:val="31012DF8"/>
    <w:rsid w:val="31091549"/>
    <w:rsid w:val="31113875"/>
    <w:rsid w:val="311375B7"/>
    <w:rsid w:val="31140B8A"/>
    <w:rsid w:val="31187B44"/>
    <w:rsid w:val="31193F09"/>
    <w:rsid w:val="311A1037"/>
    <w:rsid w:val="311A3CC6"/>
    <w:rsid w:val="311D2A2E"/>
    <w:rsid w:val="311D3868"/>
    <w:rsid w:val="311E3BB2"/>
    <w:rsid w:val="31212F68"/>
    <w:rsid w:val="31244B45"/>
    <w:rsid w:val="31246F04"/>
    <w:rsid w:val="31264EF1"/>
    <w:rsid w:val="312910C5"/>
    <w:rsid w:val="31293BBD"/>
    <w:rsid w:val="312B16AE"/>
    <w:rsid w:val="312E32CE"/>
    <w:rsid w:val="31332084"/>
    <w:rsid w:val="31334F8C"/>
    <w:rsid w:val="313516FB"/>
    <w:rsid w:val="3135465C"/>
    <w:rsid w:val="31362E2C"/>
    <w:rsid w:val="3138649D"/>
    <w:rsid w:val="31396850"/>
    <w:rsid w:val="313A3DF2"/>
    <w:rsid w:val="313B194B"/>
    <w:rsid w:val="313B347A"/>
    <w:rsid w:val="313E4D93"/>
    <w:rsid w:val="313F2200"/>
    <w:rsid w:val="314065D1"/>
    <w:rsid w:val="31412331"/>
    <w:rsid w:val="314134FD"/>
    <w:rsid w:val="314E2334"/>
    <w:rsid w:val="31566EBA"/>
    <w:rsid w:val="31570DE4"/>
    <w:rsid w:val="315D1A24"/>
    <w:rsid w:val="316236CC"/>
    <w:rsid w:val="3162447A"/>
    <w:rsid w:val="31643101"/>
    <w:rsid w:val="316B2443"/>
    <w:rsid w:val="316B5FE6"/>
    <w:rsid w:val="31724A5F"/>
    <w:rsid w:val="31725958"/>
    <w:rsid w:val="31766DFB"/>
    <w:rsid w:val="317744C3"/>
    <w:rsid w:val="31786022"/>
    <w:rsid w:val="318027E8"/>
    <w:rsid w:val="31850437"/>
    <w:rsid w:val="31882B84"/>
    <w:rsid w:val="318861CC"/>
    <w:rsid w:val="318B028D"/>
    <w:rsid w:val="319247C5"/>
    <w:rsid w:val="31962923"/>
    <w:rsid w:val="319924A9"/>
    <w:rsid w:val="319B1593"/>
    <w:rsid w:val="319C11D2"/>
    <w:rsid w:val="319F2664"/>
    <w:rsid w:val="31A21D92"/>
    <w:rsid w:val="31A35745"/>
    <w:rsid w:val="31AF4E7F"/>
    <w:rsid w:val="31BB013A"/>
    <w:rsid w:val="31BE403F"/>
    <w:rsid w:val="31BF1122"/>
    <w:rsid w:val="31C32AA1"/>
    <w:rsid w:val="31C51A15"/>
    <w:rsid w:val="31C85B63"/>
    <w:rsid w:val="31CB179C"/>
    <w:rsid w:val="31CB5EF6"/>
    <w:rsid w:val="31CC460C"/>
    <w:rsid w:val="31CE0525"/>
    <w:rsid w:val="31CF722B"/>
    <w:rsid w:val="31D04895"/>
    <w:rsid w:val="31D83DAD"/>
    <w:rsid w:val="31DB2D09"/>
    <w:rsid w:val="31DC2616"/>
    <w:rsid w:val="31DC76A6"/>
    <w:rsid w:val="31E91A18"/>
    <w:rsid w:val="31ED50FC"/>
    <w:rsid w:val="31EF6ABF"/>
    <w:rsid w:val="31F12CBA"/>
    <w:rsid w:val="31F72801"/>
    <w:rsid w:val="31FE3A90"/>
    <w:rsid w:val="32056724"/>
    <w:rsid w:val="32071EA8"/>
    <w:rsid w:val="320846C8"/>
    <w:rsid w:val="320D5F27"/>
    <w:rsid w:val="320D6C3C"/>
    <w:rsid w:val="320F47CF"/>
    <w:rsid w:val="321639E2"/>
    <w:rsid w:val="32165546"/>
    <w:rsid w:val="3218385E"/>
    <w:rsid w:val="32194EEC"/>
    <w:rsid w:val="321A4B97"/>
    <w:rsid w:val="321C07ED"/>
    <w:rsid w:val="32313959"/>
    <w:rsid w:val="3233182D"/>
    <w:rsid w:val="32363A28"/>
    <w:rsid w:val="32376EA2"/>
    <w:rsid w:val="323B1DDA"/>
    <w:rsid w:val="323C18FC"/>
    <w:rsid w:val="323D0838"/>
    <w:rsid w:val="323D5F72"/>
    <w:rsid w:val="32425F2D"/>
    <w:rsid w:val="3249517A"/>
    <w:rsid w:val="324A2389"/>
    <w:rsid w:val="324A3E0D"/>
    <w:rsid w:val="325247E2"/>
    <w:rsid w:val="325268E0"/>
    <w:rsid w:val="32542185"/>
    <w:rsid w:val="3254556E"/>
    <w:rsid w:val="32571A8A"/>
    <w:rsid w:val="325F1779"/>
    <w:rsid w:val="32634841"/>
    <w:rsid w:val="32680C5B"/>
    <w:rsid w:val="32696C87"/>
    <w:rsid w:val="32697389"/>
    <w:rsid w:val="326C7089"/>
    <w:rsid w:val="32742281"/>
    <w:rsid w:val="327530C7"/>
    <w:rsid w:val="3276098B"/>
    <w:rsid w:val="3276317E"/>
    <w:rsid w:val="327A055D"/>
    <w:rsid w:val="32842867"/>
    <w:rsid w:val="328677CE"/>
    <w:rsid w:val="32870EE7"/>
    <w:rsid w:val="32884492"/>
    <w:rsid w:val="328912A0"/>
    <w:rsid w:val="328D2648"/>
    <w:rsid w:val="328F013B"/>
    <w:rsid w:val="329140D7"/>
    <w:rsid w:val="32932B37"/>
    <w:rsid w:val="32941796"/>
    <w:rsid w:val="32957485"/>
    <w:rsid w:val="329A7C6D"/>
    <w:rsid w:val="329B1B5C"/>
    <w:rsid w:val="329D7623"/>
    <w:rsid w:val="329F1023"/>
    <w:rsid w:val="32A02277"/>
    <w:rsid w:val="32A0551C"/>
    <w:rsid w:val="32A1421E"/>
    <w:rsid w:val="32AB5B3C"/>
    <w:rsid w:val="32B17A0E"/>
    <w:rsid w:val="32B936F5"/>
    <w:rsid w:val="32BA17BA"/>
    <w:rsid w:val="32C807A0"/>
    <w:rsid w:val="32C80830"/>
    <w:rsid w:val="32C84851"/>
    <w:rsid w:val="32C92609"/>
    <w:rsid w:val="32D103B5"/>
    <w:rsid w:val="32D252B1"/>
    <w:rsid w:val="32D4505A"/>
    <w:rsid w:val="32D60436"/>
    <w:rsid w:val="32DF6041"/>
    <w:rsid w:val="32EC15E8"/>
    <w:rsid w:val="32EC6D22"/>
    <w:rsid w:val="32F076A5"/>
    <w:rsid w:val="32F079DF"/>
    <w:rsid w:val="32F26346"/>
    <w:rsid w:val="32F2680C"/>
    <w:rsid w:val="32F748FB"/>
    <w:rsid w:val="32F84096"/>
    <w:rsid w:val="32F902A2"/>
    <w:rsid w:val="33002114"/>
    <w:rsid w:val="3302607A"/>
    <w:rsid w:val="33027FE4"/>
    <w:rsid w:val="33093FBB"/>
    <w:rsid w:val="330A0A90"/>
    <w:rsid w:val="330A43DC"/>
    <w:rsid w:val="330C4AFC"/>
    <w:rsid w:val="33164B04"/>
    <w:rsid w:val="33195175"/>
    <w:rsid w:val="332115B4"/>
    <w:rsid w:val="33226BE4"/>
    <w:rsid w:val="332A6FCD"/>
    <w:rsid w:val="332F0A05"/>
    <w:rsid w:val="3336528B"/>
    <w:rsid w:val="333936D7"/>
    <w:rsid w:val="333A53BC"/>
    <w:rsid w:val="333B1212"/>
    <w:rsid w:val="333B125A"/>
    <w:rsid w:val="333C0016"/>
    <w:rsid w:val="333E70CB"/>
    <w:rsid w:val="334218E1"/>
    <w:rsid w:val="33475B6C"/>
    <w:rsid w:val="334A1A0E"/>
    <w:rsid w:val="334C3913"/>
    <w:rsid w:val="334F67E6"/>
    <w:rsid w:val="33501C68"/>
    <w:rsid w:val="33570EAD"/>
    <w:rsid w:val="335746E4"/>
    <w:rsid w:val="336743C9"/>
    <w:rsid w:val="336826E1"/>
    <w:rsid w:val="336F5F4E"/>
    <w:rsid w:val="33732584"/>
    <w:rsid w:val="3378278C"/>
    <w:rsid w:val="337D40E3"/>
    <w:rsid w:val="33825507"/>
    <w:rsid w:val="338C2CCB"/>
    <w:rsid w:val="338C68EB"/>
    <w:rsid w:val="338D5F6B"/>
    <w:rsid w:val="339B07F3"/>
    <w:rsid w:val="339B10B4"/>
    <w:rsid w:val="339D2E42"/>
    <w:rsid w:val="33A23767"/>
    <w:rsid w:val="33A50B73"/>
    <w:rsid w:val="33AB2E10"/>
    <w:rsid w:val="33AE1B51"/>
    <w:rsid w:val="33AF3DA2"/>
    <w:rsid w:val="33B31570"/>
    <w:rsid w:val="33B95F6A"/>
    <w:rsid w:val="33BB41AA"/>
    <w:rsid w:val="33BE6B8B"/>
    <w:rsid w:val="33C12C0D"/>
    <w:rsid w:val="33C26CF9"/>
    <w:rsid w:val="33C868E4"/>
    <w:rsid w:val="33CC3FEA"/>
    <w:rsid w:val="33CC6086"/>
    <w:rsid w:val="33CE4B5D"/>
    <w:rsid w:val="33D11C3B"/>
    <w:rsid w:val="33D22C88"/>
    <w:rsid w:val="33D36A54"/>
    <w:rsid w:val="33D42F84"/>
    <w:rsid w:val="33D434E3"/>
    <w:rsid w:val="33D752AD"/>
    <w:rsid w:val="33D96E07"/>
    <w:rsid w:val="33DA46B1"/>
    <w:rsid w:val="33E2678A"/>
    <w:rsid w:val="33E84798"/>
    <w:rsid w:val="33E849A3"/>
    <w:rsid w:val="33E90EE9"/>
    <w:rsid w:val="33E9688D"/>
    <w:rsid w:val="33EA3686"/>
    <w:rsid w:val="33EC6745"/>
    <w:rsid w:val="33F109E8"/>
    <w:rsid w:val="33F26332"/>
    <w:rsid w:val="33F5235A"/>
    <w:rsid w:val="33F82CA1"/>
    <w:rsid w:val="33FA3ADB"/>
    <w:rsid w:val="33FA76CF"/>
    <w:rsid w:val="33FB2982"/>
    <w:rsid w:val="33FD718D"/>
    <w:rsid w:val="33FD72E6"/>
    <w:rsid w:val="34014148"/>
    <w:rsid w:val="34023828"/>
    <w:rsid w:val="34027270"/>
    <w:rsid w:val="340659B9"/>
    <w:rsid w:val="34072728"/>
    <w:rsid w:val="340A06EC"/>
    <w:rsid w:val="340D1AA5"/>
    <w:rsid w:val="340D42C5"/>
    <w:rsid w:val="341A2FEA"/>
    <w:rsid w:val="341B1AF3"/>
    <w:rsid w:val="341E0414"/>
    <w:rsid w:val="341E1D1F"/>
    <w:rsid w:val="34252AFB"/>
    <w:rsid w:val="34274867"/>
    <w:rsid w:val="34291CD2"/>
    <w:rsid w:val="34312C6D"/>
    <w:rsid w:val="34355C44"/>
    <w:rsid w:val="343640A9"/>
    <w:rsid w:val="343D1495"/>
    <w:rsid w:val="34426C52"/>
    <w:rsid w:val="344A5651"/>
    <w:rsid w:val="344C32B7"/>
    <w:rsid w:val="34502F9F"/>
    <w:rsid w:val="345B385B"/>
    <w:rsid w:val="345B704C"/>
    <w:rsid w:val="345F474C"/>
    <w:rsid w:val="34643A8E"/>
    <w:rsid w:val="346502A0"/>
    <w:rsid w:val="34654074"/>
    <w:rsid w:val="346855D2"/>
    <w:rsid w:val="346E60BF"/>
    <w:rsid w:val="3474193F"/>
    <w:rsid w:val="347433A9"/>
    <w:rsid w:val="34757352"/>
    <w:rsid w:val="347E1F2E"/>
    <w:rsid w:val="34840D46"/>
    <w:rsid w:val="348B7AF8"/>
    <w:rsid w:val="348E007A"/>
    <w:rsid w:val="349062A4"/>
    <w:rsid w:val="34943FE8"/>
    <w:rsid w:val="349A6504"/>
    <w:rsid w:val="349B3CD0"/>
    <w:rsid w:val="34A0563F"/>
    <w:rsid w:val="34A53364"/>
    <w:rsid w:val="34A810F5"/>
    <w:rsid w:val="34AE6E26"/>
    <w:rsid w:val="34B17BC4"/>
    <w:rsid w:val="34B43629"/>
    <w:rsid w:val="34B63D16"/>
    <w:rsid w:val="34B73377"/>
    <w:rsid w:val="34BB756E"/>
    <w:rsid w:val="34C47BD9"/>
    <w:rsid w:val="34C51E90"/>
    <w:rsid w:val="34C6254D"/>
    <w:rsid w:val="34CD453E"/>
    <w:rsid w:val="34CD4677"/>
    <w:rsid w:val="34CD5AF1"/>
    <w:rsid w:val="34D20355"/>
    <w:rsid w:val="34D6336C"/>
    <w:rsid w:val="34D65035"/>
    <w:rsid w:val="34D921DA"/>
    <w:rsid w:val="34DD593A"/>
    <w:rsid w:val="34DD7A19"/>
    <w:rsid w:val="34E471D7"/>
    <w:rsid w:val="34F305DE"/>
    <w:rsid w:val="34F37A8A"/>
    <w:rsid w:val="34F51F3E"/>
    <w:rsid w:val="34F65F4F"/>
    <w:rsid w:val="34F93901"/>
    <w:rsid w:val="34FD36E3"/>
    <w:rsid w:val="34FF500C"/>
    <w:rsid w:val="35072BE1"/>
    <w:rsid w:val="35125187"/>
    <w:rsid w:val="35165AEB"/>
    <w:rsid w:val="35166076"/>
    <w:rsid w:val="351A24E7"/>
    <w:rsid w:val="35222AA9"/>
    <w:rsid w:val="352426FD"/>
    <w:rsid w:val="35262A6D"/>
    <w:rsid w:val="352B0250"/>
    <w:rsid w:val="352C5F1C"/>
    <w:rsid w:val="353079A7"/>
    <w:rsid w:val="35316273"/>
    <w:rsid w:val="35323EB6"/>
    <w:rsid w:val="35342873"/>
    <w:rsid w:val="35365552"/>
    <w:rsid w:val="35385B24"/>
    <w:rsid w:val="353A0493"/>
    <w:rsid w:val="353C245D"/>
    <w:rsid w:val="353D3299"/>
    <w:rsid w:val="353D498A"/>
    <w:rsid w:val="353F69C0"/>
    <w:rsid w:val="355650FF"/>
    <w:rsid w:val="355750F9"/>
    <w:rsid w:val="35577C83"/>
    <w:rsid w:val="35592A24"/>
    <w:rsid w:val="355A3FEF"/>
    <w:rsid w:val="355B072E"/>
    <w:rsid w:val="355F5C4F"/>
    <w:rsid w:val="3565074F"/>
    <w:rsid w:val="3568116A"/>
    <w:rsid w:val="356C7836"/>
    <w:rsid w:val="35704472"/>
    <w:rsid w:val="35765D6A"/>
    <w:rsid w:val="35766C67"/>
    <w:rsid w:val="357A3585"/>
    <w:rsid w:val="357C59CE"/>
    <w:rsid w:val="357D57B4"/>
    <w:rsid w:val="357E5C96"/>
    <w:rsid w:val="357F7141"/>
    <w:rsid w:val="35825EC4"/>
    <w:rsid w:val="3583585A"/>
    <w:rsid w:val="35843E04"/>
    <w:rsid w:val="3584502A"/>
    <w:rsid w:val="358764A1"/>
    <w:rsid w:val="358B100D"/>
    <w:rsid w:val="358C4525"/>
    <w:rsid w:val="35913831"/>
    <w:rsid w:val="359B262A"/>
    <w:rsid w:val="359C7633"/>
    <w:rsid w:val="359E54B6"/>
    <w:rsid w:val="359F108B"/>
    <w:rsid w:val="359F27C8"/>
    <w:rsid w:val="35A13100"/>
    <w:rsid w:val="35A6324E"/>
    <w:rsid w:val="35A653BD"/>
    <w:rsid w:val="35A71DC1"/>
    <w:rsid w:val="35A86A40"/>
    <w:rsid w:val="35AB365F"/>
    <w:rsid w:val="35AC48A8"/>
    <w:rsid w:val="35AE2C2F"/>
    <w:rsid w:val="35AF0719"/>
    <w:rsid w:val="35AF441E"/>
    <w:rsid w:val="35B12858"/>
    <w:rsid w:val="35BC26AF"/>
    <w:rsid w:val="35C60BB6"/>
    <w:rsid w:val="35C7269F"/>
    <w:rsid w:val="35C7577C"/>
    <w:rsid w:val="35CB37E1"/>
    <w:rsid w:val="35CD19E5"/>
    <w:rsid w:val="35CF415A"/>
    <w:rsid w:val="35D2488B"/>
    <w:rsid w:val="35D30CD8"/>
    <w:rsid w:val="35D701A3"/>
    <w:rsid w:val="35D81647"/>
    <w:rsid w:val="35DB2ECF"/>
    <w:rsid w:val="35DC7EE1"/>
    <w:rsid w:val="35E601F3"/>
    <w:rsid w:val="35E8145A"/>
    <w:rsid w:val="35E96E8B"/>
    <w:rsid w:val="35EE56FF"/>
    <w:rsid w:val="35F42EF9"/>
    <w:rsid w:val="35F75068"/>
    <w:rsid w:val="36006459"/>
    <w:rsid w:val="36056E95"/>
    <w:rsid w:val="360A1145"/>
    <w:rsid w:val="360B0081"/>
    <w:rsid w:val="361300D1"/>
    <w:rsid w:val="361340E4"/>
    <w:rsid w:val="36172ABC"/>
    <w:rsid w:val="361D1620"/>
    <w:rsid w:val="361D2C1D"/>
    <w:rsid w:val="361D3403"/>
    <w:rsid w:val="36232005"/>
    <w:rsid w:val="362443A2"/>
    <w:rsid w:val="3624656E"/>
    <w:rsid w:val="362F5FC3"/>
    <w:rsid w:val="362F634A"/>
    <w:rsid w:val="3637201B"/>
    <w:rsid w:val="363A4E72"/>
    <w:rsid w:val="364153F8"/>
    <w:rsid w:val="364827A2"/>
    <w:rsid w:val="364A582B"/>
    <w:rsid w:val="364E7B2B"/>
    <w:rsid w:val="364F0B77"/>
    <w:rsid w:val="364F5093"/>
    <w:rsid w:val="36502948"/>
    <w:rsid w:val="36540BF4"/>
    <w:rsid w:val="36586BD5"/>
    <w:rsid w:val="36587ED1"/>
    <w:rsid w:val="365B5E05"/>
    <w:rsid w:val="365C39CE"/>
    <w:rsid w:val="36636284"/>
    <w:rsid w:val="36676DB2"/>
    <w:rsid w:val="366A4A96"/>
    <w:rsid w:val="366B5E73"/>
    <w:rsid w:val="366D6F89"/>
    <w:rsid w:val="367249D5"/>
    <w:rsid w:val="3674586A"/>
    <w:rsid w:val="3674687C"/>
    <w:rsid w:val="36757B9E"/>
    <w:rsid w:val="3677091D"/>
    <w:rsid w:val="367A04BD"/>
    <w:rsid w:val="367E292A"/>
    <w:rsid w:val="368258C1"/>
    <w:rsid w:val="36874749"/>
    <w:rsid w:val="36880061"/>
    <w:rsid w:val="368E6FAD"/>
    <w:rsid w:val="36905EE3"/>
    <w:rsid w:val="369534CE"/>
    <w:rsid w:val="36971D54"/>
    <w:rsid w:val="369A53BC"/>
    <w:rsid w:val="369B76C4"/>
    <w:rsid w:val="369E00C5"/>
    <w:rsid w:val="369F71ED"/>
    <w:rsid w:val="36A17F58"/>
    <w:rsid w:val="36AA7CFD"/>
    <w:rsid w:val="36B54FB7"/>
    <w:rsid w:val="36B76861"/>
    <w:rsid w:val="36B9611E"/>
    <w:rsid w:val="36B97A51"/>
    <w:rsid w:val="36BA7832"/>
    <w:rsid w:val="36BC6728"/>
    <w:rsid w:val="36BF492F"/>
    <w:rsid w:val="36C26722"/>
    <w:rsid w:val="36CC15BF"/>
    <w:rsid w:val="36D0585A"/>
    <w:rsid w:val="36D13C6B"/>
    <w:rsid w:val="36D53248"/>
    <w:rsid w:val="36D74F16"/>
    <w:rsid w:val="36E1199E"/>
    <w:rsid w:val="36E14E88"/>
    <w:rsid w:val="36E25286"/>
    <w:rsid w:val="36EA1140"/>
    <w:rsid w:val="36F268D2"/>
    <w:rsid w:val="36F40795"/>
    <w:rsid w:val="36F524D1"/>
    <w:rsid w:val="36F875B2"/>
    <w:rsid w:val="36FB7F76"/>
    <w:rsid w:val="370176FC"/>
    <w:rsid w:val="37060F75"/>
    <w:rsid w:val="37081B57"/>
    <w:rsid w:val="370C365D"/>
    <w:rsid w:val="3716187B"/>
    <w:rsid w:val="371D185E"/>
    <w:rsid w:val="371F35C1"/>
    <w:rsid w:val="37211774"/>
    <w:rsid w:val="372124CB"/>
    <w:rsid w:val="3723586C"/>
    <w:rsid w:val="372A438C"/>
    <w:rsid w:val="372D0475"/>
    <w:rsid w:val="37305553"/>
    <w:rsid w:val="37344829"/>
    <w:rsid w:val="37366426"/>
    <w:rsid w:val="373B3C41"/>
    <w:rsid w:val="374714AB"/>
    <w:rsid w:val="374867EC"/>
    <w:rsid w:val="374B6844"/>
    <w:rsid w:val="374B7966"/>
    <w:rsid w:val="37526EDB"/>
    <w:rsid w:val="37563EFC"/>
    <w:rsid w:val="375C735A"/>
    <w:rsid w:val="375E6C3B"/>
    <w:rsid w:val="37693C1D"/>
    <w:rsid w:val="376D459A"/>
    <w:rsid w:val="376F19EF"/>
    <w:rsid w:val="377111AC"/>
    <w:rsid w:val="37717260"/>
    <w:rsid w:val="377417DF"/>
    <w:rsid w:val="377459E4"/>
    <w:rsid w:val="37755084"/>
    <w:rsid w:val="377C2C2B"/>
    <w:rsid w:val="378056A7"/>
    <w:rsid w:val="37832488"/>
    <w:rsid w:val="37836A30"/>
    <w:rsid w:val="37846447"/>
    <w:rsid w:val="37863877"/>
    <w:rsid w:val="37890F15"/>
    <w:rsid w:val="378B42DB"/>
    <w:rsid w:val="379017D4"/>
    <w:rsid w:val="3790473F"/>
    <w:rsid w:val="37961B43"/>
    <w:rsid w:val="37A53257"/>
    <w:rsid w:val="37A806EE"/>
    <w:rsid w:val="37A84FCD"/>
    <w:rsid w:val="37AD2349"/>
    <w:rsid w:val="37B24C69"/>
    <w:rsid w:val="37B2580B"/>
    <w:rsid w:val="37B86E3A"/>
    <w:rsid w:val="37BA2DF5"/>
    <w:rsid w:val="37BB2402"/>
    <w:rsid w:val="37C04CA6"/>
    <w:rsid w:val="37C375D0"/>
    <w:rsid w:val="37C77C92"/>
    <w:rsid w:val="37CB1876"/>
    <w:rsid w:val="37CD4B39"/>
    <w:rsid w:val="37CF5001"/>
    <w:rsid w:val="37D01583"/>
    <w:rsid w:val="37D83A2B"/>
    <w:rsid w:val="37DB688A"/>
    <w:rsid w:val="37DB770C"/>
    <w:rsid w:val="37DD1136"/>
    <w:rsid w:val="37E00F7B"/>
    <w:rsid w:val="37EC2A30"/>
    <w:rsid w:val="37F43A56"/>
    <w:rsid w:val="37F53346"/>
    <w:rsid w:val="37FC2CFF"/>
    <w:rsid w:val="37FE0C2E"/>
    <w:rsid w:val="37FF14F7"/>
    <w:rsid w:val="38002AD2"/>
    <w:rsid w:val="38004663"/>
    <w:rsid w:val="38066C9F"/>
    <w:rsid w:val="38075A49"/>
    <w:rsid w:val="38110EE5"/>
    <w:rsid w:val="38157498"/>
    <w:rsid w:val="3816723A"/>
    <w:rsid w:val="38213B8C"/>
    <w:rsid w:val="38253B1E"/>
    <w:rsid w:val="382E402F"/>
    <w:rsid w:val="38303B12"/>
    <w:rsid w:val="38303CB5"/>
    <w:rsid w:val="383230A8"/>
    <w:rsid w:val="38343117"/>
    <w:rsid w:val="38364FE0"/>
    <w:rsid w:val="383672CF"/>
    <w:rsid w:val="38374C50"/>
    <w:rsid w:val="383A49D4"/>
    <w:rsid w:val="384300CE"/>
    <w:rsid w:val="38475E73"/>
    <w:rsid w:val="38547C6E"/>
    <w:rsid w:val="3869262F"/>
    <w:rsid w:val="387006C3"/>
    <w:rsid w:val="38761D98"/>
    <w:rsid w:val="387B795E"/>
    <w:rsid w:val="387D6C42"/>
    <w:rsid w:val="38817B6E"/>
    <w:rsid w:val="388247FB"/>
    <w:rsid w:val="38826CAC"/>
    <w:rsid w:val="38853655"/>
    <w:rsid w:val="38873708"/>
    <w:rsid w:val="388B6A65"/>
    <w:rsid w:val="38907A21"/>
    <w:rsid w:val="389344D2"/>
    <w:rsid w:val="38970008"/>
    <w:rsid w:val="38976FC2"/>
    <w:rsid w:val="38995E18"/>
    <w:rsid w:val="38997C1B"/>
    <w:rsid w:val="38A44E40"/>
    <w:rsid w:val="38A547BD"/>
    <w:rsid w:val="38A61104"/>
    <w:rsid w:val="38A820EC"/>
    <w:rsid w:val="38AA422D"/>
    <w:rsid w:val="38AA4C39"/>
    <w:rsid w:val="38AA50F0"/>
    <w:rsid w:val="38AC5DC8"/>
    <w:rsid w:val="38AE7E32"/>
    <w:rsid w:val="38B46B96"/>
    <w:rsid w:val="38B517DA"/>
    <w:rsid w:val="38B64D0B"/>
    <w:rsid w:val="38B76B7E"/>
    <w:rsid w:val="38C0417C"/>
    <w:rsid w:val="38C90DF5"/>
    <w:rsid w:val="38CC0EBC"/>
    <w:rsid w:val="38D36C52"/>
    <w:rsid w:val="38D5037B"/>
    <w:rsid w:val="38DB5F3E"/>
    <w:rsid w:val="38DE0B54"/>
    <w:rsid w:val="38E15D8D"/>
    <w:rsid w:val="38E16B2C"/>
    <w:rsid w:val="38E4707B"/>
    <w:rsid w:val="38E61989"/>
    <w:rsid w:val="38E86090"/>
    <w:rsid w:val="38EA2ABC"/>
    <w:rsid w:val="38EF3BFA"/>
    <w:rsid w:val="38F61FF6"/>
    <w:rsid w:val="38FC71BF"/>
    <w:rsid w:val="38FD1A90"/>
    <w:rsid w:val="38FD7CC0"/>
    <w:rsid w:val="39051C7C"/>
    <w:rsid w:val="39073E58"/>
    <w:rsid w:val="39100FE5"/>
    <w:rsid w:val="39136C64"/>
    <w:rsid w:val="39175461"/>
    <w:rsid w:val="391B0773"/>
    <w:rsid w:val="391D49DD"/>
    <w:rsid w:val="39237FC4"/>
    <w:rsid w:val="3929783E"/>
    <w:rsid w:val="392B77DA"/>
    <w:rsid w:val="392C2353"/>
    <w:rsid w:val="392F0F0E"/>
    <w:rsid w:val="39316B6D"/>
    <w:rsid w:val="39333D76"/>
    <w:rsid w:val="39383CF7"/>
    <w:rsid w:val="393C4347"/>
    <w:rsid w:val="393D72FD"/>
    <w:rsid w:val="393E1AF4"/>
    <w:rsid w:val="393E3A8D"/>
    <w:rsid w:val="393E547B"/>
    <w:rsid w:val="394131BB"/>
    <w:rsid w:val="39451447"/>
    <w:rsid w:val="394571F3"/>
    <w:rsid w:val="39487B7D"/>
    <w:rsid w:val="394A6E66"/>
    <w:rsid w:val="394B4F89"/>
    <w:rsid w:val="39506D37"/>
    <w:rsid w:val="39553944"/>
    <w:rsid w:val="395A4058"/>
    <w:rsid w:val="395B3EFF"/>
    <w:rsid w:val="395C3DAB"/>
    <w:rsid w:val="395D6297"/>
    <w:rsid w:val="39630D50"/>
    <w:rsid w:val="396737BC"/>
    <w:rsid w:val="39685895"/>
    <w:rsid w:val="39696794"/>
    <w:rsid w:val="396A3C6B"/>
    <w:rsid w:val="396D06F5"/>
    <w:rsid w:val="396D2036"/>
    <w:rsid w:val="396E5C6B"/>
    <w:rsid w:val="3976226A"/>
    <w:rsid w:val="397C25F1"/>
    <w:rsid w:val="397D7A53"/>
    <w:rsid w:val="397E52F4"/>
    <w:rsid w:val="397E610C"/>
    <w:rsid w:val="397F7925"/>
    <w:rsid w:val="39853658"/>
    <w:rsid w:val="39885150"/>
    <w:rsid w:val="398E6EEF"/>
    <w:rsid w:val="39901B4C"/>
    <w:rsid w:val="39912138"/>
    <w:rsid w:val="39923B3F"/>
    <w:rsid w:val="399262FC"/>
    <w:rsid w:val="399940AE"/>
    <w:rsid w:val="399A06FA"/>
    <w:rsid w:val="399A391E"/>
    <w:rsid w:val="399F12CF"/>
    <w:rsid w:val="399F31FA"/>
    <w:rsid w:val="39A04E64"/>
    <w:rsid w:val="39A17FCB"/>
    <w:rsid w:val="39A462EE"/>
    <w:rsid w:val="39A60094"/>
    <w:rsid w:val="39AA232F"/>
    <w:rsid w:val="39AC40E2"/>
    <w:rsid w:val="39B45FCB"/>
    <w:rsid w:val="39B9527D"/>
    <w:rsid w:val="39BF18AF"/>
    <w:rsid w:val="39BF3AF1"/>
    <w:rsid w:val="39C01083"/>
    <w:rsid w:val="39C640C7"/>
    <w:rsid w:val="39C96E51"/>
    <w:rsid w:val="39CB484E"/>
    <w:rsid w:val="39CC259E"/>
    <w:rsid w:val="39CD2902"/>
    <w:rsid w:val="39CF4B1F"/>
    <w:rsid w:val="39D01ED5"/>
    <w:rsid w:val="39D53AAE"/>
    <w:rsid w:val="39D86960"/>
    <w:rsid w:val="39DA2E2A"/>
    <w:rsid w:val="39DF62F3"/>
    <w:rsid w:val="39E35781"/>
    <w:rsid w:val="39E55382"/>
    <w:rsid w:val="39EA63EE"/>
    <w:rsid w:val="39EC3059"/>
    <w:rsid w:val="39EF0DF1"/>
    <w:rsid w:val="39EF4E7E"/>
    <w:rsid w:val="39F46053"/>
    <w:rsid w:val="39F56E66"/>
    <w:rsid w:val="39FA797B"/>
    <w:rsid w:val="39FC3ECE"/>
    <w:rsid w:val="39FE13EC"/>
    <w:rsid w:val="3A012B4C"/>
    <w:rsid w:val="3A03665E"/>
    <w:rsid w:val="3A045513"/>
    <w:rsid w:val="3A05518F"/>
    <w:rsid w:val="3A075775"/>
    <w:rsid w:val="3A1031A8"/>
    <w:rsid w:val="3A122BC4"/>
    <w:rsid w:val="3A1643A0"/>
    <w:rsid w:val="3A1B4FF3"/>
    <w:rsid w:val="3A1C334B"/>
    <w:rsid w:val="3A1E5DD7"/>
    <w:rsid w:val="3A204A38"/>
    <w:rsid w:val="3A275099"/>
    <w:rsid w:val="3A28225D"/>
    <w:rsid w:val="3A284282"/>
    <w:rsid w:val="3A2937CA"/>
    <w:rsid w:val="3A300106"/>
    <w:rsid w:val="3A361646"/>
    <w:rsid w:val="3A3E13B0"/>
    <w:rsid w:val="3A407E11"/>
    <w:rsid w:val="3A41679B"/>
    <w:rsid w:val="3A464994"/>
    <w:rsid w:val="3A472E46"/>
    <w:rsid w:val="3A4B1BA4"/>
    <w:rsid w:val="3A4C40C8"/>
    <w:rsid w:val="3A4D0C68"/>
    <w:rsid w:val="3A511702"/>
    <w:rsid w:val="3A565DAA"/>
    <w:rsid w:val="3A593A3F"/>
    <w:rsid w:val="3A5B6537"/>
    <w:rsid w:val="3A5D2737"/>
    <w:rsid w:val="3A6013E4"/>
    <w:rsid w:val="3A6C45B1"/>
    <w:rsid w:val="3A6F7502"/>
    <w:rsid w:val="3A716D16"/>
    <w:rsid w:val="3A7C717E"/>
    <w:rsid w:val="3A827511"/>
    <w:rsid w:val="3A875FD0"/>
    <w:rsid w:val="3A8B6C6D"/>
    <w:rsid w:val="3A8D6207"/>
    <w:rsid w:val="3A8E47C8"/>
    <w:rsid w:val="3A8E72C1"/>
    <w:rsid w:val="3A915755"/>
    <w:rsid w:val="3A922CE4"/>
    <w:rsid w:val="3A9370EA"/>
    <w:rsid w:val="3A947D3D"/>
    <w:rsid w:val="3A955166"/>
    <w:rsid w:val="3AA00EAC"/>
    <w:rsid w:val="3AA23094"/>
    <w:rsid w:val="3AAC07D9"/>
    <w:rsid w:val="3AB03885"/>
    <w:rsid w:val="3AB21BBA"/>
    <w:rsid w:val="3AB2546C"/>
    <w:rsid w:val="3AB51B1B"/>
    <w:rsid w:val="3AB70773"/>
    <w:rsid w:val="3AB920F3"/>
    <w:rsid w:val="3ABE0C7E"/>
    <w:rsid w:val="3AC26352"/>
    <w:rsid w:val="3AC5081D"/>
    <w:rsid w:val="3AC55235"/>
    <w:rsid w:val="3ACD4CEC"/>
    <w:rsid w:val="3AD202E1"/>
    <w:rsid w:val="3AD54B21"/>
    <w:rsid w:val="3AD62A0C"/>
    <w:rsid w:val="3AD640E4"/>
    <w:rsid w:val="3ADB0AEC"/>
    <w:rsid w:val="3ADB4C8D"/>
    <w:rsid w:val="3ADC1A2A"/>
    <w:rsid w:val="3ADF23F0"/>
    <w:rsid w:val="3AE13945"/>
    <w:rsid w:val="3AE35D5F"/>
    <w:rsid w:val="3AEC4470"/>
    <w:rsid w:val="3AF14116"/>
    <w:rsid w:val="3AF26FFC"/>
    <w:rsid w:val="3AF552D5"/>
    <w:rsid w:val="3AF71BA7"/>
    <w:rsid w:val="3AF9674C"/>
    <w:rsid w:val="3AFA04B0"/>
    <w:rsid w:val="3AFA334E"/>
    <w:rsid w:val="3B01460E"/>
    <w:rsid w:val="3B076048"/>
    <w:rsid w:val="3B0C5CC0"/>
    <w:rsid w:val="3B105674"/>
    <w:rsid w:val="3B110E75"/>
    <w:rsid w:val="3B130CAD"/>
    <w:rsid w:val="3B146383"/>
    <w:rsid w:val="3B1A1ED7"/>
    <w:rsid w:val="3B24362A"/>
    <w:rsid w:val="3B274764"/>
    <w:rsid w:val="3B290ED4"/>
    <w:rsid w:val="3B2D53CC"/>
    <w:rsid w:val="3B373D56"/>
    <w:rsid w:val="3B377CB5"/>
    <w:rsid w:val="3B3A7D7C"/>
    <w:rsid w:val="3B3D2647"/>
    <w:rsid w:val="3B3E4CA8"/>
    <w:rsid w:val="3B455303"/>
    <w:rsid w:val="3B4717E8"/>
    <w:rsid w:val="3B480CD7"/>
    <w:rsid w:val="3B507BAE"/>
    <w:rsid w:val="3B527AB0"/>
    <w:rsid w:val="3B5460A8"/>
    <w:rsid w:val="3B554279"/>
    <w:rsid w:val="3B567413"/>
    <w:rsid w:val="3B6328A8"/>
    <w:rsid w:val="3B63346D"/>
    <w:rsid w:val="3B676D5C"/>
    <w:rsid w:val="3B71087E"/>
    <w:rsid w:val="3B786276"/>
    <w:rsid w:val="3B7A0D51"/>
    <w:rsid w:val="3B84035B"/>
    <w:rsid w:val="3B86642F"/>
    <w:rsid w:val="3B8A4688"/>
    <w:rsid w:val="3B9A3DB2"/>
    <w:rsid w:val="3B9A52E3"/>
    <w:rsid w:val="3BA024D9"/>
    <w:rsid w:val="3BA512CA"/>
    <w:rsid w:val="3BB219DE"/>
    <w:rsid w:val="3BBA0781"/>
    <w:rsid w:val="3BBC10EF"/>
    <w:rsid w:val="3BBD6A23"/>
    <w:rsid w:val="3BBF410E"/>
    <w:rsid w:val="3BC4519B"/>
    <w:rsid w:val="3BC46D08"/>
    <w:rsid w:val="3BC4762A"/>
    <w:rsid w:val="3BC93048"/>
    <w:rsid w:val="3BC9431F"/>
    <w:rsid w:val="3BCD75A4"/>
    <w:rsid w:val="3BD333C1"/>
    <w:rsid w:val="3BD41DE3"/>
    <w:rsid w:val="3BD87B5A"/>
    <w:rsid w:val="3BDA0D25"/>
    <w:rsid w:val="3BDB0BA2"/>
    <w:rsid w:val="3BDC46D6"/>
    <w:rsid w:val="3BE57D40"/>
    <w:rsid w:val="3BE64ED1"/>
    <w:rsid w:val="3BEB0EE6"/>
    <w:rsid w:val="3BEB20C3"/>
    <w:rsid w:val="3BF32331"/>
    <w:rsid w:val="3BF406EC"/>
    <w:rsid w:val="3BF42CFF"/>
    <w:rsid w:val="3BF72984"/>
    <w:rsid w:val="3BF77D31"/>
    <w:rsid w:val="3BFC6E44"/>
    <w:rsid w:val="3C003579"/>
    <w:rsid w:val="3C013308"/>
    <w:rsid w:val="3C015F74"/>
    <w:rsid w:val="3C0907C2"/>
    <w:rsid w:val="3C09350D"/>
    <w:rsid w:val="3C112866"/>
    <w:rsid w:val="3C1341B4"/>
    <w:rsid w:val="3C194250"/>
    <w:rsid w:val="3C1A132E"/>
    <w:rsid w:val="3C1E0CE3"/>
    <w:rsid w:val="3C1E4724"/>
    <w:rsid w:val="3C2F583F"/>
    <w:rsid w:val="3C317DC0"/>
    <w:rsid w:val="3C340B40"/>
    <w:rsid w:val="3C373F74"/>
    <w:rsid w:val="3C39176E"/>
    <w:rsid w:val="3C3D7D22"/>
    <w:rsid w:val="3C407A84"/>
    <w:rsid w:val="3C47623C"/>
    <w:rsid w:val="3C4E19C9"/>
    <w:rsid w:val="3C4F0FFD"/>
    <w:rsid w:val="3C5117EB"/>
    <w:rsid w:val="3C520858"/>
    <w:rsid w:val="3C545572"/>
    <w:rsid w:val="3C56750B"/>
    <w:rsid w:val="3C5C0100"/>
    <w:rsid w:val="3C5D285D"/>
    <w:rsid w:val="3C5F71CF"/>
    <w:rsid w:val="3C6932B0"/>
    <w:rsid w:val="3C6E4F0D"/>
    <w:rsid w:val="3C702AC9"/>
    <w:rsid w:val="3C7334DB"/>
    <w:rsid w:val="3C74094C"/>
    <w:rsid w:val="3C7846FA"/>
    <w:rsid w:val="3C8509B1"/>
    <w:rsid w:val="3C8844B5"/>
    <w:rsid w:val="3C8C0C75"/>
    <w:rsid w:val="3C917A14"/>
    <w:rsid w:val="3C945389"/>
    <w:rsid w:val="3C953540"/>
    <w:rsid w:val="3C955BBF"/>
    <w:rsid w:val="3C9835D9"/>
    <w:rsid w:val="3C9B726A"/>
    <w:rsid w:val="3C9C0A64"/>
    <w:rsid w:val="3C9E71A9"/>
    <w:rsid w:val="3CA31BC2"/>
    <w:rsid w:val="3CA91DAB"/>
    <w:rsid w:val="3CAB0FC7"/>
    <w:rsid w:val="3CAD31CE"/>
    <w:rsid w:val="3CB30BD6"/>
    <w:rsid w:val="3CB5738A"/>
    <w:rsid w:val="3CB6196E"/>
    <w:rsid w:val="3CB80D45"/>
    <w:rsid w:val="3CB82760"/>
    <w:rsid w:val="3CBE1130"/>
    <w:rsid w:val="3CC000C5"/>
    <w:rsid w:val="3CC04069"/>
    <w:rsid w:val="3CC32A73"/>
    <w:rsid w:val="3CC55159"/>
    <w:rsid w:val="3CC6478A"/>
    <w:rsid w:val="3CC701F0"/>
    <w:rsid w:val="3CCF1E09"/>
    <w:rsid w:val="3CD775DE"/>
    <w:rsid w:val="3CDA76F9"/>
    <w:rsid w:val="3CDC5DC1"/>
    <w:rsid w:val="3CE55188"/>
    <w:rsid w:val="3CE60BF9"/>
    <w:rsid w:val="3CE6604E"/>
    <w:rsid w:val="3CEA7A91"/>
    <w:rsid w:val="3CEB734F"/>
    <w:rsid w:val="3CEB7822"/>
    <w:rsid w:val="3CEC4C5F"/>
    <w:rsid w:val="3CF11DA2"/>
    <w:rsid w:val="3CF1371C"/>
    <w:rsid w:val="3CF41806"/>
    <w:rsid w:val="3CF418EC"/>
    <w:rsid w:val="3CFE33DA"/>
    <w:rsid w:val="3D0100AB"/>
    <w:rsid w:val="3D0D36BD"/>
    <w:rsid w:val="3D1935F4"/>
    <w:rsid w:val="3D1C09B1"/>
    <w:rsid w:val="3D1E50EA"/>
    <w:rsid w:val="3D274285"/>
    <w:rsid w:val="3D2B4015"/>
    <w:rsid w:val="3D324AEA"/>
    <w:rsid w:val="3D330F67"/>
    <w:rsid w:val="3D397122"/>
    <w:rsid w:val="3D3A3234"/>
    <w:rsid w:val="3D3F2359"/>
    <w:rsid w:val="3D4104D4"/>
    <w:rsid w:val="3D410B80"/>
    <w:rsid w:val="3D430A7B"/>
    <w:rsid w:val="3D4447FD"/>
    <w:rsid w:val="3D445CE8"/>
    <w:rsid w:val="3D453416"/>
    <w:rsid w:val="3D453B4E"/>
    <w:rsid w:val="3D463869"/>
    <w:rsid w:val="3D4977B7"/>
    <w:rsid w:val="3D4B385F"/>
    <w:rsid w:val="3D4C579F"/>
    <w:rsid w:val="3D4F0694"/>
    <w:rsid w:val="3D503F23"/>
    <w:rsid w:val="3D5073A7"/>
    <w:rsid w:val="3D5630AC"/>
    <w:rsid w:val="3D566086"/>
    <w:rsid w:val="3D5D73CA"/>
    <w:rsid w:val="3D5E2258"/>
    <w:rsid w:val="3D5E6C5A"/>
    <w:rsid w:val="3D605171"/>
    <w:rsid w:val="3D626926"/>
    <w:rsid w:val="3D674068"/>
    <w:rsid w:val="3D6911E9"/>
    <w:rsid w:val="3D6B640C"/>
    <w:rsid w:val="3D705CDC"/>
    <w:rsid w:val="3D72118B"/>
    <w:rsid w:val="3D727683"/>
    <w:rsid w:val="3D791D75"/>
    <w:rsid w:val="3D7C0159"/>
    <w:rsid w:val="3D852125"/>
    <w:rsid w:val="3D884472"/>
    <w:rsid w:val="3D89020A"/>
    <w:rsid w:val="3D8A0537"/>
    <w:rsid w:val="3D8E2C24"/>
    <w:rsid w:val="3D8F606B"/>
    <w:rsid w:val="3D8F6426"/>
    <w:rsid w:val="3D965AAE"/>
    <w:rsid w:val="3D9C2CD9"/>
    <w:rsid w:val="3D9E05B1"/>
    <w:rsid w:val="3D9E3AC4"/>
    <w:rsid w:val="3DA8575E"/>
    <w:rsid w:val="3DA91A4D"/>
    <w:rsid w:val="3DAA27CD"/>
    <w:rsid w:val="3DAA56B6"/>
    <w:rsid w:val="3DB30326"/>
    <w:rsid w:val="3DB81C47"/>
    <w:rsid w:val="3DC76F84"/>
    <w:rsid w:val="3DC77ECE"/>
    <w:rsid w:val="3DC873C0"/>
    <w:rsid w:val="3DD07982"/>
    <w:rsid w:val="3DD120AA"/>
    <w:rsid w:val="3DD56925"/>
    <w:rsid w:val="3DD71926"/>
    <w:rsid w:val="3DD83428"/>
    <w:rsid w:val="3DD90F92"/>
    <w:rsid w:val="3DDA5FEC"/>
    <w:rsid w:val="3DE21618"/>
    <w:rsid w:val="3DE43719"/>
    <w:rsid w:val="3DE443A0"/>
    <w:rsid w:val="3DE95B94"/>
    <w:rsid w:val="3DEC5E90"/>
    <w:rsid w:val="3DED039C"/>
    <w:rsid w:val="3DEE7A85"/>
    <w:rsid w:val="3DEF51AE"/>
    <w:rsid w:val="3DEF6F38"/>
    <w:rsid w:val="3DF67549"/>
    <w:rsid w:val="3DFA7978"/>
    <w:rsid w:val="3DFF2D69"/>
    <w:rsid w:val="3E002D55"/>
    <w:rsid w:val="3E006F0B"/>
    <w:rsid w:val="3E0C4873"/>
    <w:rsid w:val="3E0F0F1A"/>
    <w:rsid w:val="3E10559F"/>
    <w:rsid w:val="3E137442"/>
    <w:rsid w:val="3E1E3358"/>
    <w:rsid w:val="3E2066A7"/>
    <w:rsid w:val="3E207F71"/>
    <w:rsid w:val="3E245B31"/>
    <w:rsid w:val="3E252D9F"/>
    <w:rsid w:val="3E264E01"/>
    <w:rsid w:val="3E283DBB"/>
    <w:rsid w:val="3E2D1942"/>
    <w:rsid w:val="3E380469"/>
    <w:rsid w:val="3E405A25"/>
    <w:rsid w:val="3E4146D1"/>
    <w:rsid w:val="3E5269EF"/>
    <w:rsid w:val="3E564B1E"/>
    <w:rsid w:val="3E5652DF"/>
    <w:rsid w:val="3E5D5E39"/>
    <w:rsid w:val="3E5F1298"/>
    <w:rsid w:val="3E61096A"/>
    <w:rsid w:val="3E617675"/>
    <w:rsid w:val="3E6323C0"/>
    <w:rsid w:val="3E641A8E"/>
    <w:rsid w:val="3E650906"/>
    <w:rsid w:val="3E6E2787"/>
    <w:rsid w:val="3E736950"/>
    <w:rsid w:val="3E7601FB"/>
    <w:rsid w:val="3E760D97"/>
    <w:rsid w:val="3E795381"/>
    <w:rsid w:val="3E795988"/>
    <w:rsid w:val="3E7A5966"/>
    <w:rsid w:val="3E8369A0"/>
    <w:rsid w:val="3E836EE8"/>
    <w:rsid w:val="3E872954"/>
    <w:rsid w:val="3E900AA8"/>
    <w:rsid w:val="3E963CA5"/>
    <w:rsid w:val="3E97008F"/>
    <w:rsid w:val="3E9E1338"/>
    <w:rsid w:val="3E9F35FB"/>
    <w:rsid w:val="3E9F4903"/>
    <w:rsid w:val="3EA9387E"/>
    <w:rsid w:val="3EAB4690"/>
    <w:rsid w:val="3EAC6EE5"/>
    <w:rsid w:val="3EB420CD"/>
    <w:rsid w:val="3EB64137"/>
    <w:rsid w:val="3EB70941"/>
    <w:rsid w:val="3EB87CF8"/>
    <w:rsid w:val="3EBC5C7C"/>
    <w:rsid w:val="3EBD1A7B"/>
    <w:rsid w:val="3ECC22A2"/>
    <w:rsid w:val="3ECD5C7F"/>
    <w:rsid w:val="3ECD7AB0"/>
    <w:rsid w:val="3ED2798E"/>
    <w:rsid w:val="3ED3554E"/>
    <w:rsid w:val="3ED76AE4"/>
    <w:rsid w:val="3EE379E2"/>
    <w:rsid w:val="3EEC22F5"/>
    <w:rsid w:val="3EED53DE"/>
    <w:rsid w:val="3EF02400"/>
    <w:rsid w:val="3EF1662C"/>
    <w:rsid w:val="3EFC2CC6"/>
    <w:rsid w:val="3EFE3138"/>
    <w:rsid w:val="3F01756C"/>
    <w:rsid w:val="3F0223F3"/>
    <w:rsid w:val="3F03223E"/>
    <w:rsid w:val="3F0A2A33"/>
    <w:rsid w:val="3F0B41C2"/>
    <w:rsid w:val="3F0F2FB4"/>
    <w:rsid w:val="3F122B5B"/>
    <w:rsid w:val="3F143319"/>
    <w:rsid w:val="3F171F67"/>
    <w:rsid w:val="3F182FCF"/>
    <w:rsid w:val="3F1B7772"/>
    <w:rsid w:val="3F257BCF"/>
    <w:rsid w:val="3F2806A3"/>
    <w:rsid w:val="3F28613A"/>
    <w:rsid w:val="3F2E34D1"/>
    <w:rsid w:val="3F336C5D"/>
    <w:rsid w:val="3F343AE3"/>
    <w:rsid w:val="3F3730D3"/>
    <w:rsid w:val="3F3855D6"/>
    <w:rsid w:val="3F3B7188"/>
    <w:rsid w:val="3F3F4BA7"/>
    <w:rsid w:val="3F4039FE"/>
    <w:rsid w:val="3F426C96"/>
    <w:rsid w:val="3F434EF1"/>
    <w:rsid w:val="3F444ADB"/>
    <w:rsid w:val="3F4547BE"/>
    <w:rsid w:val="3F4D2A72"/>
    <w:rsid w:val="3F4F6C52"/>
    <w:rsid w:val="3F5207C1"/>
    <w:rsid w:val="3F547EC2"/>
    <w:rsid w:val="3F571C8D"/>
    <w:rsid w:val="3F5900B0"/>
    <w:rsid w:val="3F595DC3"/>
    <w:rsid w:val="3F5B7844"/>
    <w:rsid w:val="3F636646"/>
    <w:rsid w:val="3F66317B"/>
    <w:rsid w:val="3F6A38B1"/>
    <w:rsid w:val="3F6B2413"/>
    <w:rsid w:val="3F7026B8"/>
    <w:rsid w:val="3F7136AB"/>
    <w:rsid w:val="3F742933"/>
    <w:rsid w:val="3F743693"/>
    <w:rsid w:val="3F753E77"/>
    <w:rsid w:val="3F7647C3"/>
    <w:rsid w:val="3F781209"/>
    <w:rsid w:val="3F7A51E9"/>
    <w:rsid w:val="3F7C25C4"/>
    <w:rsid w:val="3F7E44D9"/>
    <w:rsid w:val="3F7E4805"/>
    <w:rsid w:val="3F821D00"/>
    <w:rsid w:val="3F842D18"/>
    <w:rsid w:val="3F880328"/>
    <w:rsid w:val="3F88225B"/>
    <w:rsid w:val="3F8B7598"/>
    <w:rsid w:val="3F8D2987"/>
    <w:rsid w:val="3F8D4556"/>
    <w:rsid w:val="3F8E1FEF"/>
    <w:rsid w:val="3F906B77"/>
    <w:rsid w:val="3F924104"/>
    <w:rsid w:val="3F9647D8"/>
    <w:rsid w:val="3F973B15"/>
    <w:rsid w:val="3F9A0777"/>
    <w:rsid w:val="3F9C44DB"/>
    <w:rsid w:val="3F9E3331"/>
    <w:rsid w:val="3F9F30F5"/>
    <w:rsid w:val="3FA2000A"/>
    <w:rsid w:val="3FA34864"/>
    <w:rsid w:val="3FA47105"/>
    <w:rsid w:val="3FAA4644"/>
    <w:rsid w:val="3FAE792A"/>
    <w:rsid w:val="3FB06041"/>
    <w:rsid w:val="3FBB222C"/>
    <w:rsid w:val="3FBD6B90"/>
    <w:rsid w:val="3FC405F5"/>
    <w:rsid w:val="3FDA2F9E"/>
    <w:rsid w:val="3FDD2190"/>
    <w:rsid w:val="3FDF0212"/>
    <w:rsid w:val="3FDF5868"/>
    <w:rsid w:val="3FE22DDC"/>
    <w:rsid w:val="3FE367F6"/>
    <w:rsid w:val="3FE42B5D"/>
    <w:rsid w:val="3FE9242F"/>
    <w:rsid w:val="3FF102E8"/>
    <w:rsid w:val="3FF60317"/>
    <w:rsid w:val="3FF64EE3"/>
    <w:rsid w:val="3FF92C7B"/>
    <w:rsid w:val="3FFA4238"/>
    <w:rsid w:val="3FFA4663"/>
    <w:rsid w:val="3FFE59C4"/>
    <w:rsid w:val="3FFF2C83"/>
    <w:rsid w:val="400038FA"/>
    <w:rsid w:val="40024A14"/>
    <w:rsid w:val="4002739E"/>
    <w:rsid w:val="4005684D"/>
    <w:rsid w:val="40094C10"/>
    <w:rsid w:val="400D5091"/>
    <w:rsid w:val="40107687"/>
    <w:rsid w:val="4011197A"/>
    <w:rsid w:val="401176C0"/>
    <w:rsid w:val="401304B3"/>
    <w:rsid w:val="40190473"/>
    <w:rsid w:val="401E7564"/>
    <w:rsid w:val="40220414"/>
    <w:rsid w:val="40284A9E"/>
    <w:rsid w:val="402A0379"/>
    <w:rsid w:val="40375EA3"/>
    <w:rsid w:val="40394926"/>
    <w:rsid w:val="403A0CAE"/>
    <w:rsid w:val="403C2B55"/>
    <w:rsid w:val="403C3C3D"/>
    <w:rsid w:val="403D2B8F"/>
    <w:rsid w:val="403E5CDF"/>
    <w:rsid w:val="404465DC"/>
    <w:rsid w:val="404A5850"/>
    <w:rsid w:val="404B7CBA"/>
    <w:rsid w:val="404E6920"/>
    <w:rsid w:val="404F3F98"/>
    <w:rsid w:val="405062DB"/>
    <w:rsid w:val="40530697"/>
    <w:rsid w:val="405313A5"/>
    <w:rsid w:val="40554B86"/>
    <w:rsid w:val="405A1DB4"/>
    <w:rsid w:val="405A2159"/>
    <w:rsid w:val="405A322E"/>
    <w:rsid w:val="405B7536"/>
    <w:rsid w:val="40603B0F"/>
    <w:rsid w:val="40612BF9"/>
    <w:rsid w:val="4063025E"/>
    <w:rsid w:val="40631B8E"/>
    <w:rsid w:val="40653E6B"/>
    <w:rsid w:val="406916BF"/>
    <w:rsid w:val="406935FE"/>
    <w:rsid w:val="406B58B7"/>
    <w:rsid w:val="406D46EF"/>
    <w:rsid w:val="407512E1"/>
    <w:rsid w:val="40786A5B"/>
    <w:rsid w:val="407D488B"/>
    <w:rsid w:val="407E0982"/>
    <w:rsid w:val="407F4D33"/>
    <w:rsid w:val="40803743"/>
    <w:rsid w:val="40814AE1"/>
    <w:rsid w:val="40833C9D"/>
    <w:rsid w:val="408444F0"/>
    <w:rsid w:val="40856B5D"/>
    <w:rsid w:val="408607C2"/>
    <w:rsid w:val="408E6CC4"/>
    <w:rsid w:val="409E499C"/>
    <w:rsid w:val="40AA35F7"/>
    <w:rsid w:val="40AA5F6A"/>
    <w:rsid w:val="40AF4C65"/>
    <w:rsid w:val="40AF6210"/>
    <w:rsid w:val="40B07C73"/>
    <w:rsid w:val="40B10C14"/>
    <w:rsid w:val="40B15DAC"/>
    <w:rsid w:val="40B502AC"/>
    <w:rsid w:val="40BA0D71"/>
    <w:rsid w:val="40BA21A9"/>
    <w:rsid w:val="40BB31EE"/>
    <w:rsid w:val="40BE2AB8"/>
    <w:rsid w:val="40C657CD"/>
    <w:rsid w:val="40C65F1A"/>
    <w:rsid w:val="40CC5E1E"/>
    <w:rsid w:val="40CD6BCF"/>
    <w:rsid w:val="40D06458"/>
    <w:rsid w:val="40D130E2"/>
    <w:rsid w:val="40D15DA9"/>
    <w:rsid w:val="40D464D3"/>
    <w:rsid w:val="40D64097"/>
    <w:rsid w:val="40DD08FB"/>
    <w:rsid w:val="40E44E01"/>
    <w:rsid w:val="40EF06A1"/>
    <w:rsid w:val="40EF36EF"/>
    <w:rsid w:val="40F05443"/>
    <w:rsid w:val="40F63710"/>
    <w:rsid w:val="40FF1F0B"/>
    <w:rsid w:val="4102368D"/>
    <w:rsid w:val="41035B10"/>
    <w:rsid w:val="41075436"/>
    <w:rsid w:val="410B3A13"/>
    <w:rsid w:val="411D1605"/>
    <w:rsid w:val="41265D6F"/>
    <w:rsid w:val="41280287"/>
    <w:rsid w:val="4128099A"/>
    <w:rsid w:val="412F2FA0"/>
    <w:rsid w:val="413761CE"/>
    <w:rsid w:val="41404EF5"/>
    <w:rsid w:val="4141482D"/>
    <w:rsid w:val="41417A57"/>
    <w:rsid w:val="41450EF4"/>
    <w:rsid w:val="414B60C3"/>
    <w:rsid w:val="414C7125"/>
    <w:rsid w:val="41521C8D"/>
    <w:rsid w:val="41525775"/>
    <w:rsid w:val="41566DE7"/>
    <w:rsid w:val="415C1B08"/>
    <w:rsid w:val="415E4091"/>
    <w:rsid w:val="4160456A"/>
    <w:rsid w:val="4166429A"/>
    <w:rsid w:val="416A5811"/>
    <w:rsid w:val="416B2602"/>
    <w:rsid w:val="416B5E4A"/>
    <w:rsid w:val="417101F9"/>
    <w:rsid w:val="41714F02"/>
    <w:rsid w:val="417D5B3D"/>
    <w:rsid w:val="417F170B"/>
    <w:rsid w:val="41806EBC"/>
    <w:rsid w:val="41820462"/>
    <w:rsid w:val="41840D2A"/>
    <w:rsid w:val="4185282F"/>
    <w:rsid w:val="41881F40"/>
    <w:rsid w:val="418C16A9"/>
    <w:rsid w:val="418D4040"/>
    <w:rsid w:val="418F41F0"/>
    <w:rsid w:val="4190469E"/>
    <w:rsid w:val="419070E9"/>
    <w:rsid w:val="4193696D"/>
    <w:rsid w:val="4194102C"/>
    <w:rsid w:val="4195373C"/>
    <w:rsid w:val="419A1677"/>
    <w:rsid w:val="419C11B2"/>
    <w:rsid w:val="419F4526"/>
    <w:rsid w:val="41A21B98"/>
    <w:rsid w:val="41AA0429"/>
    <w:rsid w:val="41AC5DB1"/>
    <w:rsid w:val="41AF6218"/>
    <w:rsid w:val="41AF6589"/>
    <w:rsid w:val="41B06690"/>
    <w:rsid w:val="41B16896"/>
    <w:rsid w:val="41B243F8"/>
    <w:rsid w:val="41BB04B7"/>
    <w:rsid w:val="41BD0C87"/>
    <w:rsid w:val="41BD51DE"/>
    <w:rsid w:val="41C01876"/>
    <w:rsid w:val="41C03BB2"/>
    <w:rsid w:val="41C06B38"/>
    <w:rsid w:val="41C135ED"/>
    <w:rsid w:val="41C33335"/>
    <w:rsid w:val="41C521DB"/>
    <w:rsid w:val="41C57BE7"/>
    <w:rsid w:val="41C80A2F"/>
    <w:rsid w:val="41D779EC"/>
    <w:rsid w:val="41D860A1"/>
    <w:rsid w:val="41DF0F96"/>
    <w:rsid w:val="41E144F8"/>
    <w:rsid w:val="41E3699C"/>
    <w:rsid w:val="41E61988"/>
    <w:rsid w:val="41E810AD"/>
    <w:rsid w:val="41ED5058"/>
    <w:rsid w:val="41EE709C"/>
    <w:rsid w:val="41EF6FBD"/>
    <w:rsid w:val="41F06C0A"/>
    <w:rsid w:val="41F50870"/>
    <w:rsid w:val="41F57A09"/>
    <w:rsid w:val="41F62FAB"/>
    <w:rsid w:val="41FA06B5"/>
    <w:rsid w:val="41FB4846"/>
    <w:rsid w:val="41FF7877"/>
    <w:rsid w:val="42022D50"/>
    <w:rsid w:val="420329DB"/>
    <w:rsid w:val="4205507C"/>
    <w:rsid w:val="420A5DD4"/>
    <w:rsid w:val="420B54C2"/>
    <w:rsid w:val="421044CF"/>
    <w:rsid w:val="421064AA"/>
    <w:rsid w:val="4213643F"/>
    <w:rsid w:val="42144F04"/>
    <w:rsid w:val="42192ECA"/>
    <w:rsid w:val="421C297F"/>
    <w:rsid w:val="42223794"/>
    <w:rsid w:val="4224074E"/>
    <w:rsid w:val="4226693A"/>
    <w:rsid w:val="422A0CBB"/>
    <w:rsid w:val="422B0675"/>
    <w:rsid w:val="422F44DA"/>
    <w:rsid w:val="423205CE"/>
    <w:rsid w:val="42326EB7"/>
    <w:rsid w:val="423277E3"/>
    <w:rsid w:val="423A4A85"/>
    <w:rsid w:val="4243296E"/>
    <w:rsid w:val="424500AA"/>
    <w:rsid w:val="424916B5"/>
    <w:rsid w:val="424A273D"/>
    <w:rsid w:val="424B4EA6"/>
    <w:rsid w:val="424D6E36"/>
    <w:rsid w:val="42506392"/>
    <w:rsid w:val="425202B0"/>
    <w:rsid w:val="4252127F"/>
    <w:rsid w:val="425406AB"/>
    <w:rsid w:val="425C1855"/>
    <w:rsid w:val="42603C42"/>
    <w:rsid w:val="42614F80"/>
    <w:rsid w:val="426C5FFA"/>
    <w:rsid w:val="427520EF"/>
    <w:rsid w:val="427C398A"/>
    <w:rsid w:val="427C7DB5"/>
    <w:rsid w:val="427E414C"/>
    <w:rsid w:val="427F1833"/>
    <w:rsid w:val="42803588"/>
    <w:rsid w:val="4283200B"/>
    <w:rsid w:val="428421A5"/>
    <w:rsid w:val="42846890"/>
    <w:rsid w:val="42875B88"/>
    <w:rsid w:val="428E4F42"/>
    <w:rsid w:val="429245BF"/>
    <w:rsid w:val="429429D3"/>
    <w:rsid w:val="42954A66"/>
    <w:rsid w:val="4297601C"/>
    <w:rsid w:val="4298007B"/>
    <w:rsid w:val="429929A6"/>
    <w:rsid w:val="429D7D09"/>
    <w:rsid w:val="429E1532"/>
    <w:rsid w:val="42A53432"/>
    <w:rsid w:val="42AB34D0"/>
    <w:rsid w:val="42AC1ADC"/>
    <w:rsid w:val="42AD0FE5"/>
    <w:rsid w:val="42B44184"/>
    <w:rsid w:val="42B72B48"/>
    <w:rsid w:val="42B77485"/>
    <w:rsid w:val="42BC62C7"/>
    <w:rsid w:val="42BD46EE"/>
    <w:rsid w:val="42BF022A"/>
    <w:rsid w:val="42C050EF"/>
    <w:rsid w:val="42C25339"/>
    <w:rsid w:val="42CC2293"/>
    <w:rsid w:val="42D8170A"/>
    <w:rsid w:val="42D96E91"/>
    <w:rsid w:val="42DF70B2"/>
    <w:rsid w:val="42E259A5"/>
    <w:rsid w:val="42E318FF"/>
    <w:rsid w:val="42E460D1"/>
    <w:rsid w:val="42E57AA6"/>
    <w:rsid w:val="42EA6AF2"/>
    <w:rsid w:val="42EF1BB8"/>
    <w:rsid w:val="42F1224E"/>
    <w:rsid w:val="42F23E19"/>
    <w:rsid w:val="42F5257F"/>
    <w:rsid w:val="42F678B0"/>
    <w:rsid w:val="430241B2"/>
    <w:rsid w:val="430300AE"/>
    <w:rsid w:val="43046386"/>
    <w:rsid w:val="43052E82"/>
    <w:rsid w:val="43055BDC"/>
    <w:rsid w:val="430640AA"/>
    <w:rsid w:val="430756FA"/>
    <w:rsid w:val="43087BD0"/>
    <w:rsid w:val="430904AA"/>
    <w:rsid w:val="430C0BC4"/>
    <w:rsid w:val="430D6CE7"/>
    <w:rsid w:val="430F7403"/>
    <w:rsid w:val="43125ECD"/>
    <w:rsid w:val="431526D5"/>
    <w:rsid w:val="43160DAE"/>
    <w:rsid w:val="431714F4"/>
    <w:rsid w:val="431777DE"/>
    <w:rsid w:val="4319431B"/>
    <w:rsid w:val="431F0897"/>
    <w:rsid w:val="43210569"/>
    <w:rsid w:val="4322347D"/>
    <w:rsid w:val="432266C5"/>
    <w:rsid w:val="43236F0C"/>
    <w:rsid w:val="4327368D"/>
    <w:rsid w:val="43274145"/>
    <w:rsid w:val="432B3883"/>
    <w:rsid w:val="432B5D69"/>
    <w:rsid w:val="432C6FA8"/>
    <w:rsid w:val="432C7597"/>
    <w:rsid w:val="432F24E7"/>
    <w:rsid w:val="432F53AF"/>
    <w:rsid w:val="43324E9F"/>
    <w:rsid w:val="43362BE2"/>
    <w:rsid w:val="43374774"/>
    <w:rsid w:val="43387990"/>
    <w:rsid w:val="433C15B5"/>
    <w:rsid w:val="433C49C3"/>
    <w:rsid w:val="433E4463"/>
    <w:rsid w:val="4340006A"/>
    <w:rsid w:val="43400960"/>
    <w:rsid w:val="4341444C"/>
    <w:rsid w:val="43421DC8"/>
    <w:rsid w:val="43424558"/>
    <w:rsid w:val="434A3865"/>
    <w:rsid w:val="434B6672"/>
    <w:rsid w:val="434C52FF"/>
    <w:rsid w:val="434D2AC6"/>
    <w:rsid w:val="434E310B"/>
    <w:rsid w:val="434F13DC"/>
    <w:rsid w:val="43501046"/>
    <w:rsid w:val="4352365F"/>
    <w:rsid w:val="43537955"/>
    <w:rsid w:val="435720D9"/>
    <w:rsid w:val="435B1CEA"/>
    <w:rsid w:val="435F256B"/>
    <w:rsid w:val="436355CC"/>
    <w:rsid w:val="43676501"/>
    <w:rsid w:val="43773881"/>
    <w:rsid w:val="437A33A0"/>
    <w:rsid w:val="437D074A"/>
    <w:rsid w:val="437F6BC5"/>
    <w:rsid w:val="438118CB"/>
    <w:rsid w:val="438148A9"/>
    <w:rsid w:val="438A2C0C"/>
    <w:rsid w:val="43963F69"/>
    <w:rsid w:val="43977C25"/>
    <w:rsid w:val="43980533"/>
    <w:rsid w:val="439D383B"/>
    <w:rsid w:val="439E3758"/>
    <w:rsid w:val="43A21C85"/>
    <w:rsid w:val="43A238F4"/>
    <w:rsid w:val="43A32E77"/>
    <w:rsid w:val="43A41E78"/>
    <w:rsid w:val="43A43F68"/>
    <w:rsid w:val="43A46F59"/>
    <w:rsid w:val="43A61313"/>
    <w:rsid w:val="43A76E34"/>
    <w:rsid w:val="43AC02E4"/>
    <w:rsid w:val="43AC73C2"/>
    <w:rsid w:val="43AD7C79"/>
    <w:rsid w:val="43B03035"/>
    <w:rsid w:val="43B43452"/>
    <w:rsid w:val="43B6270A"/>
    <w:rsid w:val="43BF076D"/>
    <w:rsid w:val="43C024C2"/>
    <w:rsid w:val="43C90096"/>
    <w:rsid w:val="43C93761"/>
    <w:rsid w:val="43CD5603"/>
    <w:rsid w:val="43CE2661"/>
    <w:rsid w:val="43D75D25"/>
    <w:rsid w:val="43D96678"/>
    <w:rsid w:val="43D97226"/>
    <w:rsid w:val="43DF5BF7"/>
    <w:rsid w:val="43E11648"/>
    <w:rsid w:val="43E81176"/>
    <w:rsid w:val="43EB4077"/>
    <w:rsid w:val="43F10F78"/>
    <w:rsid w:val="43F45D3F"/>
    <w:rsid w:val="43F64216"/>
    <w:rsid w:val="43F81C45"/>
    <w:rsid w:val="43FD6AFD"/>
    <w:rsid w:val="4401558E"/>
    <w:rsid w:val="44020D16"/>
    <w:rsid w:val="44093589"/>
    <w:rsid w:val="440D75A1"/>
    <w:rsid w:val="44126F7F"/>
    <w:rsid w:val="44185AC3"/>
    <w:rsid w:val="441F0F5D"/>
    <w:rsid w:val="44217938"/>
    <w:rsid w:val="44236E11"/>
    <w:rsid w:val="44257547"/>
    <w:rsid w:val="442B2702"/>
    <w:rsid w:val="442B4414"/>
    <w:rsid w:val="442E26B5"/>
    <w:rsid w:val="44305CBC"/>
    <w:rsid w:val="4434118D"/>
    <w:rsid w:val="443E4E5B"/>
    <w:rsid w:val="44440850"/>
    <w:rsid w:val="4444660A"/>
    <w:rsid w:val="44490159"/>
    <w:rsid w:val="444D24EA"/>
    <w:rsid w:val="445231C1"/>
    <w:rsid w:val="4453257C"/>
    <w:rsid w:val="44541DF5"/>
    <w:rsid w:val="4455071E"/>
    <w:rsid w:val="44586DC9"/>
    <w:rsid w:val="445C37CF"/>
    <w:rsid w:val="445F716D"/>
    <w:rsid w:val="446A26F2"/>
    <w:rsid w:val="44760006"/>
    <w:rsid w:val="44775AC9"/>
    <w:rsid w:val="447920AF"/>
    <w:rsid w:val="447D42BD"/>
    <w:rsid w:val="447E6075"/>
    <w:rsid w:val="447E6CFC"/>
    <w:rsid w:val="447F1B61"/>
    <w:rsid w:val="44815F66"/>
    <w:rsid w:val="44841733"/>
    <w:rsid w:val="4487003F"/>
    <w:rsid w:val="448B5125"/>
    <w:rsid w:val="448F4713"/>
    <w:rsid w:val="44907A07"/>
    <w:rsid w:val="44997780"/>
    <w:rsid w:val="449D3770"/>
    <w:rsid w:val="449D4833"/>
    <w:rsid w:val="449F0C4A"/>
    <w:rsid w:val="44A0390E"/>
    <w:rsid w:val="44A12269"/>
    <w:rsid w:val="44A15BD5"/>
    <w:rsid w:val="44A25B2C"/>
    <w:rsid w:val="44A80532"/>
    <w:rsid w:val="44A92527"/>
    <w:rsid w:val="44A94D31"/>
    <w:rsid w:val="44A952DB"/>
    <w:rsid w:val="44A9608B"/>
    <w:rsid w:val="44AB7A82"/>
    <w:rsid w:val="44B678AA"/>
    <w:rsid w:val="44BE265D"/>
    <w:rsid w:val="44C11945"/>
    <w:rsid w:val="44C5439D"/>
    <w:rsid w:val="44CD0818"/>
    <w:rsid w:val="44CF53A1"/>
    <w:rsid w:val="44D34460"/>
    <w:rsid w:val="44D36599"/>
    <w:rsid w:val="44D7615B"/>
    <w:rsid w:val="44D81A76"/>
    <w:rsid w:val="44DA6823"/>
    <w:rsid w:val="44DB5471"/>
    <w:rsid w:val="44DE284E"/>
    <w:rsid w:val="44E6408B"/>
    <w:rsid w:val="44E77768"/>
    <w:rsid w:val="44E81922"/>
    <w:rsid w:val="44EB0E21"/>
    <w:rsid w:val="44F17439"/>
    <w:rsid w:val="44F23165"/>
    <w:rsid w:val="44F53D46"/>
    <w:rsid w:val="44FE4B6A"/>
    <w:rsid w:val="44FF7DEC"/>
    <w:rsid w:val="45072A79"/>
    <w:rsid w:val="45075883"/>
    <w:rsid w:val="450B615E"/>
    <w:rsid w:val="450E59B0"/>
    <w:rsid w:val="450F73FC"/>
    <w:rsid w:val="45140E1F"/>
    <w:rsid w:val="4514673F"/>
    <w:rsid w:val="45174C72"/>
    <w:rsid w:val="451A06C2"/>
    <w:rsid w:val="45211118"/>
    <w:rsid w:val="45246F42"/>
    <w:rsid w:val="45284772"/>
    <w:rsid w:val="45286C29"/>
    <w:rsid w:val="45292CC9"/>
    <w:rsid w:val="452956ED"/>
    <w:rsid w:val="452E2602"/>
    <w:rsid w:val="452F73AF"/>
    <w:rsid w:val="4530152E"/>
    <w:rsid w:val="45325847"/>
    <w:rsid w:val="45376572"/>
    <w:rsid w:val="4538269D"/>
    <w:rsid w:val="453A1D6B"/>
    <w:rsid w:val="453B4646"/>
    <w:rsid w:val="453E34A8"/>
    <w:rsid w:val="45444877"/>
    <w:rsid w:val="454C590B"/>
    <w:rsid w:val="45504CF4"/>
    <w:rsid w:val="45577039"/>
    <w:rsid w:val="45582BB9"/>
    <w:rsid w:val="455831E6"/>
    <w:rsid w:val="45605DBD"/>
    <w:rsid w:val="45613DF1"/>
    <w:rsid w:val="456310CF"/>
    <w:rsid w:val="45652828"/>
    <w:rsid w:val="456644A2"/>
    <w:rsid w:val="45686672"/>
    <w:rsid w:val="456A6806"/>
    <w:rsid w:val="456C2D29"/>
    <w:rsid w:val="4576317C"/>
    <w:rsid w:val="4579627D"/>
    <w:rsid w:val="457B3AF1"/>
    <w:rsid w:val="45842A9B"/>
    <w:rsid w:val="45861123"/>
    <w:rsid w:val="45892EE1"/>
    <w:rsid w:val="45895B6B"/>
    <w:rsid w:val="458A14F4"/>
    <w:rsid w:val="458C4D3B"/>
    <w:rsid w:val="458C7C0B"/>
    <w:rsid w:val="458D77FE"/>
    <w:rsid w:val="45937674"/>
    <w:rsid w:val="459B525C"/>
    <w:rsid w:val="459D1B35"/>
    <w:rsid w:val="45A2168C"/>
    <w:rsid w:val="45A45F88"/>
    <w:rsid w:val="45A6301A"/>
    <w:rsid w:val="45A7560D"/>
    <w:rsid w:val="45A80AE4"/>
    <w:rsid w:val="45A84663"/>
    <w:rsid w:val="45A935B4"/>
    <w:rsid w:val="45AF1136"/>
    <w:rsid w:val="45B1654F"/>
    <w:rsid w:val="45B17FE1"/>
    <w:rsid w:val="45B41412"/>
    <w:rsid w:val="45B446DF"/>
    <w:rsid w:val="45B67AA4"/>
    <w:rsid w:val="45BC7C74"/>
    <w:rsid w:val="45C04FF2"/>
    <w:rsid w:val="45C577D5"/>
    <w:rsid w:val="45C6562A"/>
    <w:rsid w:val="45C703D0"/>
    <w:rsid w:val="45CC35FB"/>
    <w:rsid w:val="45CD10E0"/>
    <w:rsid w:val="45D134C7"/>
    <w:rsid w:val="45D2090F"/>
    <w:rsid w:val="45D71C2C"/>
    <w:rsid w:val="45D75028"/>
    <w:rsid w:val="45E53AC3"/>
    <w:rsid w:val="45E54682"/>
    <w:rsid w:val="45E812C6"/>
    <w:rsid w:val="45F4679F"/>
    <w:rsid w:val="45F61C7B"/>
    <w:rsid w:val="45F90EC6"/>
    <w:rsid w:val="46063DB3"/>
    <w:rsid w:val="460908FE"/>
    <w:rsid w:val="460932B4"/>
    <w:rsid w:val="46113DBF"/>
    <w:rsid w:val="461364E7"/>
    <w:rsid w:val="46144D4B"/>
    <w:rsid w:val="46195EA3"/>
    <w:rsid w:val="461D7825"/>
    <w:rsid w:val="462A611E"/>
    <w:rsid w:val="462D3D8F"/>
    <w:rsid w:val="462F5B1C"/>
    <w:rsid w:val="46323424"/>
    <w:rsid w:val="46326F64"/>
    <w:rsid w:val="46346D64"/>
    <w:rsid w:val="46384A5D"/>
    <w:rsid w:val="463A3A35"/>
    <w:rsid w:val="463B2057"/>
    <w:rsid w:val="464418DF"/>
    <w:rsid w:val="46472420"/>
    <w:rsid w:val="46473E8C"/>
    <w:rsid w:val="46482C51"/>
    <w:rsid w:val="464E6CCB"/>
    <w:rsid w:val="46534B84"/>
    <w:rsid w:val="4653638C"/>
    <w:rsid w:val="465651AC"/>
    <w:rsid w:val="46577988"/>
    <w:rsid w:val="465D1EF1"/>
    <w:rsid w:val="465D66D7"/>
    <w:rsid w:val="46603266"/>
    <w:rsid w:val="466358D0"/>
    <w:rsid w:val="466C15BE"/>
    <w:rsid w:val="466D75D0"/>
    <w:rsid w:val="466E4440"/>
    <w:rsid w:val="466F321C"/>
    <w:rsid w:val="46760FEC"/>
    <w:rsid w:val="46761D17"/>
    <w:rsid w:val="46792D14"/>
    <w:rsid w:val="467B74E3"/>
    <w:rsid w:val="467F7E28"/>
    <w:rsid w:val="468568E0"/>
    <w:rsid w:val="46862F12"/>
    <w:rsid w:val="46867A50"/>
    <w:rsid w:val="46881CA0"/>
    <w:rsid w:val="468C179F"/>
    <w:rsid w:val="468E4AE3"/>
    <w:rsid w:val="46904902"/>
    <w:rsid w:val="46986611"/>
    <w:rsid w:val="469929F9"/>
    <w:rsid w:val="46A203B9"/>
    <w:rsid w:val="46A504D5"/>
    <w:rsid w:val="46A54B6E"/>
    <w:rsid w:val="46A7044B"/>
    <w:rsid w:val="46A862B4"/>
    <w:rsid w:val="46A949ED"/>
    <w:rsid w:val="46AD0B5D"/>
    <w:rsid w:val="46AF6E85"/>
    <w:rsid w:val="46B3324E"/>
    <w:rsid w:val="46BE2C90"/>
    <w:rsid w:val="46C91677"/>
    <w:rsid w:val="46CB1BCB"/>
    <w:rsid w:val="46CD4A7A"/>
    <w:rsid w:val="46D25870"/>
    <w:rsid w:val="46D8445A"/>
    <w:rsid w:val="46D9234E"/>
    <w:rsid w:val="46DA0470"/>
    <w:rsid w:val="46DC17C0"/>
    <w:rsid w:val="46DE7A9F"/>
    <w:rsid w:val="46E060FD"/>
    <w:rsid w:val="46E33AB8"/>
    <w:rsid w:val="46E853B8"/>
    <w:rsid w:val="46F637E7"/>
    <w:rsid w:val="46F65800"/>
    <w:rsid w:val="46F71DAB"/>
    <w:rsid w:val="46F77787"/>
    <w:rsid w:val="46F93C0D"/>
    <w:rsid w:val="46FD7A91"/>
    <w:rsid w:val="470079DB"/>
    <w:rsid w:val="470357AE"/>
    <w:rsid w:val="47050AEE"/>
    <w:rsid w:val="47072110"/>
    <w:rsid w:val="4708317D"/>
    <w:rsid w:val="4714364E"/>
    <w:rsid w:val="471A3B01"/>
    <w:rsid w:val="471D126E"/>
    <w:rsid w:val="471E6039"/>
    <w:rsid w:val="471E715A"/>
    <w:rsid w:val="47266DDF"/>
    <w:rsid w:val="472A7956"/>
    <w:rsid w:val="472B4F0C"/>
    <w:rsid w:val="473029B4"/>
    <w:rsid w:val="4735730C"/>
    <w:rsid w:val="47384B0F"/>
    <w:rsid w:val="473B169E"/>
    <w:rsid w:val="473C0BF7"/>
    <w:rsid w:val="474E3FA4"/>
    <w:rsid w:val="474F5EC8"/>
    <w:rsid w:val="4750741B"/>
    <w:rsid w:val="47553155"/>
    <w:rsid w:val="475573AE"/>
    <w:rsid w:val="47557D04"/>
    <w:rsid w:val="47583872"/>
    <w:rsid w:val="47590C04"/>
    <w:rsid w:val="47591571"/>
    <w:rsid w:val="475A0C4E"/>
    <w:rsid w:val="475A1D7C"/>
    <w:rsid w:val="475B74B3"/>
    <w:rsid w:val="475D4BC3"/>
    <w:rsid w:val="475F3E0C"/>
    <w:rsid w:val="47626142"/>
    <w:rsid w:val="47666555"/>
    <w:rsid w:val="47670E9F"/>
    <w:rsid w:val="476902C1"/>
    <w:rsid w:val="476D5E74"/>
    <w:rsid w:val="476E221E"/>
    <w:rsid w:val="477C3ACD"/>
    <w:rsid w:val="47823484"/>
    <w:rsid w:val="47823FD6"/>
    <w:rsid w:val="478278E4"/>
    <w:rsid w:val="47853760"/>
    <w:rsid w:val="47856D51"/>
    <w:rsid w:val="47863373"/>
    <w:rsid w:val="478A11A6"/>
    <w:rsid w:val="478A7058"/>
    <w:rsid w:val="478B7020"/>
    <w:rsid w:val="478E388F"/>
    <w:rsid w:val="478E43E6"/>
    <w:rsid w:val="479377F7"/>
    <w:rsid w:val="47945BC5"/>
    <w:rsid w:val="479D6241"/>
    <w:rsid w:val="479F1F77"/>
    <w:rsid w:val="47A31DE9"/>
    <w:rsid w:val="47A61036"/>
    <w:rsid w:val="47A83703"/>
    <w:rsid w:val="47A93263"/>
    <w:rsid w:val="47AD465A"/>
    <w:rsid w:val="47AE681F"/>
    <w:rsid w:val="47B14A98"/>
    <w:rsid w:val="47B65F86"/>
    <w:rsid w:val="47B7085E"/>
    <w:rsid w:val="47B73206"/>
    <w:rsid w:val="47B85A06"/>
    <w:rsid w:val="47BA1EFE"/>
    <w:rsid w:val="47C40A2D"/>
    <w:rsid w:val="47C6205A"/>
    <w:rsid w:val="47C74F55"/>
    <w:rsid w:val="47CD2561"/>
    <w:rsid w:val="47CF3D5C"/>
    <w:rsid w:val="47D154DB"/>
    <w:rsid w:val="47D20765"/>
    <w:rsid w:val="47DB4D6D"/>
    <w:rsid w:val="47DC72B9"/>
    <w:rsid w:val="47DE534D"/>
    <w:rsid w:val="47DF144B"/>
    <w:rsid w:val="47E46B34"/>
    <w:rsid w:val="47E51BEC"/>
    <w:rsid w:val="47E7697D"/>
    <w:rsid w:val="47E83D22"/>
    <w:rsid w:val="47EC182A"/>
    <w:rsid w:val="47EF67EB"/>
    <w:rsid w:val="47F205ED"/>
    <w:rsid w:val="47F30450"/>
    <w:rsid w:val="47FE2089"/>
    <w:rsid w:val="48020F44"/>
    <w:rsid w:val="480C3182"/>
    <w:rsid w:val="48127EE7"/>
    <w:rsid w:val="48136D06"/>
    <w:rsid w:val="48155C47"/>
    <w:rsid w:val="48195E88"/>
    <w:rsid w:val="481F49EA"/>
    <w:rsid w:val="48204024"/>
    <w:rsid w:val="482211E2"/>
    <w:rsid w:val="48224430"/>
    <w:rsid w:val="48231F88"/>
    <w:rsid w:val="48234F3A"/>
    <w:rsid w:val="48280975"/>
    <w:rsid w:val="482813A2"/>
    <w:rsid w:val="482B2917"/>
    <w:rsid w:val="483416BA"/>
    <w:rsid w:val="483714F9"/>
    <w:rsid w:val="48391F28"/>
    <w:rsid w:val="4844155C"/>
    <w:rsid w:val="48484E0B"/>
    <w:rsid w:val="484F57BB"/>
    <w:rsid w:val="48552CF2"/>
    <w:rsid w:val="485635AE"/>
    <w:rsid w:val="485B7448"/>
    <w:rsid w:val="485F13CA"/>
    <w:rsid w:val="48651C28"/>
    <w:rsid w:val="48652436"/>
    <w:rsid w:val="486C3A07"/>
    <w:rsid w:val="486C5A7A"/>
    <w:rsid w:val="486D0EE3"/>
    <w:rsid w:val="486F604D"/>
    <w:rsid w:val="487546DB"/>
    <w:rsid w:val="4878654C"/>
    <w:rsid w:val="487F587E"/>
    <w:rsid w:val="48813C7E"/>
    <w:rsid w:val="488154A2"/>
    <w:rsid w:val="48824A8C"/>
    <w:rsid w:val="488724DD"/>
    <w:rsid w:val="488B4285"/>
    <w:rsid w:val="488D7676"/>
    <w:rsid w:val="4894000C"/>
    <w:rsid w:val="48955123"/>
    <w:rsid w:val="48965EF5"/>
    <w:rsid w:val="489A7BF0"/>
    <w:rsid w:val="489D100D"/>
    <w:rsid w:val="489F5574"/>
    <w:rsid w:val="48A56114"/>
    <w:rsid w:val="48B0108B"/>
    <w:rsid w:val="48B22639"/>
    <w:rsid w:val="48B41094"/>
    <w:rsid w:val="48B94BDC"/>
    <w:rsid w:val="48BA1BBF"/>
    <w:rsid w:val="48BF6698"/>
    <w:rsid w:val="48C039F9"/>
    <w:rsid w:val="48C87F88"/>
    <w:rsid w:val="48C9726B"/>
    <w:rsid w:val="48CC0244"/>
    <w:rsid w:val="48CC4210"/>
    <w:rsid w:val="48CC6919"/>
    <w:rsid w:val="48CD53BB"/>
    <w:rsid w:val="48D52A4B"/>
    <w:rsid w:val="48D5790E"/>
    <w:rsid w:val="48D6260A"/>
    <w:rsid w:val="48DD145A"/>
    <w:rsid w:val="48DE5742"/>
    <w:rsid w:val="48E1714C"/>
    <w:rsid w:val="48E20307"/>
    <w:rsid w:val="48E7571F"/>
    <w:rsid w:val="48E76305"/>
    <w:rsid w:val="48F04C69"/>
    <w:rsid w:val="48F10D55"/>
    <w:rsid w:val="48F34523"/>
    <w:rsid w:val="48F37924"/>
    <w:rsid w:val="48F878E4"/>
    <w:rsid w:val="48FD2E11"/>
    <w:rsid w:val="48FE75F6"/>
    <w:rsid w:val="490003B1"/>
    <w:rsid w:val="49007D52"/>
    <w:rsid w:val="49041420"/>
    <w:rsid w:val="4904270E"/>
    <w:rsid w:val="49055B31"/>
    <w:rsid w:val="49115633"/>
    <w:rsid w:val="49190A89"/>
    <w:rsid w:val="491B0DFE"/>
    <w:rsid w:val="491B10D6"/>
    <w:rsid w:val="491E2640"/>
    <w:rsid w:val="4923362C"/>
    <w:rsid w:val="492957D8"/>
    <w:rsid w:val="492B78AA"/>
    <w:rsid w:val="4931798C"/>
    <w:rsid w:val="493F0807"/>
    <w:rsid w:val="4942109F"/>
    <w:rsid w:val="49464271"/>
    <w:rsid w:val="494B10E9"/>
    <w:rsid w:val="495518E8"/>
    <w:rsid w:val="495542A2"/>
    <w:rsid w:val="49562FEF"/>
    <w:rsid w:val="495B3715"/>
    <w:rsid w:val="495B5F93"/>
    <w:rsid w:val="495E0910"/>
    <w:rsid w:val="495F2883"/>
    <w:rsid w:val="496148DE"/>
    <w:rsid w:val="49655790"/>
    <w:rsid w:val="49656989"/>
    <w:rsid w:val="4966637E"/>
    <w:rsid w:val="49675E5D"/>
    <w:rsid w:val="496C23D8"/>
    <w:rsid w:val="496D5F5F"/>
    <w:rsid w:val="496E7B52"/>
    <w:rsid w:val="496F3018"/>
    <w:rsid w:val="49744EE9"/>
    <w:rsid w:val="497A651E"/>
    <w:rsid w:val="497C1682"/>
    <w:rsid w:val="497E5853"/>
    <w:rsid w:val="498651E3"/>
    <w:rsid w:val="49882C0D"/>
    <w:rsid w:val="498919A5"/>
    <w:rsid w:val="498F498D"/>
    <w:rsid w:val="49902D38"/>
    <w:rsid w:val="499043FC"/>
    <w:rsid w:val="49907440"/>
    <w:rsid w:val="499310F5"/>
    <w:rsid w:val="499E2381"/>
    <w:rsid w:val="499F45DE"/>
    <w:rsid w:val="49A04DAD"/>
    <w:rsid w:val="49A16F1E"/>
    <w:rsid w:val="49A21CDB"/>
    <w:rsid w:val="49A76639"/>
    <w:rsid w:val="49A95EC5"/>
    <w:rsid w:val="49A9639C"/>
    <w:rsid w:val="49A966D8"/>
    <w:rsid w:val="49C0403B"/>
    <w:rsid w:val="49CA1028"/>
    <w:rsid w:val="49CC4513"/>
    <w:rsid w:val="49CD2814"/>
    <w:rsid w:val="49CE5A24"/>
    <w:rsid w:val="49D965C9"/>
    <w:rsid w:val="49DA5622"/>
    <w:rsid w:val="49DD60F0"/>
    <w:rsid w:val="49DF5995"/>
    <w:rsid w:val="49E11DA3"/>
    <w:rsid w:val="49E468D7"/>
    <w:rsid w:val="49E508FB"/>
    <w:rsid w:val="49E72754"/>
    <w:rsid w:val="49EB7CFF"/>
    <w:rsid w:val="49EC6FF8"/>
    <w:rsid w:val="49F11A58"/>
    <w:rsid w:val="49F716DC"/>
    <w:rsid w:val="49F7231A"/>
    <w:rsid w:val="49F74159"/>
    <w:rsid w:val="49F9693F"/>
    <w:rsid w:val="4A0356DA"/>
    <w:rsid w:val="4A092BD3"/>
    <w:rsid w:val="4A0B1BFF"/>
    <w:rsid w:val="4A0F1770"/>
    <w:rsid w:val="4A102A07"/>
    <w:rsid w:val="4A106270"/>
    <w:rsid w:val="4A106750"/>
    <w:rsid w:val="4A12076C"/>
    <w:rsid w:val="4A1869E6"/>
    <w:rsid w:val="4A21337E"/>
    <w:rsid w:val="4A221B67"/>
    <w:rsid w:val="4A26090D"/>
    <w:rsid w:val="4A2C15C7"/>
    <w:rsid w:val="4A343F28"/>
    <w:rsid w:val="4A355568"/>
    <w:rsid w:val="4A35773F"/>
    <w:rsid w:val="4A361B9B"/>
    <w:rsid w:val="4A3809FF"/>
    <w:rsid w:val="4A390ECD"/>
    <w:rsid w:val="4A3E237C"/>
    <w:rsid w:val="4A423EDD"/>
    <w:rsid w:val="4A433F7B"/>
    <w:rsid w:val="4A4467F7"/>
    <w:rsid w:val="4A510301"/>
    <w:rsid w:val="4A5323D3"/>
    <w:rsid w:val="4A600544"/>
    <w:rsid w:val="4A6207C8"/>
    <w:rsid w:val="4A623D72"/>
    <w:rsid w:val="4A62674B"/>
    <w:rsid w:val="4A6A6C87"/>
    <w:rsid w:val="4A6B1173"/>
    <w:rsid w:val="4A704D49"/>
    <w:rsid w:val="4A751D51"/>
    <w:rsid w:val="4A771B93"/>
    <w:rsid w:val="4A80417B"/>
    <w:rsid w:val="4A811E64"/>
    <w:rsid w:val="4A8150B8"/>
    <w:rsid w:val="4A824121"/>
    <w:rsid w:val="4A842ADD"/>
    <w:rsid w:val="4A88096E"/>
    <w:rsid w:val="4A8B7C2D"/>
    <w:rsid w:val="4A8C6B75"/>
    <w:rsid w:val="4A8D2B8A"/>
    <w:rsid w:val="4A8E3DCF"/>
    <w:rsid w:val="4A8F0DD1"/>
    <w:rsid w:val="4A8F1375"/>
    <w:rsid w:val="4A907A2D"/>
    <w:rsid w:val="4A925919"/>
    <w:rsid w:val="4A955EC0"/>
    <w:rsid w:val="4A9562A1"/>
    <w:rsid w:val="4A957E14"/>
    <w:rsid w:val="4A9B5096"/>
    <w:rsid w:val="4AAE17FE"/>
    <w:rsid w:val="4AB3338C"/>
    <w:rsid w:val="4AB3384A"/>
    <w:rsid w:val="4AB366F8"/>
    <w:rsid w:val="4AB61A4A"/>
    <w:rsid w:val="4ABD5ABB"/>
    <w:rsid w:val="4ABF6776"/>
    <w:rsid w:val="4AC033FB"/>
    <w:rsid w:val="4AC464DC"/>
    <w:rsid w:val="4AC52B47"/>
    <w:rsid w:val="4AC653E8"/>
    <w:rsid w:val="4AC82D10"/>
    <w:rsid w:val="4ACE1424"/>
    <w:rsid w:val="4AD15D2F"/>
    <w:rsid w:val="4AE0549D"/>
    <w:rsid w:val="4AE74C02"/>
    <w:rsid w:val="4AE80FC6"/>
    <w:rsid w:val="4AEC0385"/>
    <w:rsid w:val="4AEC541D"/>
    <w:rsid w:val="4AEE2A21"/>
    <w:rsid w:val="4AEF11A0"/>
    <w:rsid w:val="4AF13DFA"/>
    <w:rsid w:val="4AF5649D"/>
    <w:rsid w:val="4AFA5617"/>
    <w:rsid w:val="4B05468E"/>
    <w:rsid w:val="4B071AEE"/>
    <w:rsid w:val="4B0C0AA6"/>
    <w:rsid w:val="4B0C692F"/>
    <w:rsid w:val="4B0D015D"/>
    <w:rsid w:val="4B0E3653"/>
    <w:rsid w:val="4B0F3C29"/>
    <w:rsid w:val="4B113B93"/>
    <w:rsid w:val="4B1E4C7C"/>
    <w:rsid w:val="4B221C9D"/>
    <w:rsid w:val="4B261DB7"/>
    <w:rsid w:val="4B281AF5"/>
    <w:rsid w:val="4B2A372C"/>
    <w:rsid w:val="4B2C2F34"/>
    <w:rsid w:val="4B3003F8"/>
    <w:rsid w:val="4B3D00C4"/>
    <w:rsid w:val="4B3F1E49"/>
    <w:rsid w:val="4B3F4B49"/>
    <w:rsid w:val="4B3F5DD9"/>
    <w:rsid w:val="4B447E66"/>
    <w:rsid w:val="4B45005B"/>
    <w:rsid w:val="4B451508"/>
    <w:rsid w:val="4B4545F4"/>
    <w:rsid w:val="4B4B0257"/>
    <w:rsid w:val="4B4B481C"/>
    <w:rsid w:val="4B4F266C"/>
    <w:rsid w:val="4B531C2A"/>
    <w:rsid w:val="4B551567"/>
    <w:rsid w:val="4B590A64"/>
    <w:rsid w:val="4B6025EA"/>
    <w:rsid w:val="4B624D30"/>
    <w:rsid w:val="4B662FE0"/>
    <w:rsid w:val="4B6907C0"/>
    <w:rsid w:val="4B694934"/>
    <w:rsid w:val="4B6A1732"/>
    <w:rsid w:val="4B6A4D01"/>
    <w:rsid w:val="4B6C3245"/>
    <w:rsid w:val="4B6D7E2F"/>
    <w:rsid w:val="4B6E6A38"/>
    <w:rsid w:val="4B721185"/>
    <w:rsid w:val="4B7221BD"/>
    <w:rsid w:val="4B7368BE"/>
    <w:rsid w:val="4B772FE1"/>
    <w:rsid w:val="4B783F5E"/>
    <w:rsid w:val="4B795301"/>
    <w:rsid w:val="4B7D1D39"/>
    <w:rsid w:val="4B7F5102"/>
    <w:rsid w:val="4B806668"/>
    <w:rsid w:val="4B842AF3"/>
    <w:rsid w:val="4B8A1800"/>
    <w:rsid w:val="4B8C03D0"/>
    <w:rsid w:val="4B9D339E"/>
    <w:rsid w:val="4B9E0F3F"/>
    <w:rsid w:val="4BA04C6C"/>
    <w:rsid w:val="4BA16131"/>
    <w:rsid w:val="4BA86C3F"/>
    <w:rsid w:val="4BAF2061"/>
    <w:rsid w:val="4BB14F6E"/>
    <w:rsid w:val="4BB32771"/>
    <w:rsid w:val="4BB33039"/>
    <w:rsid w:val="4BB44D17"/>
    <w:rsid w:val="4BB86B39"/>
    <w:rsid w:val="4BB9238B"/>
    <w:rsid w:val="4BBB6D9B"/>
    <w:rsid w:val="4BBC55B6"/>
    <w:rsid w:val="4BC36B35"/>
    <w:rsid w:val="4BC36F07"/>
    <w:rsid w:val="4BC728C3"/>
    <w:rsid w:val="4BC82C2D"/>
    <w:rsid w:val="4BC845B8"/>
    <w:rsid w:val="4BCD5115"/>
    <w:rsid w:val="4BCF2A35"/>
    <w:rsid w:val="4BD036A7"/>
    <w:rsid w:val="4BD74A26"/>
    <w:rsid w:val="4BD86D1E"/>
    <w:rsid w:val="4BDD6112"/>
    <w:rsid w:val="4BE110AB"/>
    <w:rsid w:val="4BE12B78"/>
    <w:rsid w:val="4BE339B3"/>
    <w:rsid w:val="4BE65A97"/>
    <w:rsid w:val="4BE80E3A"/>
    <w:rsid w:val="4BED4473"/>
    <w:rsid w:val="4BEF1FEA"/>
    <w:rsid w:val="4BF25111"/>
    <w:rsid w:val="4BF6464B"/>
    <w:rsid w:val="4BF717A9"/>
    <w:rsid w:val="4BF74080"/>
    <w:rsid w:val="4BFA7EB1"/>
    <w:rsid w:val="4BFC1A71"/>
    <w:rsid w:val="4BFE7946"/>
    <w:rsid w:val="4BFF0998"/>
    <w:rsid w:val="4C031ABE"/>
    <w:rsid w:val="4C0330A2"/>
    <w:rsid w:val="4C042B77"/>
    <w:rsid w:val="4C07336D"/>
    <w:rsid w:val="4C0E26CA"/>
    <w:rsid w:val="4C137026"/>
    <w:rsid w:val="4C142BCA"/>
    <w:rsid w:val="4C14473F"/>
    <w:rsid w:val="4C146F63"/>
    <w:rsid w:val="4C17705E"/>
    <w:rsid w:val="4C1B0880"/>
    <w:rsid w:val="4C1F329A"/>
    <w:rsid w:val="4C210EBF"/>
    <w:rsid w:val="4C211D1C"/>
    <w:rsid w:val="4C253792"/>
    <w:rsid w:val="4C27788D"/>
    <w:rsid w:val="4C280FB9"/>
    <w:rsid w:val="4C2B1838"/>
    <w:rsid w:val="4C2D7ACD"/>
    <w:rsid w:val="4C3139DB"/>
    <w:rsid w:val="4C36140F"/>
    <w:rsid w:val="4C365673"/>
    <w:rsid w:val="4C3A4915"/>
    <w:rsid w:val="4C3B1306"/>
    <w:rsid w:val="4C457755"/>
    <w:rsid w:val="4C493955"/>
    <w:rsid w:val="4C4D0E77"/>
    <w:rsid w:val="4C5330E9"/>
    <w:rsid w:val="4C534C5B"/>
    <w:rsid w:val="4C593F0A"/>
    <w:rsid w:val="4C595277"/>
    <w:rsid w:val="4C5B6DA8"/>
    <w:rsid w:val="4C5E3C96"/>
    <w:rsid w:val="4C5E61D8"/>
    <w:rsid w:val="4C690094"/>
    <w:rsid w:val="4C700FAA"/>
    <w:rsid w:val="4C716F91"/>
    <w:rsid w:val="4C71796C"/>
    <w:rsid w:val="4C73666F"/>
    <w:rsid w:val="4C7B3413"/>
    <w:rsid w:val="4C7B7CF3"/>
    <w:rsid w:val="4C7C2C21"/>
    <w:rsid w:val="4C7D4A6A"/>
    <w:rsid w:val="4C7E2403"/>
    <w:rsid w:val="4C7E41D2"/>
    <w:rsid w:val="4C803D78"/>
    <w:rsid w:val="4C864210"/>
    <w:rsid w:val="4C86505C"/>
    <w:rsid w:val="4C8B0967"/>
    <w:rsid w:val="4C8B6373"/>
    <w:rsid w:val="4C8E64B7"/>
    <w:rsid w:val="4C937D88"/>
    <w:rsid w:val="4C9646F1"/>
    <w:rsid w:val="4C96721A"/>
    <w:rsid w:val="4C9B5863"/>
    <w:rsid w:val="4CA101C2"/>
    <w:rsid w:val="4CA56728"/>
    <w:rsid w:val="4CB52170"/>
    <w:rsid w:val="4CB933D5"/>
    <w:rsid w:val="4CBC56FB"/>
    <w:rsid w:val="4CC455CD"/>
    <w:rsid w:val="4CC63270"/>
    <w:rsid w:val="4CCE2D71"/>
    <w:rsid w:val="4CD4095A"/>
    <w:rsid w:val="4CD96731"/>
    <w:rsid w:val="4CDB17ED"/>
    <w:rsid w:val="4CE0582F"/>
    <w:rsid w:val="4CE62D5B"/>
    <w:rsid w:val="4CE85C62"/>
    <w:rsid w:val="4CEB3969"/>
    <w:rsid w:val="4CEE7D50"/>
    <w:rsid w:val="4CEF5C72"/>
    <w:rsid w:val="4CF5214E"/>
    <w:rsid w:val="4CF8221E"/>
    <w:rsid w:val="4CF93CD5"/>
    <w:rsid w:val="4CFA571B"/>
    <w:rsid w:val="4CFE4BB4"/>
    <w:rsid w:val="4D01121C"/>
    <w:rsid w:val="4D034F2F"/>
    <w:rsid w:val="4D065859"/>
    <w:rsid w:val="4D0C3E34"/>
    <w:rsid w:val="4D0C5491"/>
    <w:rsid w:val="4D0E12AA"/>
    <w:rsid w:val="4D1274AF"/>
    <w:rsid w:val="4D137380"/>
    <w:rsid w:val="4D170A69"/>
    <w:rsid w:val="4D1933E4"/>
    <w:rsid w:val="4D1E27AC"/>
    <w:rsid w:val="4D1F49B1"/>
    <w:rsid w:val="4D2012BC"/>
    <w:rsid w:val="4D2115B5"/>
    <w:rsid w:val="4D244672"/>
    <w:rsid w:val="4D24694B"/>
    <w:rsid w:val="4D2617BF"/>
    <w:rsid w:val="4D2702E1"/>
    <w:rsid w:val="4D296F84"/>
    <w:rsid w:val="4D2F23B0"/>
    <w:rsid w:val="4D307EE0"/>
    <w:rsid w:val="4D355F19"/>
    <w:rsid w:val="4D376889"/>
    <w:rsid w:val="4D383091"/>
    <w:rsid w:val="4D39094E"/>
    <w:rsid w:val="4D397599"/>
    <w:rsid w:val="4D3B732C"/>
    <w:rsid w:val="4D3D306F"/>
    <w:rsid w:val="4D3D4CA2"/>
    <w:rsid w:val="4D4211AC"/>
    <w:rsid w:val="4D422C50"/>
    <w:rsid w:val="4D4436CC"/>
    <w:rsid w:val="4D467EC5"/>
    <w:rsid w:val="4D50082D"/>
    <w:rsid w:val="4D50781F"/>
    <w:rsid w:val="4D544F0E"/>
    <w:rsid w:val="4D605389"/>
    <w:rsid w:val="4D606C7D"/>
    <w:rsid w:val="4D640FA3"/>
    <w:rsid w:val="4D64202C"/>
    <w:rsid w:val="4D6B48B8"/>
    <w:rsid w:val="4D710BC6"/>
    <w:rsid w:val="4D76522A"/>
    <w:rsid w:val="4D793B9C"/>
    <w:rsid w:val="4D7A1BE0"/>
    <w:rsid w:val="4D7C3618"/>
    <w:rsid w:val="4D7C705E"/>
    <w:rsid w:val="4D7E2CB6"/>
    <w:rsid w:val="4D85799A"/>
    <w:rsid w:val="4D871A7D"/>
    <w:rsid w:val="4D932444"/>
    <w:rsid w:val="4D982E83"/>
    <w:rsid w:val="4D986855"/>
    <w:rsid w:val="4D9A489B"/>
    <w:rsid w:val="4D9F5824"/>
    <w:rsid w:val="4D9F75D5"/>
    <w:rsid w:val="4DA72D47"/>
    <w:rsid w:val="4DAA6E25"/>
    <w:rsid w:val="4DAD60E5"/>
    <w:rsid w:val="4DAE4338"/>
    <w:rsid w:val="4DAF1E19"/>
    <w:rsid w:val="4DB07512"/>
    <w:rsid w:val="4DB4759E"/>
    <w:rsid w:val="4DB82445"/>
    <w:rsid w:val="4DB905BD"/>
    <w:rsid w:val="4DBB6800"/>
    <w:rsid w:val="4DC3366B"/>
    <w:rsid w:val="4DC34D74"/>
    <w:rsid w:val="4DC72B9B"/>
    <w:rsid w:val="4DC73216"/>
    <w:rsid w:val="4DC80D0C"/>
    <w:rsid w:val="4DCC224A"/>
    <w:rsid w:val="4DCE5721"/>
    <w:rsid w:val="4DCF20AB"/>
    <w:rsid w:val="4DCF7EBB"/>
    <w:rsid w:val="4DD13E05"/>
    <w:rsid w:val="4DD60E25"/>
    <w:rsid w:val="4DD81C4D"/>
    <w:rsid w:val="4DD85153"/>
    <w:rsid w:val="4DDB0EB4"/>
    <w:rsid w:val="4DDD27CD"/>
    <w:rsid w:val="4DE46308"/>
    <w:rsid w:val="4DE647F5"/>
    <w:rsid w:val="4DE83395"/>
    <w:rsid w:val="4DE949F7"/>
    <w:rsid w:val="4DED1B46"/>
    <w:rsid w:val="4DF927CD"/>
    <w:rsid w:val="4DF961A9"/>
    <w:rsid w:val="4DFA0F08"/>
    <w:rsid w:val="4DFA305E"/>
    <w:rsid w:val="4DFA33BB"/>
    <w:rsid w:val="4DFC2638"/>
    <w:rsid w:val="4DFE03BB"/>
    <w:rsid w:val="4DFF7047"/>
    <w:rsid w:val="4E0626E0"/>
    <w:rsid w:val="4E083CC7"/>
    <w:rsid w:val="4E0B1416"/>
    <w:rsid w:val="4E0B7505"/>
    <w:rsid w:val="4E0C1A13"/>
    <w:rsid w:val="4E101CD3"/>
    <w:rsid w:val="4E1023F5"/>
    <w:rsid w:val="4E131C25"/>
    <w:rsid w:val="4E14681C"/>
    <w:rsid w:val="4E187D68"/>
    <w:rsid w:val="4E1B2133"/>
    <w:rsid w:val="4E20680A"/>
    <w:rsid w:val="4E291EF3"/>
    <w:rsid w:val="4E2A4A13"/>
    <w:rsid w:val="4E2A5392"/>
    <w:rsid w:val="4E2C4D46"/>
    <w:rsid w:val="4E2C5EDC"/>
    <w:rsid w:val="4E2F02D0"/>
    <w:rsid w:val="4E2F6147"/>
    <w:rsid w:val="4E32773C"/>
    <w:rsid w:val="4E3D6B8E"/>
    <w:rsid w:val="4E3E294A"/>
    <w:rsid w:val="4E4D2223"/>
    <w:rsid w:val="4E4E027F"/>
    <w:rsid w:val="4E4E696C"/>
    <w:rsid w:val="4E5529DA"/>
    <w:rsid w:val="4E5E468D"/>
    <w:rsid w:val="4E6473B0"/>
    <w:rsid w:val="4E6530DD"/>
    <w:rsid w:val="4E6A2619"/>
    <w:rsid w:val="4E6A74F2"/>
    <w:rsid w:val="4E6B61F8"/>
    <w:rsid w:val="4E6C0C32"/>
    <w:rsid w:val="4E6D1EA6"/>
    <w:rsid w:val="4E6F5CFB"/>
    <w:rsid w:val="4E742810"/>
    <w:rsid w:val="4E7F3065"/>
    <w:rsid w:val="4E863054"/>
    <w:rsid w:val="4E876CE8"/>
    <w:rsid w:val="4E8F3EC0"/>
    <w:rsid w:val="4E921EE8"/>
    <w:rsid w:val="4E935149"/>
    <w:rsid w:val="4E974704"/>
    <w:rsid w:val="4E993D8A"/>
    <w:rsid w:val="4E9E387B"/>
    <w:rsid w:val="4EA11CBF"/>
    <w:rsid w:val="4EA837B4"/>
    <w:rsid w:val="4EAD7B48"/>
    <w:rsid w:val="4EAE7C1A"/>
    <w:rsid w:val="4EAF07ED"/>
    <w:rsid w:val="4EB83E65"/>
    <w:rsid w:val="4EB911A0"/>
    <w:rsid w:val="4EBB2B8F"/>
    <w:rsid w:val="4EBD4CE1"/>
    <w:rsid w:val="4EBD76EC"/>
    <w:rsid w:val="4EC07803"/>
    <w:rsid w:val="4EC96CA0"/>
    <w:rsid w:val="4ECD4E07"/>
    <w:rsid w:val="4ED12415"/>
    <w:rsid w:val="4ED21B45"/>
    <w:rsid w:val="4EDA6AD2"/>
    <w:rsid w:val="4EDC68EB"/>
    <w:rsid w:val="4EDD0382"/>
    <w:rsid w:val="4EDF6580"/>
    <w:rsid w:val="4EE06301"/>
    <w:rsid w:val="4EE15A8C"/>
    <w:rsid w:val="4EE350D1"/>
    <w:rsid w:val="4EE62937"/>
    <w:rsid w:val="4EE81FE3"/>
    <w:rsid w:val="4EF16302"/>
    <w:rsid w:val="4EF340DD"/>
    <w:rsid w:val="4EF41C63"/>
    <w:rsid w:val="4EFD0C15"/>
    <w:rsid w:val="4EFE4C97"/>
    <w:rsid w:val="4F044AFB"/>
    <w:rsid w:val="4F082620"/>
    <w:rsid w:val="4F093ABC"/>
    <w:rsid w:val="4F0D52CA"/>
    <w:rsid w:val="4F116183"/>
    <w:rsid w:val="4F182761"/>
    <w:rsid w:val="4F191A8E"/>
    <w:rsid w:val="4F191B8B"/>
    <w:rsid w:val="4F1D60CD"/>
    <w:rsid w:val="4F1E1046"/>
    <w:rsid w:val="4F207E8B"/>
    <w:rsid w:val="4F2215D0"/>
    <w:rsid w:val="4F2313D9"/>
    <w:rsid w:val="4F257453"/>
    <w:rsid w:val="4F373B31"/>
    <w:rsid w:val="4F380352"/>
    <w:rsid w:val="4F3A22A6"/>
    <w:rsid w:val="4F3D2D0C"/>
    <w:rsid w:val="4F3D2E5D"/>
    <w:rsid w:val="4F436E07"/>
    <w:rsid w:val="4F495ACC"/>
    <w:rsid w:val="4F5028D9"/>
    <w:rsid w:val="4F52563D"/>
    <w:rsid w:val="4F537DEC"/>
    <w:rsid w:val="4F5A01CB"/>
    <w:rsid w:val="4F5D5C8B"/>
    <w:rsid w:val="4F5F5AB2"/>
    <w:rsid w:val="4F60078E"/>
    <w:rsid w:val="4F61796D"/>
    <w:rsid w:val="4F62071A"/>
    <w:rsid w:val="4F633C6B"/>
    <w:rsid w:val="4F660082"/>
    <w:rsid w:val="4F6A01CC"/>
    <w:rsid w:val="4F6A79EE"/>
    <w:rsid w:val="4F6D10BD"/>
    <w:rsid w:val="4F6D16AB"/>
    <w:rsid w:val="4F6D61C5"/>
    <w:rsid w:val="4F6E4820"/>
    <w:rsid w:val="4F700FDD"/>
    <w:rsid w:val="4F711081"/>
    <w:rsid w:val="4F72792A"/>
    <w:rsid w:val="4F754908"/>
    <w:rsid w:val="4F770252"/>
    <w:rsid w:val="4F821357"/>
    <w:rsid w:val="4F8477A1"/>
    <w:rsid w:val="4F8808E3"/>
    <w:rsid w:val="4F8A385C"/>
    <w:rsid w:val="4F8B02E0"/>
    <w:rsid w:val="4F8D258C"/>
    <w:rsid w:val="4F8D6F91"/>
    <w:rsid w:val="4F95467B"/>
    <w:rsid w:val="4F993B7F"/>
    <w:rsid w:val="4F9A0679"/>
    <w:rsid w:val="4F9E4B59"/>
    <w:rsid w:val="4F9F6447"/>
    <w:rsid w:val="4FA061AB"/>
    <w:rsid w:val="4FA16F77"/>
    <w:rsid w:val="4FA4015C"/>
    <w:rsid w:val="4FA90EDF"/>
    <w:rsid w:val="4FAD4A18"/>
    <w:rsid w:val="4FAF092E"/>
    <w:rsid w:val="4FB331BF"/>
    <w:rsid w:val="4FB41300"/>
    <w:rsid w:val="4FB66806"/>
    <w:rsid w:val="4FB66928"/>
    <w:rsid w:val="4FB67342"/>
    <w:rsid w:val="4FBB31FC"/>
    <w:rsid w:val="4FBB541C"/>
    <w:rsid w:val="4FBC6D73"/>
    <w:rsid w:val="4FC237B4"/>
    <w:rsid w:val="4FC56142"/>
    <w:rsid w:val="4FCA3988"/>
    <w:rsid w:val="4FCB5EB4"/>
    <w:rsid w:val="4FCD07E5"/>
    <w:rsid w:val="4FCE4A9C"/>
    <w:rsid w:val="4FCF6D48"/>
    <w:rsid w:val="4FD174C6"/>
    <w:rsid w:val="4FDB58E8"/>
    <w:rsid w:val="4FDE791D"/>
    <w:rsid w:val="4FE04A4A"/>
    <w:rsid w:val="4FE07521"/>
    <w:rsid w:val="4FE771B9"/>
    <w:rsid w:val="4FE87888"/>
    <w:rsid w:val="4FEB66B8"/>
    <w:rsid w:val="4FEE2BC3"/>
    <w:rsid w:val="4FF30274"/>
    <w:rsid w:val="4FF3178C"/>
    <w:rsid w:val="4FFD3F23"/>
    <w:rsid w:val="5001793B"/>
    <w:rsid w:val="50071E5D"/>
    <w:rsid w:val="50073E93"/>
    <w:rsid w:val="50095AAA"/>
    <w:rsid w:val="500F75E3"/>
    <w:rsid w:val="501B6F7F"/>
    <w:rsid w:val="501E0ECA"/>
    <w:rsid w:val="50222736"/>
    <w:rsid w:val="50243DC2"/>
    <w:rsid w:val="50246462"/>
    <w:rsid w:val="50336278"/>
    <w:rsid w:val="50340652"/>
    <w:rsid w:val="50370031"/>
    <w:rsid w:val="50370FD5"/>
    <w:rsid w:val="50381268"/>
    <w:rsid w:val="503B1C25"/>
    <w:rsid w:val="503C2170"/>
    <w:rsid w:val="503D672A"/>
    <w:rsid w:val="50405824"/>
    <w:rsid w:val="504F52E3"/>
    <w:rsid w:val="505236AF"/>
    <w:rsid w:val="50545B49"/>
    <w:rsid w:val="50594441"/>
    <w:rsid w:val="505A3E92"/>
    <w:rsid w:val="505A77AE"/>
    <w:rsid w:val="505E094B"/>
    <w:rsid w:val="50653388"/>
    <w:rsid w:val="50697240"/>
    <w:rsid w:val="506B06F0"/>
    <w:rsid w:val="506C3BA6"/>
    <w:rsid w:val="506D0447"/>
    <w:rsid w:val="506E2B59"/>
    <w:rsid w:val="506F0E30"/>
    <w:rsid w:val="5074064D"/>
    <w:rsid w:val="507A744B"/>
    <w:rsid w:val="507A7A28"/>
    <w:rsid w:val="507B1C56"/>
    <w:rsid w:val="507B7BE5"/>
    <w:rsid w:val="507D43A5"/>
    <w:rsid w:val="507D6B24"/>
    <w:rsid w:val="507D7871"/>
    <w:rsid w:val="507F4748"/>
    <w:rsid w:val="507F5D71"/>
    <w:rsid w:val="508761A4"/>
    <w:rsid w:val="508807F5"/>
    <w:rsid w:val="508D4B9F"/>
    <w:rsid w:val="5096112E"/>
    <w:rsid w:val="509C13E4"/>
    <w:rsid w:val="509C20E4"/>
    <w:rsid w:val="50A275C4"/>
    <w:rsid w:val="50A56CB1"/>
    <w:rsid w:val="50A635A2"/>
    <w:rsid w:val="50A81A6E"/>
    <w:rsid w:val="50AA6B62"/>
    <w:rsid w:val="50AB7A88"/>
    <w:rsid w:val="50B0067F"/>
    <w:rsid w:val="50B06A44"/>
    <w:rsid w:val="50B1689C"/>
    <w:rsid w:val="50B5281C"/>
    <w:rsid w:val="50B63D9C"/>
    <w:rsid w:val="50B76522"/>
    <w:rsid w:val="50B7656C"/>
    <w:rsid w:val="50B82E88"/>
    <w:rsid w:val="50B863D8"/>
    <w:rsid w:val="50BC7256"/>
    <w:rsid w:val="50BD53BE"/>
    <w:rsid w:val="50BE2BE5"/>
    <w:rsid w:val="50C227B4"/>
    <w:rsid w:val="50C75748"/>
    <w:rsid w:val="50CA5526"/>
    <w:rsid w:val="50D7752E"/>
    <w:rsid w:val="50D945BC"/>
    <w:rsid w:val="50DF59DD"/>
    <w:rsid w:val="50E103FB"/>
    <w:rsid w:val="50E46357"/>
    <w:rsid w:val="50E545B7"/>
    <w:rsid w:val="50EA605B"/>
    <w:rsid w:val="50EB2AB2"/>
    <w:rsid w:val="50EF409A"/>
    <w:rsid w:val="50F06E92"/>
    <w:rsid w:val="50F31978"/>
    <w:rsid w:val="50F47C66"/>
    <w:rsid w:val="50F65078"/>
    <w:rsid w:val="50F77A50"/>
    <w:rsid w:val="50FA0C00"/>
    <w:rsid w:val="50FB3FF6"/>
    <w:rsid w:val="510375C2"/>
    <w:rsid w:val="510405B6"/>
    <w:rsid w:val="5106772A"/>
    <w:rsid w:val="51087240"/>
    <w:rsid w:val="510E1635"/>
    <w:rsid w:val="51107A2A"/>
    <w:rsid w:val="51162FD8"/>
    <w:rsid w:val="511A7107"/>
    <w:rsid w:val="511D030F"/>
    <w:rsid w:val="511F494F"/>
    <w:rsid w:val="511F4B8C"/>
    <w:rsid w:val="512068D8"/>
    <w:rsid w:val="51284295"/>
    <w:rsid w:val="5128438B"/>
    <w:rsid w:val="512B5AFF"/>
    <w:rsid w:val="512E314A"/>
    <w:rsid w:val="51356B05"/>
    <w:rsid w:val="51360905"/>
    <w:rsid w:val="5136762B"/>
    <w:rsid w:val="51377144"/>
    <w:rsid w:val="513A682D"/>
    <w:rsid w:val="513A7C82"/>
    <w:rsid w:val="513E0A36"/>
    <w:rsid w:val="51454C65"/>
    <w:rsid w:val="51464807"/>
    <w:rsid w:val="514F32B7"/>
    <w:rsid w:val="5159216D"/>
    <w:rsid w:val="515B44EE"/>
    <w:rsid w:val="515D0225"/>
    <w:rsid w:val="515D0C13"/>
    <w:rsid w:val="515D2BCD"/>
    <w:rsid w:val="51686895"/>
    <w:rsid w:val="516C7E4F"/>
    <w:rsid w:val="516D79A7"/>
    <w:rsid w:val="516F0D9E"/>
    <w:rsid w:val="51736381"/>
    <w:rsid w:val="51777E08"/>
    <w:rsid w:val="517B3140"/>
    <w:rsid w:val="517C0E6A"/>
    <w:rsid w:val="5181252A"/>
    <w:rsid w:val="518F2898"/>
    <w:rsid w:val="5191490C"/>
    <w:rsid w:val="519449D3"/>
    <w:rsid w:val="51947B3D"/>
    <w:rsid w:val="51986815"/>
    <w:rsid w:val="519B7CB7"/>
    <w:rsid w:val="51A52578"/>
    <w:rsid w:val="51A7327A"/>
    <w:rsid w:val="51A94CE6"/>
    <w:rsid w:val="51B20CAE"/>
    <w:rsid w:val="51B40689"/>
    <w:rsid w:val="51B418BD"/>
    <w:rsid w:val="51B60908"/>
    <w:rsid w:val="51B63684"/>
    <w:rsid w:val="51B74D24"/>
    <w:rsid w:val="51BA25B0"/>
    <w:rsid w:val="51BB7919"/>
    <w:rsid w:val="51BC2BB7"/>
    <w:rsid w:val="51BD5911"/>
    <w:rsid w:val="51C423B1"/>
    <w:rsid w:val="51CE0150"/>
    <w:rsid w:val="51DD0C9B"/>
    <w:rsid w:val="51DF3125"/>
    <w:rsid w:val="51E17A3D"/>
    <w:rsid w:val="51E47CAD"/>
    <w:rsid w:val="51E6362C"/>
    <w:rsid w:val="51E82EB1"/>
    <w:rsid w:val="51EB02E0"/>
    <w:rsid w:val="51F06F4D"/>
    <w:rsid w:val="51F10F60"/>
    <w:rsid w:val="51F37B67"/>
    <w:rsid w:val="51F74C42"/>
    <w:rsid w:val="51F77000"/>
    <w:rsid w:val="51FC2296"/>
    <w:rsid w:val="52033078"/>
    <w:rsid w:val="520754F9"/>
    <w:rsid w:val="520B0B51"/>
    <w:rsid w:val="520D28F5"/>
    <w:rsid w:val="52127026"/>
    <w:rsid w:val="521A07DB"/>
    <w:rsid w:val="5222493A"/>
    <w:rsid w:val="52284F1E"/>
    <w:rsid w:val="52302FAB"/>
    <w:rsid w:val="52307F2E"/>
    <w:rsid w:val="52311E7C"/>
    <w:rsid w:val="52341EF4"/>
    <w:rsid w:val="5235561F"/>
    <w:rsid w:val="52373029"/>
    <w:rsid w:val="523C467D"/>
    <w:rsid w:val="523C638C"/>
    <w:rsid w:val="524058A7"/>
    <w:rsid w:val="52411C05"/>
    <w:rsid w:val="5244533D"/>
    <w:rsid w:val="524624B8"/>
    <w:rsid w:val="5248127C"/>
    <w:rsid w:val="524E1BEC"/>
    <w:rsid w:val="524E3378"/>
    <w:rsid w:val="5250009D"/>
    <w:rsid w:val="52567EA2"/>
    <w:rsid w:val="5257047F"/>
    <w:rsid w:val="52574430"/>
    <w:rsid w:val="525B6E50"/>
    <w:rsid w:val="525E0E0A"/>
    <w:rsid w:val="526037D7"/>
    <w:rsid w:val="52604C16"/>
    <w:rsid w:val="52614EFE"/>
    <w:rsid w:val="52625994"/>
    <w:rsid w:val="52641270"/>
    <w:rsid w:val="526824C9"/>
    <w:rsid w:val="52682FC1"/>
    <w:rsid w:val="526F0E28"/>
    <w:rsid w:val="5270140E"/>
    <w:rsid w:val="52714303"/>
    <w:rsid w:val="52730204"/>
    <w:rsid w:val="52767304"/>
    <w:rsid w:val="52825407"/>
    <w:rsid w:val="5287162E"/>
    <w:rsid w:val="52886B1F"/>
    <w:rsid w:val="528F1AE6"/>
    <w:rsid w:val="528F6DC9"/>
    <w:rsid w:val="52904509"/>
    <w:rsid w:val="5290501A"/>
    <w:rsid w:val="52944BEA"/>
    <w:rsid w:val="529C3178"/>
    <w:rsid w:val="52A23587"/>
    <w:rsid w:val="52A318B1"/>
    <w:rsid w:val="52A469D1"/>
    <w:rsid w:val="52A55489"/>
    <w:rsid w:val="52A57448"/>
    <w:rsid w:val="52A91373"/>
    <w:rsid w:val="52B03DF7"/>
    <w:rsid w:val="52B504BD"/>
    <w:rsid w:val="52B6073E"/>
    <w:rsid w:val="52BB03E1"/>
    <w:rsid w:val="52BE0C0F"/>
    <w:rsid w:val="52C028F4"/>
    <w:rsid w:val="52C039BC"/>
    <w:rsid w:val="52C3012A"/>
    <w:rsid w:val="52C36308"/>
    <w:rsid w:val="52E20AD1"/>
    <w:rsid w:val="52E23801"/>
    <w:rsid w:val="52E2607D"/>
    <w:rsid w:val="52E50D30"/>
    <w:rsid w:val="52EA431C"/>
    <w:rsid w:val="52EB0BC7"/>
    <w:rsid w:val="52FA4E9C"/>
    <w:rsid w:val="52FD3BCA"/>
    <w:rsid w:val="53076A2C"/>
    <w:rsid w:val="530F0E9D"/>
    <w:rsid w:val="53125F84"/>
    <w:rsid w:val="5313752F"/>
    <w:rsid w:val="53160FB3"/>
    <w:rsid w:val="53166A92"/>
    <w:rsid w:val="531A19D5"/>
    <w:rsid w:val="531D3260"/>
    <w:rsid w:val="532758B7"/>
    <w:rsid w:val="532C7D57"/>
    <w:rsid w:val="532E7583"/>
    <w:rsid w:val="532F2CBE"/>
    <w:rsid w:val="53321DAA"/>
    <w:rsid w:val="533D0FE8"/>
    <w:rsid w:val="533F1AF2"/>
    <w:rsid w:val="534301AE"/>
    <w:rsid w:val="5343388B"/>
    <w:rsid w:val="53450EF6"/>
    <w:rsid w:val="53463F50"/>
    <w:rsid w:val="53471D21"/>
    <w:rsid w:val="53476C6D"/>
    <w:rsid w:val="534A165D"/>
    <w:rsid w:val="534C43A8"/>
    <w:rsid w:val="534D3E54"/>
    <w:rsid w:val="534E571F"/>
    <w:rsid w:val="53525046"/>
    <w:rsid w:val="53536798"/>
    <w:rsid w:val="53612DDA"/>
    <w:rsid w:val="536422B0"/>
    <w:rsid w:val="53643C73"/>
    <w:rsid w:val="536923D8"/>
    <w:rsid w:val="536A3FD6"/>
    <w:rsid w:val="536D7987"/>
    <w:rsid w:val="537519D0"/>
    <w:rsid w:val="53756FFE"/>
    <w:rsid w:val="53771CF3"/>
    <w:rsid w:val="53794ADC"/>
    <w:rsid w:val="537B2376"/>
    <w:rsid w:val="537C12BC"/>
    <w:rsid w:val="537D3F15"/>
    <w:rsid w:val="537D44E9"/>
    <w:rsid w:val="5382176B"/>
    <w:rsid w:val="5382417C"/>
    <w:rsid w:val="53862E07"/>
    <w:rsid w:val="538B1A2D"/>
    <w:rsid w:val="538D26B1"/>
    <w:rsid w:val="538D4FF9"/>
    <w:rsid w:val="5390006A"/>
    <w:rsid w:val="53915C12"/>
    <w:rsid w:val="5395136A"/>
    <w:rsid w:val="539A62FD"/>
    <w:rsid w:val="539B77E3"/>
    <w:rsid w:val="539C700E"/>
    <w:rsid w:val="53A015C5"/>
    <w:rsid w:val="53A226AB"/>
    <w:rsid w:val="53A35C4B"/>
    <w:rsid w:val="53A363AF"/>
    <w:rsid w:val="53AB78A5"/>
    <w:rsid w:val="53AD044D"/>
    <w:rsid w:val="53AE4C8F"/>
    <w:rsid w:val="53AF287B"/>
    <w:rsid w:val="53B24690"/>
    <w:rsid w:val="53BD6A07"/>
    <w:rsid w:val="53BE6ACE"/>
    <w:rsid w:val="53C36B5E"/>
    <w:rsid w:val="53C45F6A"/>
    <w:rsid w:val="53C67EED"/>
    <w:rsid w:val="53C742ED"/>
    <w:rsid w:val="53C958E9"/>
    <w:rsid w:val="53CE42F0"/>
    <w:rsid w:val="53D0378F"/>
    <w:rsid w:val="53D80B2A"/>
    <w:rsid w:val="53E10E19"/>
    <w:rsid w:val="53E15E5C"/>
    <w:rsid w:val="53E36463"/>
    <w:rsid w:val="53E444AE"/>
    <w:rsid w:val="53EB48DE"/>
    <w:rsid w:val="53EE050C"/>
    <w:rsid w:val="53F15E66"/>
    <w:rsid w:val="53F305CA"/>
    <w:rsid w:val="53F9244D"/>
    <w:rsid w:val="53FA6ED9"/>
    <w:rsid w:val="53FB009E"/>
    <w:rsid w:val="53FB6F15"/>
    <w:rsid w:val="540005E8"/>
    <w:rsid w:val="5403619C"/>
    <w:rsid w:val="54052EF4"/>
    <w:rsid w:val="5409711E"/>
    <w:rsid w:val="540B2BF1"/>
    <w:rsid w:val="540C55D6"/>
    <w:rsid w:val="54104D89"/>
    <w:rsid w:val="54105F84"/>
    <w:rsid w:val="54135BEB"/>
    <w:rsid w:val="54136627"/>
    <w:rsid w:val="54171AF7"/>
    <w:rsid w:val="541B6689"/>
    <w:rsid w:val="541E46B9"/>
    <w:rsid w:val="54286401"/>
    <w:rsid w:val="542A52DB"/>
    <w:rsid w:val="542C3463"/>
    <w:rsid w:val="54304DC5"/>
    <w:rsid w:val="54344BDB"/>
    <w:rsid w:val="543C1E1B"/>
    <w:rsid w:val="543D686D"/>
    <w:rsid w:val="54421A5F"/>
    <w:rsid w:val="544917C1"/>
    <w:rsid w:val="544B3430"/>
    <w:rsid w:val="54514C63"/>
    <w:rsid w:val="54515018"/>
    <w:rsid w:val="54613836"/>
    <w:rsid w:val="546324BB"/>
    <w:rsid w:val="54650465"/>
    <w:rsid w:val="546836B8"/>
    <w:rsid w:val="546B44A5"/>
    <w:rsid w:val="546C2136"/>
    <w:rsid w:val="54784273"/>
    <w:rsid w:val="547A1E3B"/>
    <w:rsid w:val="547D55E3"/>
    <w:rsid w:val="54847155"/>
    <w:rsid w:val="54877855"/>
    <w:rsid w:val="548B50BD"/>
    <w:rsid w:val="549377C4"/>
    <w:rsid w:val="5494389E"/>
    <w:rsid w:val="54952074"/>
    <w:rsid w:val="54953780"/>
    <w:rsid w:val="54A40417"/>
    <w:rsid w:val="54A43C71"/>
    <w:rsid w:val="54A47697"/>
    <w:rsid w:val="54A52759"/>
    <w:rsid w:val="54A77BB4"/>
    <w:rsid w:val="54B06DA3"/>
    <w:rsid w:val="54BB7FF6"/>
    <w:rsid w:val="54BC20BD"/>
    <w:rsid w:val="54BD766C"/>
    <w:rsid w:val="54BF661E"/>
    <w:rsid w:val="54C04B4C"/>
    <w:rsid w:val="54C1609B"/>
    <w:rsid w:val="54C25DFD"/>
    <w:rsid w:val="54CA47DD"/>
    <w:rsid w:val="54D1548D"/>
    <w:rsid w:val="54D23DEC"/>
    <w:rsid w:val="54D44B32"/>
    <w:rsid w:val="54D750FC"/>
    <w:rsid w:val="54DC1711"/>
    <w:rsid w:val="54E14DB6"/>
    <w:rsid w:val="54E15E76"/>
    <w:rsid w:val="54E84A3B"/>
    <w:rsid w:val="54ED0ED1"/>
    <w:rsid w:val="54EE3C80"/>
    <w:rsid w:val="54EF0D63"/>
    <w:rsid w:val="54F14208"/>
    <w:rsid w:val="54F46459"/>
    <w:rsid w:val="54F863ED"/>
    <w:rsid w:val="54FD395B"/>
    <w:rsid w:val="55034802"/>
    <w:rsid w:val="550879AC"/>
    <w:rsid w:val="550C3053"/>
    <w:rsid w:val="550E2A8B"/>
    <w:rsid w:val="55102D27"/>
    <w:rsid w:val="55121D9C"/>
    <w:rsid w:val="55171F0A"/>
    <w:rsid w:val="551B5448"/>
    <w:rsid w:val="55211EF0"/>
    <w:rsid w:val="552872D0"/>
    <w:rsid w:val="5529516C"/>
    <w:rsid w:val="55296010"/>
    <w:rsid w:val="552B379A"/>
    <w:rsid w:val="552D6891"/>
    <w:rsid w:val="553043A0"/>
    <w:rsid w:val="55353FDF"/>
    <w:rsid w:val="553B0809"/>
    <w:rsid w:val="553C1B7E"/>
    <w:rsid w:val="55434497"/>
    <w:rsid w:val="55435A97"/>
    <w:rsid w:val="554A5716"/>
    <w:rsid w:val="554C3B9F"/>
    <w:rsid w:val="55505796"/>
    <w:rsid w:val="55543089"/>
    <w:rsid w:val="55572C7F"/>
    <w:rsid w:val="555B221B"/>
    <w:rsid w:val="555E7FE4"/>
    <w:rsid w:val="5565541A"/>
    <w:rsid w:val="55677206"/>
    <w:rsid w:val="556977F4"/>
    <w:rsid w:val="557010F5"/>
    <w:rsid w:val="55713E30"/>
    <w:rsid w:val="5575507C"/>
    <w:rsid w:val="55784ED9"/>
    <w:rsid w:val="55787292"/>
    <w:rsid w:val="557B409B"/>
    <w:rsid w:val="557F1877"/>
    <w:rsid w:val="5583104B"/>
    <w:rsid w:val="55852003"/>
    <w:rsid w:val="55857B7E"/>
    <w:rsid w:val="558A61BB"/>
    <w:rsid w:val="558C29DE"/>
    <w:rsid w:val="558F5908"/>
    <w:rsid w:val="558F681E"/>
    <w:rsid w:val="559429AD"/>
    <w:rsid w:val="55986DE4"/>
    <w:rsid w:val="55A12ED8"/>
    <w:rsid w:val="55A3457C"/>
    <w:rsid w:val="55A75279"/>
    <w:rsid w:val="55A91E99"/>
    <w:rsid w:val="55AA3B75"/>
    <w:rsid w:val="55AA5187"/>
    <w:rsid w:val="55B200C4"/>
    <w:rsid w:val="55B348C2"/>
    <w:rsid w:val="55B63BF3"/>
    <w:rsid w:val="55B80C51"/>
    <w:rsid w:val="55BC4824"/>
    <w:rsid w:val="55BC68AB"/>
    <w:rsid w:val="55BF211C"/>
    <w:rsid w:val="55BF7734"/>
    <w:rsid w:val="55C207A8"/>
    <w:rsid w:val="55C667C6"/>
    <w:rsid w:val="55C74B2D"/>
    <w:rsid w:val="55D03EE0"/>
    <w:rsid w:val="55D702E8"/>
    <w:rsid w:val="55DA0B74"/>
    <w:rsid w:val="55E52829"/>
    <w:rsid w:val="55E6603C"/>
    <w:rsid w:val="55EE2BEA"/>
    <w:rsid w:val="55F04E72"/>
    <w:rsid w:val="55F3683A"/>
    <w:rsid w:val="55FA51EE"/>
    <w:rsid w:val="55FF5FE6"/>
    <w:rsid w:val="560126EA"/>
    <w:rsid w:val="5601663C"/>
    <w:rsid w:val="56030FF5"/>
    <w:rsid w:val="560A62EE"/>
    <w:rsid w:val="561055B8"/>
    <w:rsid w:val="56116B96"/>
    <w:rsid w:val="561C3352"/>
    <w:rsid w:val="561C4D42"/>
    <w:rsid w:val="561F1485"/>
    <w:rsid w:val="56215CCF"/>
    <w:rsid w:val="562B5679"/>
    <w:rsid w:val="562C5360"/>
    <w:rsid w:val="562C66E0"/>
    <w:rsid w:val="562C7993"/>
    <w:rsid w:val="56302A68"/>
    <w:rsid w:val="563259CD"/>
    <w:rsid w:val="56335368"/>
    <w:rsid w:val="56341BFE"/>
    <w:rsid w:val="56382375"/>
    <w:rsid w:val="56396491"/>
    <w:rsid w:val="56396E60"/>
    <w:rsid w:val="5640069C"/>
    <w:rsid w:val="56452D12"/>
    <w:rsid w:val="56462A5B"/>
    <w:rsid w:val="564E53B6"/>
    <w:rsid w:val="564E6EFD"/>
    <w:rsid w:val="564F0009"/>
    <w:rsid w:val="56517CA0"/>
    <w:rsid w:val="56551179"/>
    <w:rsid w:val="56582A9F"/>
    <w:rsid w:val="565B1CCC"/>
    <w:rsid w:val="565D1DDC"/>
    <w:rsid w:val="565F7902"/>
    <w:rsid w:val="56621B7E"/>
    <w:rsid w:val="56631123"/>
    <w:rsid w:val="566B2936"/>
    <w:rsid w:val="5672192D"/>
    <w:rsid w:val="56830AC2"/>
    <w:rsid w:val="56866500"/>
    <w:rsid w:val="568B3D88"/>
    <w:rsid w:val="568E17AB"/>
    <w:rsid w:val="568E2DA8"/>
    <w:rsid w:val="56901B8A"/>
    <w:rsid w:val="569139C1"/>
    <w:rsid w:val="56961FA8"/>
    <w:rsid w:val="56971850"/>
    <w:rsid w:val="569A34B8"/>
    <w:rsid w:val="569C12A5"/>
    <w:rsid w:val="56A10E8E"/>
    <w:rsid w:val="56A56166"/>
    <w:rsid w:val="56A56227"/>
    <w:rsid w:val="56AB0D99"/>
    <w:rsid w:val="56AC2003"/>
    <w:rsid w:val="56AD206B"/>
    <w:rsid w:val="56B20379"/>
    <w:rsid w:val="56B20961"/>
    <w:rsid w:val="56B550E2"/>
    <w:rsid w:val="56B552DF"/>
    <w:rsid w:val="56B74456"/>
    <w:rsid w:val="56BA5E1E"/>
    <w:rsid w:val="56BE1AE0"/>
    <w:rsid w:val="56BE55D8"/>
    <w:rsid w:val="56BF4DE7"/>
    <w:rsid w:val="56BF58E5"/>
    <w:rsid w:val="56C101FC"/>
    <w:rsid w:val="56C139C6"/>
    <w:rsid w:val="56D136E7"/>
    <w:rsid w:val="56D242E9"/>
    <w:rsid w:val="56D520F5"/>
    <w:rsid w:val="56D86DD5"/>
    <w:rsid w:val="56D946A5"/>
    <w:rsid w:val="56DD484B"/>
    <w:rsid w:val="56E20729"/>
    <w:rsid w:val="56E35DCE"/>
    <w:rsid w:val="56E916F5"/>
    <w:rsid w:val="56EE5DAC"/>
    <w:rsid w:val="56EF2E0B"/>
    <w:rsid w:val="56EF6C52"/>
    <w:rsid w:val="56F0304D"/>
    <w:rsid w:val="56F43A39"/>
    <w:rsid w:val="56F96611"/>
    <w:rsid w:val="56FC58A6"/>
    <w:rsid w:val="56FD3F9C"/>
    <w:rsid w:val="56FF0485"/>
    <w:rsid w:val="570015F0"/>
    <w:rsid w:val="57021165"/>
    <w:rsid w:val="57035C6F"/>
    <w:rsid w:val="57093A91"/>
    <w:rsid w:val="570C2AD0"/>
    <w:rsid w:val="57145C3B"/>
    <w:rsid w:val="571B18F2"/>
    <w:rsid w:val="571B503A"/>
    <w:rsid w:val="57211495"/>
    <w:rsid w:val="5724766C"/>
    <w:rsid w:val="57283321"/>
    <w:rsid w:val="572A72FB"/>
    <w:rsid w:val="572B751E"/>
    <w:rsid w:val="572C6C28"/>
    <w:rsid w:val="572D044E"/>
    <w:rsid w:val="573201E6"/>
    <w:rsid w:val="573260AD"/>
    <w:rsid w:val="57333C92"/>
    <w:rsid w:val="57366120"/>
    <w:rsid w:val="573A429D"/>
    <w:rsid w:val="573C6125"/>
    <w:rsid w:val="573D2324"/>
    <w:rsid w:val="574D5486"/>
    <w:rsid w:val="574F2A1A"/>
    <w:rsid w:val="57502472"/>
    <w:rsid w:val="5751208B"/>
    <w:rsid w:val="57516CA2"/>
    <w:rsid w:val="575726B0"/>
    <w:rsid w:val="57594FA5"/>
    <w:rsid w:val="575B7572"/>
    <w:rsid w:val="57635C51"/>
    <w:rsid w:val="5768129A"/>
    <w:rsid w:val="57682496"/>
    <w:rsid w:val="5770042D"/>
    <w:rsid w:val="57720457"/>
    <w:rsid w:val="5776646D"/>
    <w:rsid w:val="577C299D"/>
    <w:rsid w:val="577E025B"/>
    <w:rsid w:val="577F276B"/>
    <w:rsid w:val="578266F6"/>
    <w:rsid w:val="5785087F"/>
    <w:rsid w:val="578633D8"/>
    <w:rsid w:val="578C7117"/>
    <w:rsid w:val="57966819"/>
    <w:rsid w:val="579740F1"/>
    <w:rsid w:val="57977431"/>
    <w:rsid w:val="57987EE5"/>
    <w:rsid w:val="579A2C0D"/>
    <w:rsid w:val="579B7617"/>
    <w:rsid w:val="579F4A2E"/>
    <w:rsid w:val="57A440BC"/>
    <w:rsid w:val="57AE657C"/>
    <w:rsid w:val="57B10542"/>
    <w:rsid w:val="57B34A25"/>
    <w:rsid w:val="57BC1B84"/>
    <w:rsid w:val="57C13E08"/>
    <w:rsid w:val="57D12D2C"/>
    <w:rsid w:val="57D33E26"/>
    <w:rsid w:val="57D66207"/>
    <w:rsid w:val="57D85BBE"/>
    <w:rsid w:val="57D97B9D"/>
    <w:rsid w:val="57D97CD6"/>
    <w:rsid w:val="57DC4D62"/>
    <w:rsid w:val="57DD20DD"/>
    <w:rsid w:val="57DE1F7D"/>
    <w:rsid w:val="57DE26BA"/>
    <w:rsid w:val="57DE4DC5"/>
    <w:rsid w:val="57DE71A6"/>
    <w:rsid w:val="57E05CF9"/>
    <w:rsid w:val="57E10ED6"/>
    <w:rsid w:val="57E56C96"/>
    <w:rsid w:val="57F24FE9"/>
    <w:rsid w:val="57FA32E2"/>
    <w:rsid w:val="58022C3B"/>
    <w:rsid w:val="58067B0C"/>
    <w:rsid w:val="58073EFA"/>
    <w:rsid w:val="58076FBD"/>
    <w:rsid w:val="5809520C"/>
    <w:rsid w:val="580A54EC"/>
    <w:rsid w:val="580E422C"/>
    <w:rsid w:val="581151D5"/>
    <w:rsid w:val="58172A2C"/>
    <w:rsid w:val="58190948"/>
    <w:rsid w:val="581A01CA"/>
    <w:rsid w:val="581B40DE"/>
    <w:rsid w:val="581B6861"/>
    <w:rsid w:val="581B6B60"/>
    <w:rsid w:val="581C14E3"/>
    <w:rsid w:val="581E52B5"/>
    <w:rsid w:val="582115A1"/>
    <w:rsid w:val="58281944"/>
    <w:rsid w:val="582A0EEF"/>
    <w:rsid w:val="58370C79"/>
    <w:rsid w:val="583A6124"/>
    <w:rsid w:val="583A68B6"/>
    <w:rsid w:val="583B2583"/>
    <w:rsid w:val="583C1A7B"/>
    <w:rsid w:val="583D10F1"/>
    <w:rsid w:val="583E1579"/>
    <w:rsid w:val="58401D60"/>
    <w:rsid w:val="58406543"/>
    <w:rsid w:val="58410659"/>
    <w:rsid w:val="5841330A"/>
    <w:rsid w:val="58422C64"/>
    <w:rsid w:val="58503356"/>
    <w:rsid w:val="585209DF"/>
    <w:rsid w:val="585716EE"/>
    <w:rsid w:val="58654ECC"/>
    <w:rsid w:val="58673F15"/>
    <w:rsid w:val="5867567B"/>
    <w:rsid w:val="5874248C"/>
    <w:rsid w:val="58760D27"/>
    <w:rsid w:val="5877040E"/>
    <w:rsid w:val="587E1915"/>
    <w:rsid w:val="587F7F08"/>
    <w:rsid w:val="588467A9"/>
    <w:rsid w:val="58857806"/>
    <w:rsid w:val="58890C63"/>
    <w:rsid w:val="588C0C4F"/>
    <w:rsid w:val="588F133F"/>
    <w:rsid w:val="58900246"/>
    <w:rsid w:val="5890105A"/>
    <w:rsid w:val="5898186F"/>
    <w:rsid w:val="5899052E"/>
    <w:rsid w:val="589D121E"/>
    <w:rsid w:val="589D238B"/>
    <w:rsid w:val="58A1100B"/>
    <w:rsid w:val="58A56598"/>
    <w:rsid w:val="58A83B64"/>
    <w:rsid w:val="58AB39FC"/>
    <w:rsid w:val="58AB4CD1"/>
    <w:rsid w:val="58AC4CBD"/>
    <w:rsid w:val="58AE317F"/>
    <w:rsid w:val="58B26F2A"/>
    <w:rsid w:val="58B53C20"/>
    <w:rsid w:val="58B824B9"/>
    <w:rsid w:val="58C302BB"/>
    <w:rsid w:val="58C51356"/>
    <w:rsid w:val="58C551A6"/>
    <w:rsid w:val="58CD7500"/>
    <w:rsid w:val="58D8456C"/>
    <w:rsid w:val="58DC3028"/>
    <w:rsid w:val="58E46B2A"/>
    <w:rsid w:val="58E817E2"/>
    <w:rsid w:val="58EB4B1C"/>
    <w:rsid w:val="58F93762"/>
    <w:rsid w:val="58FD5E37"/>
    <w:rsid w:val="590019C2"/>
    <w:rsid w:val="59010C96"/>
    <w:rsid w:val="59037810"/>
    <w:rsid w:val="59057797"/>
    <w:rsid w:val="590D5D3B"/>
    <w:rsid w:val="59101F25"/>
    <w:rsid w:val="591148D2"/>
    <w:rsid w:val="591250FF"/>
    <w:rsid w:val="59132673"/>
    <w:rsid w:val="59135DDD"/>
    <w:rsid w:val="5915074C"/>
    <w:rsid w:val="591C1E70"/>
    <w:rsid w:val="591E2961"/>
    <w:rsid w:val="591E3AA4"/>
    <w:rsid w:val="59202FF8"/>
    <w:rsid w:val="592310BA"/>
    <w:rsid w:val="59375146"/>
    <w:rsid w:val="593C17E9"/>
    <w:rsid w:val="593C3ACB"/>
    <w:rsid w:val="593E3C3C"/>
    <w:rsid w:val="5940148B"/>
    <w:rsid w:val="59411D4D"/>
    <w:rsid w:val="59424271"/>
    <w:rsid w:val="59467FAE"/>
    <w:rsid w:val="594C2948"/>
    <w:rsid w:val="594E574C"/>
    <w:rsid w:val="594F1EAF"/>
    <w:rsid w:val="594F226A"/>
    <w:rsid w:val="59534B43"/>
    <w:rsid w:val="59560C4A"/>
    <w:rsid w:val="59563E3A"/>
    <w:rsid w:val="595A573B"/>
    <w:rsid w:val="595D00E4"/>
    <w:rsid w:val="595D52F8"/>
    <w:rsid w:val="595D5B4E"/>
    <w:rsid w:val="596124C9"/>
    <w:rsid w:val="59651751"/>
    <w:rsid w:val="596569D7"/>
    <w:rsid w:val="596A2F2E"/>
    <w:rsid w:val="596D6B72"/>
    <w:rsid w:val="59764887"/>
    <w:rsid w:val="597A1655"/>
    <w:rsid w:val="597A5634"/>
    <w:rsid w:val="597B69F4"/>
    <w:rsid w:val="597D2BB8"/>
    <w:rsid w:val="597E4C52"/>
    <w:rsid w:val="59876968"/>
    <w:rsid w:val="598A2770"/>
    <w:rsid w:val="598C3A5A"/>
    <w:rsid w:val="598C53DD"/>
    <w:rsid w:val="59932AF8"/>
    <w:rsid w:val="59970932"/>
    <w:rsid w:val="599844D7"/>
    <w:rsid w:val="59A34D96"/>
    <w:rsid w:val="59A35C6B"/>
    <w:rsid w:val="59A57D8C"/>
    <w:rsid w:val="59B41D15"/>
    <w:rsid w:val="59B72CD4"/>
    <w:rsid w:val="59B91D57"/>
    <w:rsid w:val="59B9398C"/>
    <w:rsid w:val="59BA2331"/>
    <w:rsid w:val="59BC3D33"/>
    <w:rsid w:val="59BF3538"/>
    <w:rsid w:val="59C02E7F"/>
    <w:rsid w:val="59C32C10"/>
    <w:rsid w:val="59C46007"/>
    <w:rsid w:val="59CA2EF6"/>
    <w:rsid w:val="59CA4AD5"/>
    <w:rsid w:val="59CD6484"/>
    <w:rsid w:val="59CE292C"/>
    <w:rsid w:val="59CE737A"/>
    <w:rsid w:val="59D16D68"/>
    <w:rsid w:val="59D21EF5"/>
    <w:rsid w:val="59D30C72"/>
    <w:rsid w:val="59D34585"/>
    <w:rsid w:val="59DC019D"/>
    <w:rsid w:val="59EB6BBD"/>
    <w:rsid w:val="59EB7788"/>
    <w:rsid w:val="59F038EB"/>
    <w:rsid w:val="59F52290"/>
    <w:rsid w:val="59F527E9"/>
    <w:rsid w:val="59F535DD"/>
    <w:rsid w:val="59F82547"/>
    <w:rsid w:val="59F85476"/>
    <w:rsid w:val="59FC3607"/>
    <w:rsid w:val="59FC6A85"/>
    <w:rsid w:val="5A0757EA"/>
    <w:rsid w:val="5A0A417D"/>
    <w:rsid w:val="5A0E363A"/>
    <w:rsid w:val="5A0F2B49"/>
    <w:rsid w:val="5A167984"/>
    <w:rsid w:val="5A174783"/>
    <w:rsid w:val="5A185946"/>
    <w:rsid w:val="5A19257B"/>
    <w:rsid w:val="5A2D08AD"/>
    <w:rsid w:val="5A30073A"/>
    <w:rsid w:val="5A320DED"/>
    <w:rsid w:val="5A3873C9"/>
    <w:rsid w:val="5A424459"/>
    <w:rsid w:val="5A4939AF"/>
    <w:rsid w:val="5A4F305F"/>
    <w:rsid w:val="5A521743"/>
    <w:rsid w:val="5A5574B8"/>
    <w:rsid w:val="5A565B4F"/>
    <w:rsid w:val="5A580A1A"/>
    <w:rsid w:val="5A5826BB"/>
    <w:rsid w:val="5A586313"/>
    <w:rsid w:val="5A5A083A"/>
    <w:rsid w:val="5A69537D"/>
    <w:rsid w:val="5A6C5B8B"/>
    <w:rsid w:val="5A6E62A7"/>
    <w:rsid w:val="5A770B6C"/>
    <w:rsid w:val="5A780220"/>
    <w:rsid w:val="5A7A67A0"/>
    <w:rsid w:val="5A7B0554"/>
    <w:rsid w:val="5A7B6AD8"/>
    <w:rsid w:val="5A7D26A9"/>
    <w:rsid w:val="5A804E60"/>
    <w:rsid w:val="5A887EDC"/>
    <w:rsid w:val="5A926B0D"/>
    <w:rsid w:val="5A9D0343"/>
    <w:rsid w:val="5AA619A9"/>
    <w:rsid w:val="5AAB6D39"/>
    <w:rsid w:val="5AB41CFC"/>
    <w:rsid w:val="5AB64AAE"/>
    <w:rsid w:val="5AB94BD3"/>
    <w:rsid w:val="5AC71208"/>
    <w:rsid w:val="5AC950E8"/>
    <w:rsid w:val="5ACA1DF1"/>
    <w:rsid w:val="5ACA2844"/>
    <w:rsid w:val="5ACE0B01"/>
    <w:rsid w:val="5AD17097"/>
    <w:rsid w:val="5AD17A0A"/>
    <w:rsid w:val="5AD738F2"/>
    <w:rsid w:val="5AD80F59"/>
    <w:rsid w:val="5AE2746E"/>
    <w:rsid w:val="5AE34D1C"/>
    <w:rsid w:val="5AE35A25"/>
    <w:rsid w:val="5AE637E4"/>
    <w:rsid w:val="5AE97F72"/>
    <w:rsid w:val="5AEE02D0"/>
    <w:rsid w:val="5AF046EE"/>
    <w:rsid w:val="5AF178FF"/>
    <w:rsid w:val="5AF50759"/>
    <w:rsid w:val="5AFA22EF"/>
    <w:rsid w:val="5AFC2215"/>
    <w:rsid w:val="5AFD54E1"/>
    <w:rsid w:val="5B0116B0"/>
    <w:rsid w:val="5B050EC7"/>
    <w:rsid w:val="5B052AFB"/>
    <w:rsid w:val="5B0C36D2"/>
    <w:rsid w:val="5B0E18AF"/>
    <w:rsid w:val="5B0F1980"/>
    <w:rsid w:val="5B117C14"/>
    <w:rsid w:val="5B13062A"/>
    <w:rsid w:val="5B133EB1"/>
    <w:rsid w:val="5B1502C0"/>
    <w:rsid w:val="5B173193"/>
    <w:rsid w:val="5B194F86"/>
    <w:rsid w:val="5B1A029B"/>
    <w:rsid w:val="5B1C72E7"/>
    <w:rsid w:val="5B1F3FAF"/>
    <w:rsid w:val="5B2B4C1B"/>
    <w:rsid w:val="5B340B9C"/>
    <w:rsid w:val="5B376260"/>
    <w:rsid w:val="5B3864DE"/>
    <w:rsid w:val="5B3C6463"/>
    <w:rsid w:val="5B3C6480"/>
    <w:rsid w:val="5B3D4FD8"/>
    <w:rsid w:val="5B41091B"/>
    <w:rsid w:val="5B497EF6"/>
    <w:rsid w:val="5B4F1BBF"/>
    <w:rsid w:val="5B4F36C7"/>
    <w:rsid w:val="5B4F4E86"/>
    <w:rsid w:val="5B525BEE"/>
    <w:rsid w:val="5B53480B"/>
    <w:rsid w:val="5B534BB2"/>
    <w:rsid w:val="5B537391"/>
    <w:rsid w:val="5B565A1C"/>
    <w:rsid w:val="5B5829BA"/>
    <w:rsid w:val="5B630820"/>
    <w:rsid w:val="5B664A08"/>
    <w:rsid w:val="5B676E65"/>
    <w:rsid w:val="5B6D6AB9"/>
    <w:rsid w:val="5B6F755B"/>
    <w:rsid w:val="5B7062AB"/>
    <w:rsid w:val="5B73146F"/>
    <w:rsid w:val="5B7708EF"/>
    <w:rsid w:val="5B770CA6"/>
    <w:rsid w:val="5B7B6070"/>
    <w:rsid w:val="5B7C1684"/>
    <w:rsid w:val="5B7D718A"/>
    <w:rsid w:val="5B7F2870"/>
    <w:rsid w:val="5B800911"/>
    <w:rsid w:val="5B834F12"/>
    <w:rsid w:val="5B8402C8"/>
    <w:rsid w:val="5B8B0A5F"/>
    <w:rsid w:val="5B8B16F0"/>
    <w:rsid w:val="5B8E3AA3"/>
    <w:rsid w:val="5B8F0C8D"/>
    <w:rsid w:val="5B935AD9"/>
    <w:rsid w:val="5B937D2C"/>
    <w:rsid w:val="5B9802E2"/>
    <w:rsid w:val="5B9C7CFD"/>
    <w:rsid w:val="5BAA567D"/>
    <w:rsid w:val="5BB20E9D"/>
    <w:rsid w:val="5BB430CD"/>
    <w:rsid w:val="5BBA5E28"/>
    <w:rsid w:val="5BBC1B3B"/>
    <w:rsid w:val="5BBD2BDD"/>
    <w:rsid w:val="5BC87F64"/>
    <w:rsid w:val="5BCC298D"/>
    <w:rsid w:val="5BD149D0"/>
    <w:rsid w:val="5BD26D8C"/>
    <w:rsid w:val="5BD807F2"/>
    <w:rsid w:val="5BD8113E"/>
    <w:rsid w:val="5BDC3891"/>
    <w:rsid w:val="5BE94155"/>
    <w:rsid w:val="5BEA71FB"/>
    <w:rsid w:val="5BED53AC"/>
    <w:rsid w:val="5BF35198"/>
    <w:rsid w:val="5BF516FE"/>
    <w:rsid w:val="5BF62C65"/>
    <w:rsid w:val="5BF63D65"/>
    <w:rsid w:val="5BF9672D"/>
    <w:rsid w:val="5BFD3106"/>
    <w:rsid w:val="5BFE3CC1"/>
    <w:rsid w:val="5C00304A"/>
    <w:rsid w:val="5C013F4B"/>
    <w:rsid w:val="5C0216E5"/>
    <w:rsid w:val="5C031D10"/>
    <w:rsid w:val="5C031DC6"/>
    <w:rsid w:val="5C090A3C"/>
    <w:rsid w:val="5C09509A"/>
    <w:rsid w:val="5C0D14E1"/>
    <w:rsid w:val="5C0F26D8"/>
    <w:rsid w:val="5C131A60"/>
    <w:rsid w:val="5C1C7556"/>
    <w:rsid w:val="5C1D77BD"/>
    <w:rsid w:val="5C1E5D69"/>
    <w:rsid w:val="5C201B0E"/>
    <w:rsid w:val="5C236AB6"/>
    <w:rsid w:val="5C255484"/>
    <w:rsid w:val="5C262765"/>
    <w:rsid w:val="5C2755E7"/>
    <w:rsid w:val="5C2A14D6"/>
    <w:rsid w:val="5C2D5ADA"/>
    <w:rsid w:val="5C3839B7"/>
    <w:rsid w:val="5C3D0C6A"/>
    <w:rsid w:val="5C3F555A"/>
    <w:rsid w:val="5C407D53"/>
    <w:rsid w:val="5C47036A"/>
    <w:rsid w:val="5C5432F0"/>
    <w:rsid w:val="5C5643AB"/>
    <w:rsid w:val="5C582AB8"/>
    <w:rsid w:val="5C585C0E"/>
    <w:rsid w:val="5C5B6510"/>
    <w:rsid w:val="5C66590E"/>
    <w:rsid w:val="5C666678"/>
    <w:rsid w:val="5C670C8A"/>
    <w:rsid w:val="5C68360F"/>
    <w:rsid w:val="5C6922D4"/>
    <w:rsid w:val="5C6D4122"/>
    <w:rsid w:val="5C6E2E41"/>
    <w:rsid w:val="5C6E32CB"/>
    <w:rsid w:val="5C712A7F"/>
    <w:rsid w:val="5C784C04"/>
    <w:rsid w:val="5C7D20E6"/>
    <w:rsid w:val="5C945D28"/>
    <w:rsid w:val="5CA33D58"/>
    <w:rsid w:val="5CA3700C"/>
    <w:rsid w:val="5CAB0E5B"/>
    <w:rsid w:val="5CAE6FC0"/>
    <w:rsid w:val="5CB05E34"/>
    <w:rsid w:val="5CB17383"/>
    <w:rsid w:val="5CB94C9A"/>
    <w:rsid w:val="5CBB052C"/>
    <w:rsid w:val="5CBB2C2E"/>
    <w:rsid w:val="5CC36D29"/>
    <w:rsid w:val="5CC54851"/>
    <w:rsid w:val="5CC62AB0"/>
    <w:rsid w:val="5CCB7039"/>
    <w:rsid w:val="5CCD294D"/>
    <w:rsid w:val="5CCD6D40"/>
    <w:rsid w:val="5CD20DD8"/>
    <w:rsid w:val="5CD326FC"/>
    <w:rsid w:val="5CDB215A"/>
    <w:rsid w:val="5CDC75F3"/>
    <w:rsid w:val="5CE05337"/>
    <w:rsid w:val="5CE1432C"/>
    <w:rsid w:val="5CE65A9D"/>
    <w:rsid w:val="5CE7137B"/>
    <w:rsid w:val="5CE90BE6"/>
    <w:rsid w:val="5CEA4264"/>
    <w:rsid w:val="5CF021E4"/>
    <w:rsid w:val="5CF35EBC"/>
    <w:rsid w:val="5CF45B97"/>
    <w:rsid w:val="5CF50951"/>
    <w:rsid w:val="5CF5197A"/>
    <w:rsid w:val="5CFD5F09"/>
    <w:rsid w:val="5CFF1332"/>
    <w:rsid w:val="5D013F95"/>
    <w:rsid w:val="5D044189"/>
    <w:rsid w:val="5D083BF1"/>
    <w:rsid w:val="5D0936F1"/>
    <w:rsid w:val="5D0E1E88"/>
    <w:rsid w:val="5D18711B"/>
    <w:rsid w:val="5D1D4489"/>
    <w:rsid w:val="5D21322A"/>
    <w:rsid w:val="5D2729E4"/>
    <w:rsid w:val="5D2D248E"/>
    <w:rsid w:val="5D30213C"/>
    <w:rsid w:val="5D325311"/>
    <w:rsid w:val="5D337878"/>
    <w:rsid w:val="5D39366B"/>
    <w:rsid w:val="5D395096"/>
    <w:rsid w:val="5D410715"/>
    <w:rsid w:val="5D51520F"/>
    <w:rsid w:val="5D593973"/>
    <w:rsid w:val="5D615D99"/>
    <w:rsid w:val="5D6817B9"/>
    <w:rsid w:val="5D681807"/>
    <w:rsid w:val="5D6C2853"/>
    <w:rsid w:val="5D77652A"/>
    <w:rsid w:val="5D777E5E"/>
    <w:rsid w:val="5D82542D"/>
    <w:rsid w:val="5D857AA6"/>
    <w:rsid w:val="5D897BF9"/>
    <w:rsid w:val="5D8B16C1"/>
    <w:rsid w:val="5D8D5023"/>
    <w:rsid w:val="5D8E09CE"/>
    <w:rsid w:val="5D910148"/>
    <w:rsid w:val="5D926E32"/>
    <w:rsid w:val="5D93030C"/>
    <w:rsid w:val="5D9435D6"/>
    <w:rsid w:val="5D995DEF"/>
    <w:rsid w:val="5D996569"/>
    <w:rsid w:val="5D9F0F2C"/>
    <w:rsid w:val="5DA05734"/>
    <w:rsid w:val="5DA22A12"/>
    <w:rsid w:val="5DA958E0"/>
    <w:rsid w:val="5DAB5496"/>
    <w:rsid w:val="5DB030CE"/>
    <w:rsid w:val="5DB23206"/>
    <w:rsid w:val="5DB31EBB"/>
    <w:rsid w:val="5DB44D17"/>
    <w:rsid w:val="5DB47318"/>
    <w:rsid w:val="5DBA570C"/>
    <w:rsid w:val="5DC353D9"/>
    <w:rsid w:val="5DC6240A"/>
    <w:rsid w:val="5DC85EAE"/>
    <w:rsid w:val="5DCF7A63"/>
    <w:rsid w:val="5DD048D5"/>
    <w:rsid w:val="5DD06F69"/>
    <w:rsid w:val="5DDA7EFA"/>
    <w:rsid w:val="5DDB02BF"/>
    <w:rsid w:val="5DE1097F"/>
    <w:rsid w:val="5DE2428E"/>
    <w:rsid w:val="5DEA4D5D"/>
    <w:rsid w:val="5DEE4609"/>
    <w:rsid w:val="5DF51606"/>
    <w:rsid w:val="5DF56D54"/>
    <w:rsid w:val="5DF77561"/>
    <w:rsid w:val="5DF878B2"/>
    <w:rsid w:val="5DFA086C"/>
    <w:rsid w:val="5E002D81"/>
    <w:rsid w:val="5E027CB7"/>
    <w:rsid w:val="5E052D51"/>
    <w:rsid w:val="5E0A0A9B"/>
    <w:rsid w:val="5E1324DB"/>
    <w:rsid w:val="5E135431"/>
    <w:rsid w:val="5E150C16"/>
    <w:rsid w:val="5E1A521C"/>
    <w:rsid w:val="5E1F42A8"/>
    <w:rsid w:val="5E202B7A"/>
    <w:rsid w:val="5E2243D6"/>
    <w:rsid w:val="5E231B5D"/>
    <w:rsid w:val="5E243BB9"/>
    <w:rsid w:val="5E2604BD"/>
    <w:rsid w:val="5E2757CF"/>
    <w:rsid w:val="5E2759A0"/>
    <w:rsid w:val="5E280E06"/>
    <w:rsid w:val="5E284FF4"/>
    <w:rsid w:val="5E2F2B72"/>
    <w:rsid w:val="5E2F405E"/>
    <w:rsid w:val="5E2F561C"/>
    <w:rsid w:val="5E3000AC"/>
    <w:rsid w:val="5E36355A"/>
    <w:rsid w:val="5E3C0CAE"/>
    <w:rsid w:val="5E3E7F73"/>
    <w:rsid w:val="5E3F751A"/>
    <w:rsid w:val="5E434250"/>
    <w:rsid w:val="5E453329"/>
    <w:rsid w:val="5E49788B"/>
    <w:rsid w:val="5E4A02A4"/>
    <w:rsid w:val="5E4B0EE4"/>
    <w:rsid w:val="5E4E48DA"/>
    <w:rsid w:val="5E5004E8"/>
    <w:rsid w:val="5E560583"/>
    <w:rsid w:val="5E561481"/>
    <w:rsid w:val="5E566045"/>
    <w:rsid w:val="5E591173"/>
    <w:rsid w:val="5E5A7329"/>
    <w:rsid w:val="5E5D2199"/>
    <w:rsid w:val="5E5F44BD"/>
    <w:rsid w:val="5E634258"/>
    <w:rsid w:val="5E711667"/>
    <w:rsid w:val="5E743272"/>
    <w:rsid w:val="5E750484"/>
    <w:rsid w:val="5E7B0CE3"/>
    <w:rsid w:val="5E807302"/>
    <w:rsid w:val="5E891294"/>
    <w:rsid w:val="5E8C21AC"/>
    <w:rsid w:val="5E8F5A0A"/>
    <w:rsid w:val="5E942C92"/>
    <w:rsid w:val="5E972C43"/>
    <w:rsid w:val="5E9806F4"/>
    <w:rsid w:val="5E9919E2"/>
    <w:rsid w:val="5E993F56"/>
    <w:rsid w:val="5E9E47A5"/>
    <w:rsid w:val="5EA326F0"/>
    <w:rsid w:val="5EA45422"/>
    <w:rsid w:val="5EAD0F44"/>
    <w:rsid w:val="5EAE1F1B"/>
    <w:rsid w:val="5EB17302"/>
    <w:rsid w:val="5EB22637"/>
    <w:rsid w:val="5EB239B0"/>
    <w:rsid w:val="5EB47324"/>
    <w:rsid w:val="5EB723D6"/>
    <w:rsid w:val="5EBD03F6"/>
    <w:rsid w:val="5EC119EA"/>
    <w:rsid w:val="5EC467DB"/>
    <w:rsid w:val="5ED50AC7"/>
    <w:rsid w:val="5ED6087B"/>
    <w:rsid w:val="5ED912FA"/>
    <w:rsid w:val="5EDA221B"/>
    <w:rsid w:val="5EE04452"/>
    <w:rsid w:val="5EE06D83"/>
    <w:rsid w:val="5EE11359"/>
    <w:rsid w:val="5EE42D65"/>
    <w:rsid w:val="5EE51895"/>
    <w:rsid w:val="5EE66E8C"/>
    <w:rsid w:val="5EEE4CDB"/>
    <w:rsid w:val="5EEF72D8"/>
    <w:rsid w:val="5EF00A48"/>
    <w:rsid w:val="5EF07D30"/>
    <w:rsid w:val="5EF31ECE"/>
    <w:rsid w:val="5EFC6CEA"/>
    <w:rsid w:val="5F097575"/>
    <w:rsid w:val="5F0A5162"/>
    <w:rsid w:val="5F0C1D04"/>
    <w:rsid w:val="5F1278BD"/>
    <w:rsid w:val="5F160ADE"/>
    <w:rsid w:val="5F194F04"/>
    <w:rsid w:val="5F195D8C"/>
    <w:rsid w:val="5F1C749B"/>
    <w:rsid w:val="5F2066BB"/>
    <w:rsid w:val="5F2702A3"/>
    <w:rsid w:val="5F2E2151"/>
    <w:rsid w:val="5F311709"/>
    <w:rsid w:val="5F322890"/>
    <w:rsid w:val="5F3D36EE"/>
    <w:rsid w:val="5F3E0E1C"/>
    <w:rsid w:val="5F411BBC"/>
    <w:rsid w:val="5F414FAE"/>
    <w:rsid w:val="5F43197A"/>
    <w:rsid w:val="5F443627"/>
    <w:rsid w:val="5F45569B"/>
    <w:rsid w:val="5F496933"/>
    <w:rsid w:val="5F4A1875"/>
    <w:rsid w:val="5F4F6E4F"/>
    <w:rsid w:val="5F553C22"/>
    <w:rsid w:val="5F5D0B8D"/>
    <w:rsid w:val="5F61551C"/>
    <w:rsid w:val="5F633F44"/>
    <w:rsid w:val="5F6347D0"/>
    <w:rsid w:val="5F63670B"/>
    <w:rsid w:val="5F6545A5"/>
    <w:rsid w:val="5F6670B9"/>
    <w:rsid w:val="5F692FC5"/>
    <w:rsid w:val="5F695F92"/>
    <w:rsid w:val="5F6F4DD6"/>
    <w:rsid w:val="5F70778B"/>
    <w:rsid w:val="5F7765DF"/>
    <w:rsid w:val="5F7B45B0"/>
    <w:rsid w:val="5F7D704B"/>
    <w:rsid w:val="5F7F19B0"/>
    <w:rsid w:val="5F823E46"/>
    <w:rsid w:val="5F872554"/>
    <w:rsid w:val="5F960AB0"/>
    <w:rsid w:val="5F97010C"/>
    <w:rsid w:val="5F9B4D30"/>
    <w:rsid w:val="5F9D506D"/>
    <w:rsid w:val="5F9E4B66"/>
    <w:rsid w:val="5FA00771"/>
    <w:rsid w:val="5FAC4888"/>
    <w:rsid w:val="5FAE1D0F"/>
    <w:rsid w:val="5FB46C1E"/>
    <w:rsid w:val="5FB610BC"/>
    <w:rsid w:val="5FB6767D"/>
    <w:rsid w:val="5FBC0D87"/>
    <w:rsid w:val="5FC36D4D"/>
    <w:rsid w:val="5FCC3B65"/>
    <w:rsid w:val="5FD0023C"/>
    <w:rsid w:val="5FD06F3A"/>
    <w:rsid w:val="5FD2625E"/>
    <w:rsid w:val="5FD303BC"/>
    <w:rsid w:val="5FD7434C"/>
    <w:rsid w:val="5FDF4B9B"/>
    <w:rsid w:val="5FE07D05"/>
    <w:rsid w:val="5FE23128"/>
    <w:rsid w:val="5FED6DC7"/>
    <w:rsid w:val="5FEF5767"/>
    <w:rsid w:val="5FF47DD0"/>
    <w:rsid w:val="5FF57CD8"/>
    <w:rsid w:val="5FF60292"/>
    <w:rsid w:val="5FF671A2"/>
    <w:rsid w:val="5FFB4B3F"/>
    <w:rsid w:val="5FFC4E27"/>
    <w:rsid w:val="6000768E"/>
    <w:rsid w:val="60031ECA"/>
    <w:rsid w:val="60036B44"/>
    <w:rsid w:val="600B6A13"/>
    <w:rsid w:val="600D78A1"/>
    <w:rsid w:val="601520A9"/>
    <w:rsid w:val="60182C80"/>
    <w:rsid w:val="60193334"/>
    <w:rsid w:val="601C25CB"/>
    <w:rsid w:val="601D145C"/>
    <w:rsid w:val="601D5DFC"/>
    <w:rsid w:val="602542AF"/>
    <w:rsid w:val="60274EE4"/>
    <w:rsid w:val="602A082F"/>
    <w:rsid w:val="602A6B20"/>
    <w:rsid w:val="602D43E6"/>
    <w:rsid w:val="603D5807"/>
    <w:rsid w:val="603E1E32"/>
    <w:rsid w:val="60416437"/>
    <w:rsid w:val="60446C8C"/>
    <w:rsid w:val="604A1D39"/>
    <w:rsid w:val="604B6582"/>
    <w:rsid w:val="604E5478"/>
    <w:rsid w:val="604E65CC"/>
    <w:rsid w:val="60563061"/>
    <w:rsid w:val="606459F0"/>
    <w:rsid w:val="606B6488"/>
    <w:rsid w:val="60716043"/>
    <w:rsid w:val="60747678"/>
    <w:rsid w:val="60756518"/>
    <w:rsid w:val="60814EC9"/>
    <w:rsid w:val="608308B0"/>
    <w:rsid w:val="60850E32"/>
    <w:rsid w:val="60854409"/>
    <w:rsid w:val="60870181"/>
    <w:rsid w:val="60871757"/>
    <w:rsid w:val="608C753E"/>
    <w:rsid w:val="60921A11"/>
    <w:rsid w:val="609430F3"/>
    <w:rsid w:val="60943EB4"/>
    <w:rsid w:val="609507A0"/>
    <w:rsid w:val="609A00AD"/>
    <w:rsid w:val="609A3DC0"/>
    <w:rsid w:val="609A65E6"/>
    <w:rsid w:val="60A376B7"/>
    <w:rsid w:val="60A86D16"/>
    <w:rsid w:val="60A974C0"/>
    <w:rsid w:val="60AB23DE"/>
    <w:rsid w:val="60AD7416"/>
    <w:rsid w:val="60B22F36"/>
    <w:rsid w:val="60B408A9"/>
    <w:rsid w:val="60B436CF"/>
    <w:rsid w:val="60B61BEA"/>
    <w:rsid w:val="60C46370"/>
    <w:rsid w:val="60C67914"/>
    <w:rsid w:val="60CB61D3"/>
    <w:rsid w:val="60D40B8D"/>
    <w:rsid w:val="60D54DE4"/>
    <w:rsid w:val="60DC171C"/>
    <w:rsid w:val="60E7455D"/>
    <w:rsid w:val="60E9565F"/>
    <w:rsid w:val="60EB2059"/>
    <w:rsid w:val="60F717BD"/>
    <w:rsid w:val="60F9277C"/>
    <w:rsid w:val="60FF6877"/>
    <w:rsid w:val="610668B6"/>
    <w:rsid w:val="610A4BA4"/>
    <w:rsid w:val="6116518C"/>
    <w:rsid w:val="6117016C"/>
    <w:rsid w:val="611729D1"/>
    <w:rsid w:val="611A202C"/>
    <w:rsid w:val="611F4317"/>
    <w:rsid w:val="61264119"/>
    <w:rsid w:val="6129484E"/>
    <w:rsid w:val="612A1C96"/>
    <w:rsid w:val="612B1454"/>
    <w:rsid w:val="612D49D3"/>
    <w:rsid w:val="612F0A8B"/>
    <w:rsid w:val="6132487E"/>
    <w:rsid w:val="613320B7"/>
    <w:rsid w:val="613B7069"/>
    <w:rsid w:val="61481A74"/>
    <w:rsid w:val="614B649F"/>
    <w:rsid w:val="614C2917"/>
    <w:rsid w:val="614D12DF"/>
    <w:rsid w:val="6150428A"/>
    <w:rsid w:val="61523ACB"/>
    <w:rsid w:val="6152616C"/>
    <w:rsid w:val="61597953"/>
    <w:rsid w:val="615E57BC"/>
    <w:rsid w:val="61613710"/>
    <w:rsid w:val="616453F9"/>
    <w:rsid w:val="616754F6"/>
    <w:rsid w:val="6168037D"/>
    <w:rsid w:val="616950A8"/>
    <w:rsid w:val="616E322E"/>
    <w:rsid w:val="616F2B3D"/>
    <w:rsid w:val="617118A1"/>
    <w:rsid w:val="61722BDF"/>
    <w:rsid w:val="617567BA"/>
    <w:rsid w:val="61763CD6"/>
    <w:rsid w:val="61792D57"/>
    <w:rsid w:val="617D14BE"/>
    <w:rsid w:val="617E44BB"/>
    <w:rsid w:val="61813E86"/>
    <w:rsid w:val="61827A93"/>
    <w:rsid w:val="618302DA"/>
    <w:rsid w:val="61854DFB"/>
    <w:rsid w:val="618A171A"/>
    <w:rsid w:val="618C6B8A"/>
    <w:rsid w:val="618C7390"/>
    <w:rsid w:val="61982D18"/>
    <w:rsid w:val="619D6E95"/>
    <w:rsid w:val="61A3408A"/>
    <w:rsid w:val="61A556D4"/>
    <w:rsid w:val="61A65725"/>
    <w:rsid w:val="61A8151E"/>
    <w:rsid w:val="61A8396C"/>
    <w:rsid w:val="61BC790B"/>
    <w:rsid w:val="61BF19DD"/>
    <w:rsid w:val="61C16074"/>
    <w:rsid w:val="61CF29A0"/>
    <w:rsid w:val="61D26674"/>
    <w:rsid w:val="61D577EF"/>
    <w:rsid w:val="61D7179A"/>
    <w:rsid w:val="61D97CE3"/>
    <w:rsid w:val="61DA7F9D"/>
    <w:rsid w:val="61E0799A"/>
    <w:rsid w:val="61E20987"/>
    <w:rsid w:val="61E652DB"/>
    <w:rsid w:val="61EB473F"/>
    <w:rsid w:val="61EF1DCE"/>
    <w:rsid w:val="61EF517E"/>
    <w:rsid w:val="61F47A98"/>
    <w:rsid w:val="61FA4799"/>
    <w:rsid w:val="61FB5513"/>
    <w:rsid w:val="620024A1"/>
    <w:rsid w:val="620040B2"/>
    <w:rsid w:val="620B2628"/>
    <w:rsid w:val="620E6A06"/>
    <w:rsid w:val="621864D7"/>
    <w:rsid w:val="62190FDF"/>
    <w:rsid w:val="621C562D"/>
    <w:rsid w:val="621F6FC0"/>
    <w:rsid w:val="622624ED"/>
    <w:rsid w:val="62305BF8"/>
    <w:rsid w:val="623448EA"/>
    <w:rsid w:val="623847B3"/>
    <w:rsid w:val="62397410"/>
    <w:rsid w:val="624562AB"/>
    <w:rsid w:val="624624DD"/>
    <w:rsid w:val="624737FA"/>
    <w:rsid w:val="62474B7B"/>
    <w:rsid w:val="6248597C"/>
    <w:rsid w:val="6248736A"/>
    <w:rsid w:val="624D53FA"/>
    <w:rsid w:val="624F1172"/>
    <w:rsid w:val="62507BE7"/>
    <w:rsid w:val="62536202"/>
    <w:rsid w:val="62570027"/>
    <w:rsid w:val="625A1494"/>
    <w:rsid w:val="625C198E"/>
    <w:rsid w:val="625D48E4"/>
    <w:rsid w:val="6263592E"/>
    <w:rsid w:val="62677F5A"/>
    <w:rsid w:val="62683FE2"/>
    <w:rsid w:val="6269155B"/>
    <w:rsid w:val="627175F0"/>
    <w:rsid w:val="62726B57"/>
    <w:rsid w:val="62737C9D"/>
    <w:rsid w:val="62782477"/>
    <w:rsid w:val="6278752E"/>
    <w:rsid w:val="627B5832"/>
    <w:rsid w:val="627C22E5"/>
    <w:rsid w:val="62814984"/>
    <w:rsid w:val="6282151C"/>
    <w:rsid w:val="628368D2"/>
    <w:rsid w:val="628773F7"/>
    <w:rsid w:val="628D59D8"/>
    <w:rsid w:val="62967897"/>
    <w:rsid w:val="629B5966"/>
    <w:rsid w:val="629E7FE9"/>
    <w:rsid w:val="629F7B58"/>
    <w:rsid w:val="62A0333F"/>
    <w:rsid w:val="62A7029C"/>
    <w:rsid w:val="62AB6479"/>
    <w:rsid w:val="62AC5B10"/>
    <w:rsid w:val="62BE4BE7"/>
    <w:rsid w:val="62C02459"/>
    <w:rsid w:val="62C30225"/>
    <w:rsid w:val="62C56CFF"/>
    <w:rsid w:val="62C74DA2"/>
    <w:rsid w:val="62C87571"/>
    <w:rsid w:val="62C94714"/>
    <w:rsid w:val="62CD7948"/>
    <w:rsid w:val="62CE592F"/>
    <w:rsid w:val="62CF22CC"/>
    <w:rsid w:val="62DA1318"/>
    <w:rsid w:val="62DB36D0"/>
    <w:rsid w:val="62DD13EA"/>
    <w:rsid w:val="62E2681A"/>
    <w:rsid w:val="62E50681"/>
    <w:rsid w:val="62E5188D"/>
    <w:rsid w:val="62E66F26"/>
    <w:rsid w:val="62E67B80"/>
    <w:rsid w:val="62E91DB9"/>
    <w:rsid w:val="62ED2E2B"/>
    <w:rsid w:val="62ED477D"/>
    <w:rsid w:val="62EE7B46"/>
    <w:rsid w:val="62F57F5B"/>
    <w:rsid w:val="62F65BBB"/>
    <w:rsid w:val="62FC77A5"/>
    <w:rsid w:val="62FD052A"/>
    <w:rsid w:val="62FD0BCE"/>
    <w:rsid w:val="62FD6581"/>
    <w:rsid w:val="62FF6E5C"/>
    <w:rsid w:val="63047060"/>
    <w:rsid w:val="630C4E09"/>
    <w:rsid w:val="630C65CD"/>
    <w:rsid w:val="630D272E"/>
    <w:rsid w:val="63147CC6"/>
    <w:rsid w:val="6315416A"/>
    <w:rsid w:val="631A7AC4"/>
    <w:rsid w:val="631F4B7F"/>
    <w:rsid w:val="63203A8C"/>
    <w:rsid w:val="632266A0"/>
    <w:rsid w:val="632621CB"/>
    <w:rsid w:val="63292586"/>
    <w:rsid w:val="632A0584"/>
    <w:rsid w:val="632B1275"/>
    <w:rsid w:val="632F098F"/>
    <w:rsid w:val="632F57B0"/>
    <w:rsid w:val="633135ED"/>
    <w:rsid w:val="63314B11"/>
    <w:rsid w:val="6332101C"/>
    <w:rsid w:val="63396703"/>
    <w:rsid w:val="633A3FB5"/>
    <w:rsid w:val="633B6B37"/>
    <w:rsid w:val="633D721D"/>
    <w:rsid w:val="633F0469"/>
    <w:rsid w:val="6341089E"/>
    <w:rsid w:val="63417A2F"/>
    <w:rsid w:val="63426A05"/>
    <w:rsid w:val="63432561"/>
    <w:rsid w:val="63436EE2"/>
    <w:rsid w:val="634811C6"/>
    <w:rsid w:val="63481776"/>
    <w:rsid w:val="634A3485"/>
    <w:rsid w:val="634D49DD"/>
    <w:rsid w:val="6355115A"/>
    <w:rsid w:val="635E4A3F"/>
    <w:rsid w:val="635F01B9"/>
    <w:rsid w:val="63611B18"/>
    <w:rsid w:val="63624BFA"/>
    <w:rsid w:val="636445D0"/>
    <w:rsid w:val="63667215"/>
    <w:rsid w:val="63693855"/>
    <w:rsid w:val="636958A5"/>
    <w:rsid w:val="636D462F"/>
    <w:rsid w:val="636E268B"/>
    <w:rsid w:val="636E631A"/>
    <w:rsid w:val="637A771A"/>
    <w:rsid w:val="638213CD"/>
    <w:rsid w:val="63824BEC"/>
    <w:rsid w:val="63826200"/>
    <w:rsid w:val="63845C0F"/>
    <w:rsid w:val="63885114"/>
    <w:rsid w:val="638D0A7E"/>
    <w:rsid w:val="639738E9"/>
    <w:rsid w:val="6398081B"/>
    <w:rsid w:val="63A455F3"/>
    <w:rsid w:val="63A54384"/>
    <w:rsid w:val="63A72924"/>
    <w:rsid w:val="63B136C4"/>
    <w:rsid w:val="63B51B9A"/>
    <w:rsid w:val="63B82D47"/>
    <w:rsid w:val="63BD6822"/>
    <w:rsid w:val="63BE10C8"/>
    <w:rsid w:val="63C00805"/>
    <w:rsid w:val="63C76093"/>
    <w:rsid w:val="63C77282"/>
    <w:rsid w:val="63CC45E9"/>
    <w:rsid w:val="63CC47F2"/>
    <w:rsid w:val="63CE27AC"/>
    <w:rsid w:val="63D15391"/>
    <w:rsid w:val="63D515C0"/>
    <w:rsid w:val="63DC7395"/>
    <w:rsid w:val="63E049F5"/>
    <w:rsid w:val="63E33454"/>
    <w:rsid w:val="63E642DF"/>
    <w:rsid w:val="63E72676"/>
    <w:rsid w:val="63E753C2"/>
    <w:rsid w:val="63EA338E"/>
    <w:rsid w:val="63EC69B1"/>
    <w:rsid w:val="63EE139D"/>
    <w:rsid w:val="63F27714"/>
    <w:rsid w:val="63F56B15"/>
    <w:rsid w:val="63FE1BAD"/>
    <w:rsid w:val="64003238"/>
    <w:rsid w:val="6401779B"/>
    <w:rsid w:val="64055F98"/>
    <w:rsid w:val="640B31B7"/>
    <w:rsid w:val="640E0E3A"/>
    <w:rsid w:val="64153950"/>
    <w:rsid w:val="64197206"/>
    <w:rsid w:val="641E704E"/>
    <w:rsid w:val="641F4B74"/>
    <w:rsid w:val="64216E35"/>
    <w:rsid w:val="642771FD"/>
    <w:rsid w:val="642E00CE"/>
    <w:rsid w:val="642E5871"/>
    <w:rsid w:val="643209B3"/>
    <w:rsid w:val="643266A7"/>
    <w:rsid w:val="64371498"/>
    <w:rsid w:val="643A55F7"/>
    <w:rsid w:val="64433EC1"/>
    <w:rsid w:val="64467106"/>
    <w:rsid w:val="644B25EC"/>
    <w:rsid w:val="644B386F"/>
    <w:rsid w:val="6450441C"/>
    <w:rsid w:val="64574E17"/>
    <w:rsid w:val="645C7F2E"/>
    <w:rsid w:val="64706834"/>
    <w:rsid w:val="64726AFB"/>
    <w:rsid w:val="64772390"/>
    <w:rsid w:val="6478723F"/>
    <w:rsid w:val="64863CFB"/>
    <w:rsid w:val="6486707C"/>
    <w:rsid w:val="648A2538"/>
    <w:rsid w:val="6492794D"/>
    <w:rsid w:val="649446A2"/>
    <w:rsid w:val="6498442D"/>
    <w:rsid w:val="649E7966"/>
    <w:rsid w:val="64A32740"/>
    <w:rsid w:val="64B60C83"/>
    <w:rsid w:val="64B61BA9"/>
    <w:rsid w:val="64BE6EC1"/>
    <w:rsid w:val="64C0410F"/>
    <w:rsid w:val="64C44783"/>
    <w:rsid w:val="64C659E8"/>
    <w:rsid w:val="64C8296D"/>
    <w:rsid w:val="64CA4688"/>
    <w:rsid w:val="64CD4FFF"/>
    <w:rsid w:val="64D43BB1"/>
    <w:rsid w:val="64D52868"/>
    <w:rsid w:val="64DB3956"/>
    <w:rsid w:val="64E2782D"/>
    <w:rsid w:val="64E34463"/>
    <w:rsid w:val="64EA0056"/>
    <w:rsid w:val="64EA09DF"/>
    <w:rsid w:val="64F11A7C"/>
    <w:rsid w:val="64F62A98"/>
    <w:rsid w:val="64F90C02"/>
    <w:rsid w:val="65007EC6"/>
    <w:rsid w:val="650243C2"/>
    <w:rsid w:val="65067E96"/>
    <w:rsid w:val="650934D7"/>
    <w:rsid w:val="650A5B53"/>
    <w:rsid w:val="65135A59"/>
    <w:rsid w:val="65164DB3"/>
    <w:rsid w:val="65177F30"/>
    <w:rsid w:val="651B7877"/>
    <w:rsid w:val="651C055E"/>
    <w:rsid w:val="651F044C"/>
    <w:rsid w:val="65224FFF"/>
    <w:rsid w:val="652561BA"/>
    <w:rsid w:val="652611C5"/>
    <w:rsid w:val="652C1FDE"/>
    <w:rsid w:val="65314B5F"/>
    <w:rsid w:val="653623A4"/>
    <w:rsid w:val="653637CA"/>
    <w:rsid w:val="65387C9C"/>
    <w:rsid w:val="653E2219"/>
    <w:rsid w:val="653F466A"/>
    <w:rsid w:val="65412C36"/>
    <w:rsid w:val="654221AC"/>
    <w:rsid w:val="65442BE0"/>
    <w:rsid w:val="654E1577"/>
    <w:rsid w:val="65537BB2"/>
    <w:rsid w:val="655660F1"/>
    <w:rsid w:val="655972D0"/>
    <w:rsid w:val="655B5FCD"/>
    <w:rsid w:val="655C3C0F"/>
    <w:rsid w:val="655D016A"/>
    <w:rsid w:val="65606550"/>
    <w:rsid w:val="6561754F"/>
    <w:rsid w:val="65634CEC"/>
    <w:rsid w:val="65642F08"/>
    <w:rsid w:val="65687679"/>
    <w:rsid w:val="656B0B1F"/>
    <w:rsid w:val="65710365"/>
    <w:rsid w:val="6575198D"/>
    <w:rsid w:val="65765008"/>
    <w:rsid w:val="65766405"/>
    <w:rsid w:val="658613EE"/>
    <w:rsid w:val="6586202D"/>
    <w:rsid w:val="65862AC1"/>
    <w:rsid w:val="6589499B"/>
    <w:rsid w:val="658E55B6"/>
    <w:rsid w:val="658E7CF9"/>
    <w:rsid w:val="659449CB"/>
    <w:rsid w:val="659809EE"/>
    <w:rsid w:val="6598139F"/>
    <w:rsid w:val="659945C0"/>
    <w:rsid w:val="659B1856"/>
    <w:rsid w:val="659C3357"/>
    <w:rsid w:val="659D3BDD"/>
    <w:rsid w:val="65A2780B"/>
    <w:rsid w:val="65A57250"/>
    <w:rsid w:val="65AB7538"/>
    <w:rsid w:val="65AE229D"/>
    <w:rsid w:val="65B36CEA"/>
    <w:rsid w:val="65B47D56"/>
    <w:rsid w:val="65B53146"/>
    <w:rsid w:val="65BC0481"/>
    <w:rsid w:val="65C56462"/>
    <w:rsid w:val="65D15C1C"/>
    <w:rsid w:val="65D6268B"/>
    <w:rsid w:val="65D66FBB"/>
    <w:rsid w:val="65D83D5C"/>
    <w:rsid w:val="65DE6241"/>
    <w:rsid w:val="65E03BA4"/>
    <w:rsid w:val="65E04346"/>
    <w:rsid w:val="65E21F5D"/>
    <w:rsid w:val="65EA3037"/>
    <w:rsid w:val="65ED3F00"/>
    <w:rsid w:val="65F255AC"/>
    <w:rsid w:val="65FB1E9A"/>
    <w:rsid w:val="66014177"/>
    <w:rsid w:val="66014F2B"/>
    <w:rsid w:val="66025E60"/>
    <w:rsid w:val="6603118D"/>
    <w:rsid w:val="660364FC"/>
    <w:rsid w:val="660779C9"/>
    <w:rsid w:val="660A5A0F"/>
    <w:rsid w:val="660B4C8F"/>
    <w:rsid w:val="660D4187"/>
    <w:rsid w:val="660D6A74"/>
    <w:rsid w:val="660E7B49"/>
    <w:rsid w:val="66100514"/>
    <w:rsid w:val="661119A2"/>
    <w:rsid w:val="66113A46"/>
    <w:rsid w:val="661159D6"/>
    <w:rsid w:val="66162488"/>
    <w:rsid w:val="6616495D"/>
    <w:rsid w:val="66182BC4"/>
    <w:rsid w:val="661B2205"/>
    <w:rsid w:val="661B3C3E"/>
    <w:rsid w:val="661D71B5"/>
    <w:rsid w:val="661E1587"/>
    <w:rsid w:val="662026C6"/>
    <w:rsid w:val="66255FF6"/>
    <w:rsid w:val="66272C74"/>
    <w:rsid w:val="6629395C"/>
    <w:rsid w:val="662A1E8E"/>
    <w:rsid w:val="662C737A"/>
    <w:rsid w:val="6632293D"/>
    <w:rsid w:val="66395AF2"/>
    <w:rsid w:val="664517EA"/>
    <w:rsid w:val="664565CD"/>
    <w:rsid w:val="664B41F4"/>
    <w:rsid w:val="664D6A63"/>
    <w:rsid w:val="66526111"/>
    <w:rsid w:val="66567DA9"/>
    <w:rsid w:val="665A3F2F"/>
    <w:rsid w:val="665C23BA"/>
    <w:rsid w:val="666413B1"/>
    <w:rsid w:val="66671D90"/>
    <w:rsid w:val="666B2114"/>
    <w:rsid w:val="666D541F"/>
    <w:rsid w:val="666F06A2"/>
    <w:rsid w:val="66717B0B"/>
    <w:rsid w:val="667614A3"/>
    <w:rsid w:val="66774FA8"/>
    <w:rsid w:val="667A2DB6"/>
    <w:rsid w:val="667B2CFE"/>
    <w:rsid w:val="667C6910"/>
    <w:rsid w:val="66807EE0"/>
    <w:rsid w:val="66834438"/>
    <w:rsid w:val="668364E5"/>
    <w:rsid w:val="668528FF"/>
    <w:rsid w:val="6685640F"/>
    <w:rsid w:val="668E37C0"/>
    <w:rsid w:val="668E7784"/>
    <w:rsid w:val="668F527C"/>
    <w:rsid w:val="66934CCA"/>
    <w:rsid w:val="6693767F"/>
    <w:rsid w:val="66953DAD"/>
    <w:rsid w:val="66962FD8"/>
    <w:rsid w:val="669B171E"/>
    <w:rsid w:val="669F7A92"/>
    <w:rsid w:val="66A01F9C"/>
    <w:rsid w:val="66A40777"/>
    <w:rsid w:val="66A73C29"/>
    <w:rsid w:val="66A91EE1"/>
    <w:rsid w:val="66AC060D"/>
    <w:rsid w:val="66AD5BF9"/>
    <w:rsid w:val="66B0356D"/>
    <w:rsid w:val="66B1711D"/>
    <w:rsid w:val="66B26890"/>
    <w:rsid w:val="66B7486D"/>
    <w:rsid w:val="66BF1F53"/>
    <w:rsid w:val="66C2319A"/>
    <w:rsid w:val="66C25FA2"/>
    <w:rsid w:val="66C465B1"/>
    <w:rsid w:val="66C73DBC"/>
    <w:rsid w:val="66C776BA"/>
    <w:rsid w:val="66D21724"/>
    <w:rsid w:val="66E05923"/>
    <w:rsid w:val="66E406F2"/>
    <w:rsid w:val="66EC5C99"/>
    <w:rsid w:val="66F132AE"/>
    <w:rsid w:val="66FC38E0"/>
    <w:rsid w:val="66FD194F"/>
    <w:rsid w:val="66FD1F61"/>
    <w:rsid w:val="67010A23"/>
    <w:rsid w:val="670203ED"/>
    <w:rsid w:val="67045C35"/>
    <w:rsid w:val="670646EB"/>
    <w:rsid w:val="67067822"/>
    <w:rsid w:val="670B5E2D"/>
    <w:rsid w:val="67117308"/>
    <w:rsid w:val="67117BFC"/>
    <w:rsid w:val="6712451C"/>
    <w:rsid w:val="67144110"/>
    <w:rsid w:val="67167F2A"/>
    <w:rsid w:val="67193B12"/>
    <w:rsid w:val="671E0883"/>
    <w:rsid w:val="672075C1"/>
    <w:rsid w:val="6722076C"/>
    <w:rsid w:val="67264FE9"/>
    <w:rsid w:val="6727735F"/>
    <w:rsid w:val="672D0CDE"/>
    <w:rsid w:val="673175D1"/>
    <w:rsid w:val="67326AC9"/>
    <w:rsid w:val="67386679"/>
    <w:rsid w:val="673947F0"/>
    <w:rsid w:val="673E172A"/>
    <w:rsid w:val="674314C0"/>
    <w:rsid w:val="6743461F"/>
    <w:rsid w:val="674430EB"/>
    <w:rsid w:val="67480CA7"/>
    <w:rsid w:val="6755510F"/>
    <w:rsid w:val="675616F7"/>
    <w:rsid w:val="675F5B6B"/>
    <w:rsid w:val="67607D53"/>
    <w:rsid w:val="67621A16"/>
    <w:rsid w:val="67697801"/>
    <w:rsid w:val="676D2E59"/>
    <w:rsid w:val="6776054E"/>
    <w:rsid w:val="6778071F"/>
    <w:rsid w:val="67786F13"/>
    <w:rsid w:val="677A1975"/>
    <w:rsid w:val="677B735D"/>
    <w:rsid w:val="677E4A78"/>
    <w:rsid w:val="67800228"/>
    <w:rsid w:val="67822170"/>
    <w:rsid w:val="67840133"/>
    <w:rsid w:val="67920993"/>
    <w:rsid w:val="67937B37"/>
    <w:rsid w:val="67943722"/>
    <w:rsid w:val="679A3E88"/>
    <w:rsid w:val="679C43EA"/>
    <w:rsid w:val="679D758D"/>
    <w:rsid w:val="679E5585"/>
    <w:rsid w:val="67A23F6D"/>
    <w:rsid w:val="67A9528E"/>
    <w:rsid w:val="67AA3010"/>
    <w:rsid w:val="67AA718E"/>
    <w:rsid w:val="67AB3EC1"/>
    <w:rsid w:val="67AC2371"/>
    <w:rsid w:val="67B06505"/>
    <w:rsid w:val="67B11A97"/>
    <w:rsid w:val="67B13797"/>
    <w:rsid w:val="67B664E3"/>
    <w:rsid w:val="67B81568"/>
    <w:rsid w:val="67B949AB"/>
    <w:rsid w:val="67BB1E3C"/>
    <w:rsid w:val="67BD217A"/>
    <w:rsid w:val="67BF3D64"/>
    <w:rsid w:val="67C049E6"/>
    <w:rsid w:val="67C20E76"/>
    <w:rsid w:val="67C4784A"/>
    <w:rsid w:val="67C615F0"/>
    <w:rsid w:val="67C8702A"/>
    <w:rsid w:val="67CC5162"/>
    <w:rsid w:val="67CE2F37"/>
    <w:rsid w:val="67E2400A"/>
    <w:rsid w:val="67E67C37"/>
    <w:rsid w:val="67E91579"/>
    <w:rsid w:val="67F06AC4"/>
    <w:rsid w:val="67F13D86"/>
    <w:rsid w:val="67F94D25"/>
    <w:rsid w:val="68022455"/>
    <w:rsid w:val="68045E9E"/>
    <w:rsid w:val="68055F4C"/>
    <w:rsid w:val="680E737A"/>
    <w:rsid w:val="68124C40"/>
    <w:rsid w:val="68153AAC"/>
    <w:rsid w:val="681B0319"/>
    <w:rsid w:val="681B48F5"/>
    <w:rsid w:val="681D761D"/>
    <w:rsid w:val="682E69EB"/>
    <w:rsid w:val="6831271D"/>
    <w:rsid w:val="68336E40"/>
    <w:rsid w:val="683E5405"/>
    <w:rsid w:val="683F22D9"/>
    <w:rsid w:val="68406D61"/>
    <w:rsid w:val="684144F8"/>
    <w:rsid w:val="68443B3A"/>
    <w:rsid w:val="68456FF0"/>
    <w:rsid w:val="6848042D"/>
    <w:rsid w:val="684B415E"/>
    <w:rsid w:val="684E54F7"/>
    <w:rsid w:val="6850190E"/>
    <w:rsid w:val="68532BFE"/>
    <w:rsid w:val="685519C9"/>
    <w:rsid w:val="68555B53"/>
    <w:rsid w:val="68563B18"/>
    <w:rsid w:val="68591EAB"/>
    <w:rsid w:val="685A1A3E"/>
    <w:rsid w:val="685A617B"/>
    <w:rsid w:val="685D77ED"/>
    <w:rsid w:val="685F4C91"/>
    <w:rsid w:val="686134C7"/>
    <w:rsid w:val="68623115"/>
    <w:rsid w:val="68642B92"/>
    <w:rsid w:val="68661554"/>
    <w:rsid w:val="686853F9"/>
    <w:rsid w:val="686C12DC"/>
    <w:rsid w:val="686C2E65"/>
    <w:rsid w:val="686F48BA"/>
    <w:rsid w:val="68710710"/>
    <w:rsid w:val="687444B8"/>
    <w:rsid w:val="68774C73"/>
    <w:rsid w:val="68784B1E"/>
    <w:rsid w:val="68784FDA"/>
    <w:rsid w:val="687926BE"/>
    <w:rsid w:val="688126A8"/>
    <w:rsid w:val="68891F61"/>
    <w:rsid w:val="68906041"/>
    <w:rsid w:val="68924499"/>
    <w:rsid w:val="68932A95"/>
    <w:rsid w:val="68936150"/>
    <w:rsid w:val="68995A76"/>
    <w:rsid w:val="689D2D90"/>
    <w:rsid w:val="68A141AE"/>
    <w:rsid w:val="68A85145"/>
    <w:rsid w:val="68AA74E5"/>
    <w:rsid w:val="68B119AA"/>
    <w:rsid w:val="68B52EBC"/>
    <w:rsid w:val="68C8761D"/>
    <w:rsid w:val="68CB3878"/>
    <w:rsid w:val="68D05286"/>
    <w:rsid w:val="68D90D5B"/>
    <w:rsid w:val="68E601AC"/>
    <w:rsid w:val="68E62C05"/>
    <w:rsid w:val="68E6696C"/>
    <w:rsid w:val="68EA6908"/>
    <w:rsid w:val="68ED077F"/>
    <w:rsid w:val="68EE5ED1"/>
    <w:rsid w:val="68EF590D"/>
    <w:rsid w:val="68F17940"/>
    <w:rsid w:val="68FA66C4"/>
    <w:rsid w:val="69015D8B"/>
    <w:rsid w:val="69033DCE"/>
    <w:rsid w:val="69047A28"/>
    <w:rsid w:val="69076303"/>
    <w:rsid w:val="690928E5"/>
    <w:rsid w:val="690D2242"/>
    <w:rsid w:val="69102050"/>
    <w:rsid w:val="69103EBD"/>
    <w:rsid w:val="69127CE7"/>
    <w:rsid w:val="69147854"/>
    <w:rsid w:val="69163005"/>
    <w:rsid w:val="692077B2"/>
    <w:rsid w:val="6923794A"/>
    <w:rsid w:val="69264333"/>
    <w:rsid w:val="692D4AA1"/>
    <w:rsid w:val="692E1565"/>
    <w:rsid w:val="69321850"/>
    <w:rsid w:val="693361D9"/>
    <w:rsid w:val="69372D97"/>
    <w:rsid w:val="69381DA8"/>
    <w:rsid w:val="693C53A2"/>
    <w:rsid w:val="693E2DF4"/>
    <w:rsid w:val="693E527C"/>
    <w:rsid w:val="693F6446"/>
    <w:rsid w:val="69461951"/>
    <w:rsid w:val="694626A4"/>
    <w:rsid w:val="69473BF3"/>
    <w:rsid w:val="69476075"/>
    <w:rsid w:val="694F5416"/>
    <w:rsid w:val="69510ABC"/>
    <w:rsid w:val="695C6B82"/>
    <w:rsid w:val="695D7F08"/>
    <w:rsid w:val="69622487"/>
    <w:rsid w:val="69655DC0"/>
    <w:rsid w:val="696806D5"/>
    <w:rsid w:val="69682D18"/>
    <w:rsid w:val="696A36E4"/>
    <w:rsid w:val="696A60B8"/>
    <w:rsid w:val="696D57A6"/>
    <w:rsid w:val="69714FCC"/>
    <w:rsid w:val="697711A4"/>
    <w:rsid w:val="697A0768"/>
    <w:rsid w:val="697A23B2"/>
    <w:rsid w:val="697B6F54"/>
    <w:rsid w:val="697D5FF9"/>
    <w:rsid w:val="698024FA"/>
    <w:rsid w:val="69851D04"/>
    <w:rsid w:val="698603F2"/>
    <w:rsid w:val="69872034"/>
    <w:rsid w:val="698A26C0"/>
    <w:rsid w:val="698C05B6"/>
    <w:rsid w:val="6992449E"/>
    <w:rsid w:val="699417E4"/>
    <w:rsid w:val="69961435"/>
    <w:rsid w:val="69992100"/>
    <w:rsid w:val="699C054C"/>
    <w:rsid w:val="699D4CD5"/>
    <w:rsid w:val="69A27DD9"/>
    <w:rsid w:val="69A411AB"/>
    <w:rsid w:val="69A45644"/>
    <w:rsid w:val="69A46C42"/>
    <w:rsid w:val="69A55FAD"/>
    <w:rsid w:val="69A920BB"/>
    <w:rsid w:val="69A92926"/>
    <w:rsid w:val="69AA57C4"/>
    <w:rsid w:val="69AF6E3B"/>
    <w:rsid w:val="69B03EFF"/>
    <w:rsid w:val="69B434C8"/>
    <w:rsid w:val="69B5257D"/>
    <w:rsid w:val="69B842EA"/>
    <w:rsid w:val="69BD249D"/>
    <w:rsid w:val="69C37044"/>
    <w:rsid w:val="69C629E5"/>
    <w:rsid w:val="69D30CB6"/>
    <w:rsid w:val="69D33039"/>
    <w:rsid w:val="69D70550"/>
    <w:rsid w:val="69DB1BBB"/>
    <w:rsid w:val="69DC0D79"/>
    <w:rsid w:val="69DF629A"/>
    <w:rsid w:val="69E3452E"/>
    <w:rsid w:val="69E74BE3"/>
    <w:rsid w:val="69ED6A86"/>
    <w:rsid w:val="69ED735F"/>
    <w:rsid w:val="69EF05D7"/>
    <w:rsid w:val="69F01E07"/>
    <w:rsid w:val="69F24CC0"/>
    <w:rsid w:val="69F35AE3"/>
    <w:rsid w:val="69F66A1E"/>
    <w:rsid w:val="69F81C90"/>
    <w:rsid w:val="69FA19C4"/>
    <w:rsid w:val="6A003990"/>
    <w:rsid w:val="6A034FF8"/>
    <w:rsid w:val="6A052123"/>
    <w:rsid w:val="6A0C0DD4"/>
    <w:rsid w:val="6A146706"/>
    <w:rsid w:val="6A1911E1"/>
    <w:rsid w:val="6A1A02B8"/>
    <w:rsid w:val="6A282A09"/>
    <w:rsid w:val="6A2B6577"/>
    <w:rsid w:val="6A2B76A8"/>
    <w:rsid w:val="6A2E1BEA"/>
    <w:rsid w:val="6A334E6B"/>
    <w:rsid w:val="6A340CBE"/>
    <w:rsid w:val="6A344270"/>
    <w:rsid w:val="6A356EA0"/>
    <w:rsid w:val="6A3655F2"/>
    <w:rsid w:val="6A3944D3"/>
    <w:rsid w:val="6A3F5A0D"/>
    <w:rsid w:val="6A4141B0"/>
    <w:rsid w:val="6A44068F"/>
    <w:rsid w:val="6A4718E8"/>
    <w:rsid w:val="6A475454"/>
    <w:rsid w:val="6A4B66C3"/>
    <w:rsid w:val="6A4F5574"/>
    <w:rsid w:val="6A506CB3"/>
    <w:rsid w:val="6A55562D"/>
    <w:rsid w:val="6A585F8E"/>
    <w:rsid w:val="6A59526A"/>
    <w:rsid w:val="6A5D6BEF"/>
    <w:rsid w:val="6A647885"/>
    <w:rsid w:val="6A6732D2"/>
    <w:rsid w:val="6A6D1027"/>
    <w:rsid w:val="6A74002E"/>
    <w:rsid w:val="6A7509B6"/>
    <w:rsid w:val="6A7723E9"/>
    <w:rsid w:val="6A791ACA"/>
    <w:rsid w:val="6A7A652C"/>
    <w:rsid w:val="6A7C04A2"/>
    <w:rsid w:val="6A801A35"/>
    <w:rsid w:val="6A854819"/>
    <w:rsid w:val="6A8809AC"/>
    <w:rsid w:val="6A89687F"/>
    <w:rsid w:val="6A8E32FC"/>
    <w:rsid w:val="6A8F0AB5"/>
    <w:rsid w:val="6A915B79"/>
    <w:rsid w:val="6A944545"/>
    <w:rsid w:val="6A992D4E"/>
    <w:rsid w:val="6A9B7CEE"/>
    <w:rsid w:val="6AA12AE3"/>
    <w:rsid w:val="6AA705FE"/>
    <w:rsid w:val="6AAD5585"/>
    <w:rsid w:val="6AAD6066"/>
    <w:rsid w:val="6AB20F9C"/>
    <w:rsid w:val="6AB3295B"/>
    <w:rsid w:val="6AB504D7"/>
    <w:rsid w:val="6ABB72F8"/>
    <w:rsid w:val="6ABF7BCC"/>
    <w:rsid w:val="6AC2755F"/>
    <w:rsid w:val="6ACA56D4"/>
    <w:rsid w:val="6AD61907"/>
    <w:rsid w:val="6AD761A5"/>
    <w:rsid w:val="6AD97668"/>
    <w:rsid w:val="6ADD6664"/>
    <w:rsid w:val="6AEC79EF"/>
    <w:rsid w:val="6AEF4608"/>
    <w:rsid w:val="6AF25287"/>
    <w:rsid w:val="6AF26F87"/>
    <w:rsid w:val="6AF928D4"/>
    <w:rsid w:val="6AFB7A2B"/>
    <w:rsid w:val="6AFC30F6"/>
    <w:rsid w:val="6AFC62D7"/>
    <w:rsid w:val="6AFE3D60"/>
    <w:rsid w:val="6AFF2CF2"/>
    <w:rsid w:val="6AFF6F6E"/>
    <w:rsid w:val="6B005423"/>
    <w:rsid w:val="6B02769E"/>
    <w:rsid w:val="6B035AE5"/>
    <w:rsid w:val="6B0A38B6"/>
    <w:rsid w:val="6B116EEA"/>
    <w:rsid w:val="6B157E9A"/>
    <w:rsid w:val="6B191E8F"/>
    <w:rsid w:val="6B1F3888"/>
    <w:rsid w:val="6B1F3BCC"/>
    <w:rsid w:val="6B251631"/>
    <w:rsid w:val="6B295720"/>
    <w:rsid w:val="6B2D7C93"/>
    <w:rsid w:val="6B3022A6"/>
    <w:rsid w:val="6B312899"/>
    <w:rsid w:val="6B343BDB"/>
    <w:rsid w:val="6B391E32"/>
    <w:rsid w:val="6B3B4582"/>
    <w:rsid w:val="6B417402"/>
    <w:rsid w:val="6B421874"/>
    <w:rsid w:val="6B421E4A"/>
    <w:rsid w:val="6B431148"/>
    <w:rsid w:val="6B4423E8"/>
    <w:rsid w:val="6B4731FA"/>
    <w:rsid w:val="6B4C54FE"/>
    <w:rsid w:val="6B4F7230"/>
    <w:rsid w:val="6B5012ED"/>
    <w:rsid w:val="6B5103DD"/>
    <w:rsid w:val="6B5D22D9"/>
    <w:rsid w:val="6B6131CD"/>
    <w:rsid w:val="6B700221"/>
    <w:rsid w:val="6B743C27"/>
    <w:rsid w:val="6B7B1522"/>
    <w:rsid w:val="6B7B3809"/>
    <w:rsid w:val="6B8022D8"/>
    <w:rsid w:val="6B835D88"/>
    <w:rsid w:val="6B867A87"/>
    <w:rsid w:val="6B8D06F6"/>
    <w:rsid w:val="6B910D76"/>
    <w:rsid w:val="6B931167"/>
    <w:rsid w:val="6B9D4545"/>
    <w:rsid w:val="6B9D4684"/>
    <w:rsid w:val="6BA1343A"/>
    <w:rsid w:val="6BA178FD"/>
    <w:rsid w:val="6BA20BE9"/>
    <w:rsid w:val="6BA33F1B"/>
    <w:rsid w:val="6BA53C12"/>
    <w:rsid w:val="6BA95E6E"/>
    <w:rsid w:val="6BB3122F"/>
    <w:rsid w:val="6BB52525"/>
    <w:rsid w:val="6BB842FB"/>
    <w:rsid w:val="6BBD6D1F"/>
    <w:rsid w:val="6BBE2A3A"/>
    <w:rsid w:val="6BC02D96"/>
    <w:rsid w:val="6BC06C3D"/>
    <w:rsid w:val="6BC3062F"/>
    <w:rsid w:val="6BC43749"/>
    <w:rsid w:val="6BC66EE0"/>
    <w:rsid w:val="6BCA0158"/>
    <w:rsid w:val="6BCB3771"/>
    <w:rsid w:val="6BCE6A0A"/>
    <w:rsid w:val="6BD27646"/>
    <w:rsid w:val="6BD6616F"/>
    <w:rsid w:val="6BD9440F"/>
    <w:rsid w:val="6BE1584B"/>
    <w:rsid w:val="6BED2E12"/>
    <w:rsid w:val="6BEF1FDE"/>
    <w:rsid w:val="6BF13623"/>
    <w:rsid w:val="6BF1596A"/>
    <w:rsid w:val="6BF227E1"/>
    <w:rsid w:val="6BF6073E"/>
    <w:rsid w:val="6BF808C2"/>
    <w:rsid w:val="6BF97BC7"/>
    <w:rsid w:val="6BFA36A4"/>
    <w:rsid w:val="6BFE2DB7"/>
    <w:rsid w:val="6C1152F1"/>
    <w:rsid w:val="6C1C77E6"/>
    <w:rsid w:val="6C1D2AC3"/>
    <w:rsid w:val="6C1D494D"/>
    <w:rsid w:val="6C217AE9"/>
    <w:rsid w:val="6C2375E7"/>
    <w:rsid w:val="6C263BD5"/>
    <w:rsid w:val="6C270A38"/>
    <w:rsid w:val="6C310D47"/>
    <w:rsid w:val="6C343478"/>
    <w:rsid w:val="6C3573F0"/>
    <w:rsid w:val="6C3D3BAD"/>
    <w:rsid w:val="6C432240"/>
    <w:rsid w:val="6C4322E8"/>
    <w:rsid w:val="6C437B33"/>
    <w:rsid w:val="6C483F04"/>
    <w:rsid w:val="6C497C03"/>
    <w:rsid w:val="6C4B1D18"/>
    <w:rsid w:val="6C526881"/>
    <w:rsid w:val="6C535C8A"/>
    <w:rsid w:val="6C607F0F"/>
    <w:rsid w:val="6C6172B8"/>
    <w:rsid w:val="6C64701B"/>
    <w:rsid w:val="6C6F34D4"/>
    <w:rsid w:val="6C73395D"/>
    <w:rsid w:val="6C7452B0"/>
    <w:rsid w:val="6C795FD5"/>
    <w:rsid w:val="6C80227A"/>
    <w:rsid w:val="6C862D3A"/>
    <w:rsid w:val="6C866A06"/>
    <w:rsid w:val="6C8B0B5C"/>
    <w:rsid w:val="6C8B39AB"/>
    <w:rsid w:val="6C8C422C"/>
    <w:rsid w:val="6C8C7A6F"/>
    <w:rsid w:val="6C8F1586"/>
    <w:rsid w:val="6C902169"/>
    <w:rsid w:val="6C906C56"/>
    <w:rsid w:val="6C925A3C"/>
    <w:rsid w:val="6C931A9E"/>
    <w:rsid w:val="6C93689C"/>
    <w:rsid w:val="6C9670DA"/>
    <w:rsid w:val="6C9731CD"/>
    <w:rsid w:val="6C987408"/>
    <w:rsid w:val="6C9B4E47"/>
    <w:rsid w:val="6C9C4496"/>
    <w:rsid w:val="6CA553D7"/>
    <w:rsid w:val="6CA56094"/>
    <w:rsid w:val="6CA711D7"/>
    <w:rsid w:val="6CA803D3"/>
    <w:rsid w:val="6CA919FC"/>
    <w:rsid w:val="6CB406F1"/>
    <w:rsid w:val="6CB449F5"/>
    <w:rsid w:val="6CB502BD"/>
    <w:rsid w:val="6CB63A06"/>
    <w:rsid w:val="6CC35840"/>
    <w:rsid w:val="6CCA16F8"/>
    <w:rsid w:val="6CCD53C8"/>
    <w:rsid w:val="6CD95F32"/>
    <w:rsid w:val="6CDA18A2"/>
    <w:rsid w:val="6CDB4437"/>
    <w:rsid w:val="6CE22156"/>
    <w:rsid w:val="6CE41F22"/>
    <w:rsid w:val="6CF11AC6"/>
    <w:rsid w:val="6CFB0F02"/>
    <w:rsid w:val="6D042655"/>
    <w:rsid w:val="6D056691"/>
    <w:rsid w:val="6D071136"/>
    <w:rsid w:val="6D0775FF"/>
    <w:rsid w:val="6D0C13AB"/>
    <w:rsid w:val="6D0E2FA9"/>
    <w:rsid w:val="6D103752"/>
    <w:rsid w:val="6D145053"/>
    <w:rsid w:val="6D164D2A"/>
    <w:rsid w:val="6D1B3B34"/>
    <w:rsid w:val="6D203B4F"/>
    <w:rsid w:val="6D210E83"/>
    <w:rsid w:val="6D261117"/>
    <w:rsid w:val="6D2905A7"/>
    <w:rsid w:val="6D2B404B"/>
    <w:rsid w:val="6D392474"/>
    <w:rsid w:val="6D3E3FC6"/>
    <w:rsid w:val="6D3F0540"/>
    <w:rsid w:val="6D46384F"/>
    <w:rsid w:val="6D4650F0"/>
    <w:rsid w:val="6D475141"/>
    <w:rsid w:val="6D48029F"/>
    <w:rsid w:val="6D484FDC"/>
    <w:rsid w:val="6D4B252A"/>
    <w:rsid w:val="6D4D4DCB"/>
    <w:rsid w:val="6D537BE6"/>
    <w:rsid w:val="6D556EA2"/>
    <w:rsid w:val="6D5963CB"/>
    <w:rsid w:val="6D603E11"/>
    <w:rsid w:val="6D605FE2"/>
    <w:rsid w:val="6D6063B3"/>
    <w:rsid w:val="6D641020"/>
    <w:rsid w:val="6D64688D"/>
    <w:rsid w:val="6D665B56"/>
    <w:rsid w:val="6D692236"/>
    <w:rsid w:val="6D6A587F"/>
    <w:rsid w:val="6D793547"/>
    <w:rsid w:val="6D7E57FD"/>
    <w:rsid w:val="6D800432"/>
    <w:rsid w:val="6D805FC0"/>
    <w:rsid w:val="6D8151DD"/>
    <w:rsid w:val="6D836647"/>
    <w:rsid w:val="6D865F1B"/>
    <w:rsid w:val="6D8C550B"/>
    <w:rsid w:val="6D97154F"/>
    <w:rsid w:val="6D9C0439"/>
    <w:rsid w:val="6D9D43D3"/>
    <w:rsid w:val="6D9E5A11"/>
    <w:rsid w:val="6D9E7E1B"/>
    <w:rsid w:val="6DA148BA"/>
    <w:rsid w:val="6DA25611"/>
    <w:rsid w:val="6DA2581C"/>
    <w:rsid w:val="6DA26B14"/>
    <w:rsid w:val="6DAB0348"/>
    <w:rsid w:val="6DAD778B"/>
    <w:rsid w:val="6DAE1F30"/>
    <w:rsid w:val="6DB2336A"/>
    <w:rsid w:val="6DB24DB2"/>
    <w:rsid w:val="6DB32809"/>
    <w:rsid w:val="6DB801D4"/>
    <w:rsid w:val="6DB84DE7"/>
    <w:rsid w:val="6DBB1BC2"/>
    <w:rsid w:val="6DBF0FB3"/>
    <w:rsid w:val="6DBF6715"/>
    <w:rsid w:val="6DC22B76"/>
    <w:rsid w:val="6DC449DE"/>
    <w:rsid w:val="6DC5253D"/>
    <w:rsid w:val="6DCF2CE6"/>
    <w:rsid w:val="6DD46CF2"/>
    <w:rsid w:val="6DD9544D"/>
    <w:rsid w:val="6DDC61D3"/>
    <w:rsid w:val="6DDD22AB"/>
    <w:rsid w:val="6DDD359C"/>
    <w:rsid w:val="6DDE2821"/>
    <w:rsid w:val="6DE33A1C"/>
    <w:rsid w:val="6DE6733A"/>
    <w:rsid w:val="6DE867A6"/>
    <w:rsid w:val="6DEA67AC"/>
    <w:rsid w:val="6DED46CF"/>
    <w:rsid w:val="6DEE0E0A"/>
    <w:rsid w:val="6DF007E5"/>
    <w:rsid w:val="6DF064B1"/>
    <w:rsid w:val="6DF244F6"/>
    <w:rsid w:val="6DF42363"/>
    <w:rsid w:val="6DF97A34"/>
    <w:rsid w:val="6E004FC9"/>
    <w:rsid w:val="6E0323F5"/>
    <w:rsid w:val="6E057080"/>
    <w:rsid w:val="6E0777CF"/>
    <w:rsid w:val="6E093B17"/>
    <w:rsid w:val="6E0A505A"/>
    <w:rsid w:val="6E0E54B4"/>
    <w:rsid w:val="6E116621"/>
    <w:rsid w:val="6E166FE8"/>
    <w:rsid w:val="6E1B1687"/>
    <w:rsid w:val="6E1E68D0"/>
    <w:rsid w:val="6E3774C6"/>
    <w:rsid w:val="6E3A0F28"/>
    <w:rsid w:val="6E401E78"/>
    <w:rsid w:val="6E41188E"/>
    <w:rsid w:val="6E437EDC"/>
    <w:rsid w:val="6E44238C"/>
    <w:rsid w:val="6E497DDA"/>
    <w:rsid w:val="6E4A1ABC"/>
    <w:rsid w:val="6E4A2B78"/>
    <w:rsid w:val="6E4B6221"/>
    <w:rsid w:val="6E527FAF"/>
    <w:rsid w:val="6E554DC4"/>
    <w:rsid w:val="6E5A482F"/>
    <w:rsid w:val="6E5A5DD9"/>
    <w:rsid w:val="6E5A63C0"/>
    <w:rsid w:val="6E622BC2"/>
    <w:rsid w:val="6E6317DE"/>
    <w:rsid w:val="6E6B367C"/>
    <w:rsid w:val="6E7350DE"/>
    <w:rsid w:val="6E737F96"/>
    <w:rsid w:val="6E741477"/>
    <w:rsid w:val="6E7747F3"/>
    <w:rsid w:val="6E7B6054"/>
    <w:rsid w:val="6E7D7CCD"/>
    <w:rsid w:val="6E8D5438"/>
    <w:rsid w:val="6E8F356A"/>
    <w:rsid w:val="6E8F645E"/>
    <w:rsid w:val="6E900B48"/>
    <w:rsid w:val="6E9015E2"/>
    <w:rsid w:val="6E907F61"/>
    <w:rsid w:val="6E917819"/>
    <w:rsid w:val="6EA92D42"/>
    <w:rsid w:val="6EAA15D3"/>
    <w:rsid w:val="6EAA6460"/>
    <w:rsid w:val="6EAE41BB"/>
    <w:rsid w:val="6EAF351C"/>
    <w:rsid w:val="6EBB7281"/>
    <w:rsid w:val="6EC514C9"/>
    <w:rsid w:val="6EC638DC"/>
    <w:rsid w:val="6EC95A6C"/>
    <w:rsid w:val="6ECC6EAA"/>
    <w:rsid w:val="6ECD6F73"/>
    <w:rsid w:val="6ED50C51"/>
    <w:rsid w:val="6ED86F0E"/>
    <w:rsid w:val="6ED901DC"/>
    <w:rsid w:val="6EDD7B20"/>
    <w:rsid w:val="6EDF07F7"/>
    <w:rsid w:val="6EE05058"/>
    <w:rsid w:val="6EE278BC"/>
    <w:rsid w:val="6EE30DDC"/>
    <w:rsid w:val="6EEA254D"/>
    <w:rsid w:val="6EED1BAC"/>
    <w:rsid w:val="6EED21F6"/>
    <w:rsid w:val="6EEE61B0"/>
    <w:rsid w:val="6EEF78E9"/>
    <w:rsid w:val="6EF0447F"/>
    <w:rsid w:val="6EF43A83"/>
    <w:rsid w:val="6EF466C4"/>
    <w:rsid w:val="6EF67C97"/>
    <w:rsid w:val="6EF83D4F"/>
    <w:rsid w:val="6EF8673A"/>
    <w:rsid w:val="6EFD35C3"/>
    <w:rsid w:val="6F025DCF"/>
    <w:rsid w:val="6F061574"/>
    <w:rsid w:val="6F073C45"/>
    <w:rsid w:val="6F102DBA"/>
    <w:rsid w:val="6F164459"/>
    <w:rsid w:val="6F265F5D"/>
    <w:rsid w:val="6F2802C8"/>
    <w:rsid w:val="6F292DCA"/>
    <w:rsid w:val="6F2A7BFA"/>
    <w:rsid w:val="6F2E7DDA"/>
    <w:rsid w:val="6F304C02"/>
    <w:rsid w:val="6F3516F0"/>
    <w:rsid w:val="6F352B5B"/>
    <w:rsid w:val="6F35691A"/>
    <w:rsid w:val="6F357F06"/>
    <w:rsid w:val="6F3A1D39"/>
    <w:rsid w:val="6F3B3C92"/>
    <w:rsid w:val="6F423505"/>
    <w:rsid w:val="6F4465C0"/>
    <w:rsid w:val="6F45513C"/>
    <w:rsid w:val="6F50261F"/>
    <w:rsid w:val="6F5E2B16"/>
    <w:rsid w:val="6F626D7D"/>
    <w:rsid w:val="6F6871DA"/>
    <w:rsid w:val="6F6921F3"/>
    <w:rsid w:val="6F6B5112"/>
    <w:rsid w:val="6F733DBA"/>
    <w:rsid w:val="6F734385"/>
    <w:rsid w:val="6F75755A"/>
    <w:rsid w:val="6F7635D9"/>
    <w:rsid w:val="6F795A4B"/>
    <w:rsid w:val="6F7A09DE"/>
    <w:rsid w:val="6F8678BB"/>
    <w:rsid w:val="6F8A1914"/>
    <w:rsid w:val="6F8B168C"/>
    <w:rsid w:val="6F8B5420"/>
    <w:rsid w:val="6F905D5E"/>
    <w:rsid w:val="6F90795A"/>
    <w:rsid w:val="6F954C14"/>
    <w:rsid w:val="6F984176"/>
    <w:rsid w:val="6F9943FB"/>
    <w:rsid w:val="6F9B2EE1"/>
    <w:rsid w:val="6F9F4E1E"/>
    <w:rsid w:val="6FA14793"/>
    <w:rsid w:val="6FA36659"/>
    <w:rsid w:val="6FA67459"/>
    <w:rsid w:val="6FA73F25"/>
    <w:rsid w:val="6FB05248"/>
    <w:rsid w:val="6FB32635"/>
    <w:rsid w:val="6FB429BF"/>
    <w:rsid w:val="6FB56D97"/>
    <w:rsid w:val="6FB62E76"/>
    <w:rsid w:val="6FB85B7A"/>
    <w:rsid w:val="6FBC0BE0"/>
    <w:rsid w:val="6FC52EF9"/>
    <w:rsid w:val="6FC720F1"/>
    <w:rsid w:val="6FC75C65"/>
    <w:rsid w:val="6FC96D67"/>
    <w:rsid w:val="6FCE32B6"/>
    <w:rsid w:val="6FD17FA6"/>
    <w:rsid w:val="6FD227AB"/>
    <w:rsid w:val="6FD71BC4"/>
    <w:rsid w:val="6FDC3811"/>
    <w:rsid w:val="6FDD1271"/>
    <w:rsid w:val="6FE34A6B"/>
    <w:rsid w:val="6FE57AEE"/>
    <w:rsid w:val="6FE91C9B"/>
    <w:rsid w:val="6FEB015A"/>
    <w:rsid w:val="6FEB230F"/>
    <w:rsid w:val="6FED5E2C"/>
    <w:rsid w:val="6FF067DB"/>
    <w:rsid w:val="6FF07EE6"/>
    <w:rsid w:val="6FFC154E"/>
    <w:rsid w:val="70023112"/>
    <w:rsid w:val="700328A5"/>
    <w:rsid w:val="7003452C"/>
    <w:rsid w:val="700417EE"/>
    <w:rsid w:val="7005350F"/>
    <w:rsid w:val="700716A5"/>
    <w:rsid w:val="700A0487"/>
    <w:rsid w:val="700F5E31"/>
    <w:rsid w:val="701A383C"/>
    <w:rsid w:val="701E45FC"/>
    <w:rsid w:val="70241E66"/>
    <w:rsid w:val="7025628B"/>
    <w:rsid w:val="70264461"/>
    <w:rsid w:val="702B1EBA"/>
    <w:rsid w:val="702C3FBC"/>
    <w:rsid w:val="70310EDE"/>
    <w:rsid w:val="70314699"/>
    <w:rsid w:val="70366C57"/>
    <w:rsid w:val="70394F27"/>
    <w:rsid w:val="703A636D"/>
    <w:rsid w:val="70424D68"/>
    <w:rsid w:val="7045173E"/>
    <w:rsid w:val="70457CBD"/>
    <w:rsid w:val="704B3F8A"/>
    <w:rsid w:val="704C2D5C"/>
    <w:rsid w:val="704D49D0"/>
    <w:rsid w:val="704E35F8"/>
    <w:rsid w:val="70514A1D"/>
    <w:rsid w:val="70531E2E"/>
    <w:rsid w:val="70535044"/>
    <w:rsid w:val="70570A82"/>
    <w:rsid w:val="70593D58"/>
    <w:rsid w:val="705D4044"/>
    <w:rsid w:val="705E49C3"/>
    <w:rsid w:val="70617B1F"/>
    <w:rsid w:val="7067263F"/>
    <w:rsid w:val="7068012C"/>
    <w:rsid w:val="706C7393"/>
    <w:rsid w:val="7075483F"/>
    <w:rsid w:val="707B0601"/>
    <w:rsid w:val="707E46C2"/>
    <w:rsid w:val="708421A3"/>
    <w:rsid w:val="70852493"/>
    <w:rsid w:val="70864D6E"/>
    <w:rsid w:val="70875720"/>
    <w:rsid w:val="70877AB7"/>
    <w:rsid w:val="7088480A"/>
    <w:rsid w:val="708B4499"/>
    <w:rsid w:val="708F69B0"/>
    <w:rsid w:val="70931E31"/>
    <w:rsid w:val="70934326"/>
    <w:rsid w:val="70997A13"/>
    <w:rsid w:val="70A146F3"/>
    <w:rsid w:val="70A8611E"/>
    <w:rsid w:val="70AC039A"/>
    <w:rsid w:val="70AD38A1"/>
    <w:rsid w:val="70AF0ACF"/>
    <w:rsid w:val="70B0078B"/>
    <w:rsid w:val="70B32E9A"/>
    <w:rsid w:val="70B3467E"/>
    <w:rsid w:val="70B71351"/>
    <w:rsid w:val="70C35629"/>
    <w:rsid w:val="70C4246F"/>
    <w:rsid w:val="70C621FC"/>
    <w:rsid w:val="70CA68C3"/>
    <w:rsid w:val="70CF5B89"/>
    <w:rsid w:val="70D14D89"/>
    <w:rsid w:val="70D22610"/>
    <w:rsid w:val="70D32843"/>
    <w:rsid w:val="70D7629B"/>
    <w:rsid w:val="70F200DC"/>
    <w:rsid w:val="70F405A5"/>
    <w:rsid w:val="70FB3284"/>
    <w:rsid w:val="70FC0454"/>
    <w:rsid w:val="70FC46DF"/>
    <w:rsid w:val="71027EBB"/>
    <w:rsid w:val="71081974"/>
    <w:rsid w:val="710A112E"/>
    <w:rsid w:val="710C55E8"/>
    <w:rsid w:val="710C7323"/>
    <w:rsid w:val="7113094E"/>
    <w:rsid w:val="71136E00"/>
    <w:rsid w:val="711508E9"/>
    <w:rsid w:val="71180135"/>
    <w:rsid w:val="71214783"/>
    <w:rsid w:val="712A28E9"/>
    <w:rsid w:val="712D467C"/>
    <w:rsid w:val="71301CEE"/>
    <w:rsid w:val="713022CF"/>
    <w:rsid w:val="713348C9"/>
    <w:rsid w:val="71362CDB"/>
    <w:rsid w:val="713673C6"/>
    <w:rsid w:val="71377E61"/>
    <w:rsid w:val="713E2ADE"/>
    <w:rsid w:val="713F3299"/>
    <w:rsid w:val="71405FD6"/>
    <w:rsid w:val="71410352"/>
    <w:rsid w:val="71422E00"/>
    <w:rsid w:val="71472374"/>
    <w:rsid w:val="714814F4"/>
    <w:rsid w:val="714941CF"/>
    <w:rsid w:val="714C0113"/>
    <w:rsid w:val="714D59F2"/>
    <w:rsid w:val="714F587F"/>
    <w:rsid w:val="71545F5F"/>
    <w:rsid w:val="71551C50"/>
    <w:rsid w:val="715A6BFB"/>
    <w:rsid w:val="715B4C45"/>
    <w:rsid w:val="71624DB8"/>
    <w:rsid w:val="716B3ED5"/>
    <w:rsid w:val="716B46E9"/>
    <w:rsid w:val="71714392"/>
    <w:rsid w:val="7173449A"/>
    <w:rsid w:val="71740D7B"/>
    <w:rsid w:val="71755904"/>
    <w:rsid w:val="71774485"/>
    <w:rsid w:val="717915C7"/>
    <w:rsid w:val="71795DAF"/>
    <w:rsid w:val="717F1F08"/>
    <w:rsid w:val="717F5212"/>
    <w:rsid w:val="71812596"/>
    <w:rsid w:val="71816EA0"/>
    <w:rsid w:val="71817659"/>
    <w:rsid w:val="7182039C"/>
    <w:rsid w:val="7186247D"/>
    <w:rsid w:val="71874604"/>
    <w:rsid w:val="71875379"/>
    <w:rsid w:val="718A3381"/>
    <w:rsid w:val="718B5CF3"/>
    <w:rsid w:val="71900D29"/>
    <w:rsid w:val="7191430F"/>
    <w:rsid w:val="71917AA9"/>
    <w:rsid w:val="71922B26"/>
    <w:rsid w:val="7199327E"/>
    <w:rsid w:val="71995F66"/>
    <w:rsid w:val="719A6E2E"/>
    <w:rsid w:val="719C2342"/>
    <w:rsid w:val="719F19B3"/>
    <w:rsid w:val="719F3CF4"/>
    <w:rsid w:val="71A7412C"/>
    <w:rsid w:val="71AA15DD"/>
    <w:rsid w:val="71AD3953"/>
    <w:rsid w:val="71AD42FA"/>
    <w:rsid w:val="71AE21DA"/>
    <w:rsid w:val="71AE2EAA"/>
    <w:rsid w:val="71AF34FB"/>
    <w:rsid w:val="71AF5789"/>
    <w:rsid w:val="71B005CF"/>
    <w:rsid w:val="71B1073E"/>
    <w:rsid w:val="71B14CD6"/>
    <w:rsid w:val="71B162C4"/>
    <w:rsid w:val="71B2547D"/>
    <w:rsid w:val="71B97871"/>
    <w:rsid w:val="71BE1864"/>
    <w:rsid w:val="71C02D12"/>
    <w:rsid w:val="71C06D2C"/>
    <w:rsid w:val="71C53A60"/>
    <w:rsid w:val="71C816A4"/>
    <w:rsid w:val="71CC4952"/>
    <w:rsid w:val="71D6143D"/>
    <w:rsid w:val="71DC5282"/>
    <w:rsid w:val="71DF1721"/>
    <w:rsid w:val="71E052AE"/>
    <w:rsid w:val="71E52241"/>
    <w:rsid w:val="71E60D48"/>
    <w:rsid w:val="71E610F2"/>
    <w:rsid w:val="71E83D6D"/>
    <w:rsid w:val="71EF7C2F"/>
    <w:rsid w:val="71F15F76"/>
    <w:rsid w:val="71F20FC1"/>
    <w:rsid w:val="71F43F91"/>
    <w:rsid w:val="71FB6829"/>
    <w:rsid w:val="72030772"/>
    <w:rsid w:val="72046544"/>
    <w:rsid w:val="72065EA2"/>
    <w:rsid w:val="7209622E"/>
    <w:rsid w:val="720A6E64"/>
    <w:rsid w:val="720E7FE0"/>
    <w:rsid w:val="720F2993"/>
    <w:rsid w:val="720F40E3"/>
    <w:rsid w:val="721012C9"/>
    <w:rsid w:val="72176583"/>
    <w:rsid w:val="721B6B1A"/>
    <w:rsid w:val="72211982"/>
    <w:rsid w:val="72256A1F"/>
    <w:rsid w:val="72273572"/>
    <w:rsid w:val="72285A32"/>
    <w:rsid w:val="722B36FD"/>
    <w:rsid w:val="722B3A90"/>
    <w:rsid w:val="722C301F"/>
    <w:rsid w:val="722F77C1"/>
    <w:rsid w:val="72301A23"/>
    <w:rsid w:val="72341D98"/>
    <w:rsid w:val="72370A45"/>
    <w:rsid w:val="723908C1"/>
    <w:rsid w:val="723E7C8E"/>
    <w:rsid w:val="724526F5"/>
    <w:rsid w:val="724756EA"/>
    <w:rsid w:val="72483764"/>
    <w:rsid w:val="724B14F7"/>
    <w:rsid w:val="724B2FAE"/>
    <w:rsid w:val="7250290B"/>
    <w:rsid w:val="72513FC6"/>
    <w:rsid w:val="725266CA"/>
    <w:rsid w:val="72591767"/>
    <w:rsid w:val="725951B6"/>
    <w:rsid w:val="725C5DD3"/>
    <w:rsid w:val="725F1E4C"/>
    <w:rsid w:val="72606F0D"/>
    <w:rsid w:val="726C061F"/>
    <w:rsid w:val="72784565"/>
    <w:rsid w:val="727A1E32"/>
    <w:rsid w:val="727C427D"/>
    <w:rsid w:val="727C4C9F"/>
    <w:rsid w:val="727F79E8"/>
    <w:rsid w:val="728043B4"/>
    <w:rsid w:val="72822800"/>
    <w:rsid w:val="72831581"/>
    <w:rsid w:val="728C679D"/>
    <w:rsid w:val="728E4756"/>
    <w:rsid w:val="729448DE"/>
    <w:rsid w:val="72966B3B"/>
    <w:rsid w:val="72A44F8E"/>
    <w:rsid w:val="72AB41A3"/>
    <w:rsid w:val="72AD34F5"/>
    <w:rsid w:val="72B31376"/>
    <w:rsid w:val="72B4060F"/>
    <w:rsid w:val="72B53685"/>
    <w:rsid w:val="72B9646A"/>
    <w:rsid w:val="72BC1AE7"/>
    <w:rsid w:val="72BD635A"/>
    <w:rsid w:val="72BE467B"/>
    <w:rsid w:val="72C5427F"/>
    <w:rsid w:val="72C6271D"/>
    <w:rsid w:val="72C81A50"/>
    <w:rsid w:val="72D01153"/>
    <w:rsid w:val="72D054D2"/>
    <w:rsid w:val="72D059B7"/>
    <w:rsid w:val="72D25789"/>
    <w:rsid w:val="72D82ABE"/>
    <w:rsid w:val="72D92609"/>
    <w:rsid w:val="72DD6A6D"/>
    <w:rsid w:val="72E36EBE"/>
    <w:rsid w:val="72E512AD"/>
    <w:rsid w:val="72E731FE"/>
    <w:rsid w:val="72E76513"/>
    <w:rsid w:val="72EB27F1"/>
    <w:rsid w:val="72EB5D86"/>
    <w:rsid w:val="72EC7AC9"/>
    <w:rsid w:val="72F97EE7"/>
    <w:rsid w:val="730211B8"/>
    <w:rsid w:val="730303A4"/>
    <w:rsid w:val="73055026"/>
    <w:rsid w:val="730604EF"/>
    <w:rsid w:val="7306363E"/>
    <w:rsid w:val="730D19DA"/>
    <w:rsid w:val="7311079A"/>
    <w:rsid w:val="73161F43"/>
    <w:rsid w:val="73170A23"/>
    <w:rsid w:val="73296078"/>
    <w:rsid w:val="732D2D0B"/>
    <w:rsid w:val="732D32A0"/>
    <w:rsid w:val="73304503"/>
    <w:rsid w:val="73337CF4"/>
    <w:rsid w:val="73363D1B"/>
    <w:rsid w:val="73387BF4"/>
    <w:rsid w:val="73392928"/>
    <w:rsid w:val="733C3A55"/>
    <w:rsid w:val="73446D26"/>
    <w:rsid w:val="734B109B"/>
    <w:rsid w:val="734E27FE"/>
    <w:rsid w:val="73511982"/>
    <w:rsid w:val="73535985"/>
    <w:rsid w:val="735E3748"/>
    <w:rsid w:val="736213FF"/>
    <w:rsid w:val="73633C05"/>
    <w:rsid w:val="73641C9F"/>
    <w:rsid w:val="73662B23"/>
    <w:rsid w:val="73686108"/>
    <w:rsid w:val="736D267D"/>
    <w:rsid w:val="73720CBB"/>
    <w:rsid w:val="737328C6"/>
    <w:rsid w:val="73741904"/>
    <w:rsid w:val="73747856"/>
    <w:rsid w:val="737629A2"/>
    <w:rsid w:val="73766479"/>
    <w:rsid w:val="737713BF"/>
    <w:rsid w:val="73775D0F"/>
    <w:rsid w:val="737B1C5A"/>
    <w:rsid w:val="73851481"/>
    <w:rsid w:val="738642C8"/>
    <w:rsid w:val="73865C96"/>
    <w:rsid w:val="738D07B9"/>
    <w:rsid w:val="738D38A8"/>
    <w:rsid w:val="738D7384"/>
    <w:rsid w:val="739359D1"/>
    <w:rsid w:val="73963D9D"/>
    <w:rsid w:val="739F1189"/>
    <w:rsid w:val="73A82090"/>
    <w:rsid w:val="73A822C9"/>
    <w:rsid w:val="73A966D2"/>
    <w:rsid w:val="73AA5AE4"/>
    <w:rsid w:val="73B23B2A"/>
    <w:rsid w:val="73B57CE6"/>
    <w:rsid w:val="73BC0856"/>
    <w:rsid w:val="73C10D42"/>
    <w:rsid w:val="73C72F6C"/>
    <w:rsid w:val="73D15EE1"/>
    <w:rsid w:val="73D414D7"/>
    <w:rsid w:val="73D50F83"/>
    <w:rsid w:val="73D573C7"/>
    <w:rsid w:val="73DB31ED"/>
    <w:rsid w:val="73DD049E"/>
    <w:rsid w:val="73E208D9"/>
    <w:rsid w:val="73E75BF1"/>
    <w:rsid w:val="73E76E13"/>
    <w:rsid w:val="73E831D5"/>
    <w:rsid w:val="73EF3E5E"/>
    <w:rsid w:val="73F1163A"/>
    <w:rsid w:val="73F83F5B"/>
    <w:rsid w:val="73FB24B9"/>
    <w:rsid w:val="73FE31E0"/>
    <w:rsid w:val="73FF1683"/>
    <w:rsid w:val="74075A0E"/>
    <w:rsid w:val="740808B1"/>
    <w:rsid w:val="740A6F00"/>
    <w:rsid w:val="740C06B5"/>
    <w:rsid w:val="740F171D"/>
    <w:rsid w:val="74125DC7"/>
    <w:rsid w:val="741831C4"/>
    <w:rsid w:val="74191A1D"/>
    <w:rsid w:val="741A2052"/>
    <w:rsid w:val="741A31CF"/>
    <w:rsid w:val="741D1BD2"/>
    <w:rsid w:val="741E0DCF"/>
    <w:rsid w:val="741E2BAD"/>
    <w:rsid w:val="74205599"/>
    <w:rsid w:val="74281276"/>
    <w:rsid w:val="742A6BFD"/>
    <w:rsid w:val="742C6668"/>
    <w:rsid w:val="7439625A"/>
    <w:rsid w:val="7442573E"/>
    <w:rsid w:val="744B2F52"/>
    <w:rsid w:val="745256F5"/>
    <w:rsid w:val="74561319"/>
    <w:rsid w:val="74585695"/>
    <w:rsid w:val="74597376"/>
    <w:rsid w:val="745F3497"/>
    <w:rsid w:val="745F7BBD"/>
    <w:rsid w:val="74616167"/>
    <w:rsid w:val="74636861"/>
    <w:rsid w:val="74654825"/>
    <w:rsid w:val="746608AD"/>
    <w:rsid w:val="74687A30"/>
    <w:rsid w:val="74701FB3"/>
    <w:rsid w:val="747726B7"/>
    <w:rsid w:val="7478573F"/>
    <w:rsid w:val="748D1B98"/>
    <w:rsid w:val="748F4466"/>
    <w:rsid w:val="748F562D"/>
    <w:rsid w:val="74906B8D"/>
    <w:rsid w:val="749249D4"/>
    <w:rsid w:val="74953330"/>
    <w:rsid w:val="7495519E"/>
    <w:rsid w:val="7498294B"/>
    <w:rsid w:val="749C7093"/>
    <w:rsid w:val="749D06E5"/>
    <w:rsid w:val="749F5B61"/>
    <w:rsid w:val="74A0067E"/>
    <w:rsid w:val="74A3221A"/>
    <w:rsid w:val="74A41250"/>
    <w:rsid w:val="74A42250"/>
    <w:rsid w:val="74A52924"/>
    <w:rsid w:val="74A770DD"/>
    <w:rsid w:val="74A870C1"/>
    <w:rsid w:val="74AA03BB"/>
    <w:rsid w:val="74AE62C2"/>
    <w:rsid w:val="74B01DC8"/>
    <w:rsid w:val="74B05B96"/>
    <w:rsid w:val="74B17BAA"/>
    <w:rsid w:val="74BE0771"/>
    <w:rsid w:val="74C4105D"/>
    <w:rsid w:val="74C668D3"/>
    <w:rsid w:val="74C72A28"/>
    <w:rsid w:val="74CB0795"/>
    <w:rsid w:val="74DD1D7F"/>
    <w:rsid w:val="74DE2A0B"/>
    <w:rsid w:val="74E05C18"/>
    <w:rsid w:val="74E669ED"/>
    <w:rsid w:val="74E765F7"/>
    <w:rsid w:val="74ED6504"/>
    <w:rsid w:val="74F04112"/>
    <w:rsid w:val="74F07E2D"/>
    <w:rsid w:val="74F675DD"/>
    <w:rsid w:val="74F7379A"/>
    <w:rsid w:val="74FF31E8"/>
    <w:rsid w:val="75010C15"/>
    <w:rsid w:val="7502317C"/>
    <w:rsid w:val="75040B57"/>
    <w:rsid w:val="75047B9A"/>
    <w:rsid w:val="750612FE"/>
    <w:rsid w:val="75061F3D"/>
    <w:rsid w:val="750A2CD7"/>
    <w:rsid w:val="7511530C"/>
    <w:rsid w:val="7517100B"/>
    <w:rsid w:val="751A66E4"/>
    <w:rsid w:val="751F3361"/>
    <w:rsid w:val="752403DF"/>
    <w:rsid w:val="752562A7"/>
    <w:rsid w:val="752F11C9"/>
    <w:rsid w:val="752F7C0C"/>
    <w:rsid w:val="75391BC9"/>
    <w:rsid w:val="753A7CF0"/>
    <w:rsid w:val="753F0D0D"/>
    <w:rsid w:val="754273AA"/>
    <w:rsid w:val="75461CFE"/>
    <w:rsid w:val="754654CA"/>
    <w:rsid w:val="754740C0"/>
    <w:rsid w:val="754A498B"/>
    <w:rsid w:val="755308A9"/>
    <w:rsid w:val="75554560"/>
    <w:rsid w:val="75554FEA"/>
    <w:rsid w:val="75575D0D"/>
    <w:rsid w:val="75610128"/>
    <w:rsid w:val="7562662B"/>
    <w:rsid w:val="756327B6"/>
    <w:rsid w:val="756602A5"/>
    <w:rsid w:val="75671AB5"/>
    <w:rsid w:val="756D69B3"/>
    <w:rsid w:val="756D7AD9"/>
    <w:rsid w:val="756E4E09"/>
    <w:rsid w:val="75717D9C"/>
    <w:rsid w:val="757222FA"/>
    <w:rsid w:val="757802B4"/>
    <w:rsid w:val="75792336"/>
    <w:rsid w:val="757B1EB1"/>
    <w:rsid w:val="75831E5A"/>
    <w:rsid w:val="758344E6"/>
    <w:rsid w:val="75843FE0"/>
    <w:rsid w:val="75851897"/>
    <w:rsid w:val="758635BB"/>
    <w:rsid w:val="758B3DEF"/>
    <w:rsid w:val="75905FDC"/>
    <w:rsid w:val="7592333B"/>
    <w:rsid w:val="75926230"/>
    <w:rsid w:val="7592666F"/>
    <w:rsid w:val="75942843"/>
    <w:rsid w:val="759707DF"/>
    <w:rsid w:val="75980C9B"/>
    <w:rsid w:val="75997B7D"/>
    <w:rsid w:val="759D55D8"/>
    <w:rsid w:val="759D63B2"/>
    <w:rsid w:val="759E0E3C"/>
    <w:rsid w:val="75A03D67"/>
    <w:rsid w:val="75A15A91"/>
    <w:rsid w:val="75A221D9"/>
    <w:rsid w:val="75A31763"/>
    <w:rsid w:val="75A35605"/>
    <w:rsid w:val="75A77B2C"/>
    <w:rsid w:val="75A86585"/>
    <w:rsid w:val="75AC28D0"/>
    <w:rsid w:val="75AE7B06"/>
    <w:rsid w:val="75B42E67"/>
    <w:rsid w:val="75BE10DA"/>
    <w:rsid w:val="75BE79EF"/>
    <w:rsid w:val="75C04DBB"/>
    <w:rsid w:val="75C27594"/>
    <w:rsid w:val="75C62A35"/>
    <w:rsid w:val="75C93AC3"/>
    <w:rsid w:val="75CA2E4F"/>
    <w:rsid w:val="75CA7E6C"/>
    <w:rsid w:val="75CF280D"/>
    <w:rsid w:val="75D337D9"/>
    <w:rsid w:val="75D36ADB"/>
    <w:rsid w:val="75D46EC6"/>
    <w:rsid w:val="75D62159"/>
    <w:rsid w:val="75D708CF"/>
    <w:rsid w:val="75DD7C84"/>
    <w:rsid w:val="75DE09B5"/>
    <w:rsid w:val="75E67AAB"/>
    <w:rsid w:val="75E72D3C"/>
    <w:rsid w:val="75EB22FE"/>
    <w:rsid w:val="75ED1CFB"/>
    <w:rsid w:val="75ED21CC"/>
    <w:rsid w:val="75EE06A0"/>
    <w:rsid w:val="75EF25B9"/>
    <w:rsid w:val="75EF7D3F"/>
    <w:rsid w:val="75F515A6"/>
    <w:rsid w:val="75F56414"/>
    <w:rsid w:val="75F703CC"/>
    <w:rsid w:val="75F946B3"/>
    <w:rsid w:val="75FC2274"/>
    <w:rsid w:val="76061C99"/>
    <w:rsid w:val="7608339F"/>
    <w:rsid w:val="760A50E8"/>
    <w:rsid w:val="760B047B"/>
    <w:rsid w:val="760B5FAD"/>
    <w:rsid w:val="76113186"/>
    <w:rsid w:val="76123E57"/>
    <w:rsid w:val="761304E6"/>
    <w:rsid w:val="7614175F"/>
    <w:rsid w:val="76147D92"/>
    <w:rsid w:val="763C3822"/>
    <w:rsid w:val="763F4AC2"/>
    <w:rsid w:val="76422BFB"/>
    <w:rsid w:val="76447170"/>
    <w:rsid w:val="76455DD2"/>
    <w:rsid w:val="764566BC"/>
    <w:rsid w:val="76483EDB"/>
    <w:rsid w:val="764A782F"/>
    <w:rsid w:val="76501DAA"/>
    <w:rsid w:val="7653629B"/>
    <w:rsid w:val="765442AB"/>
    <w:rsid w:val="76563820"/>
    <w:rsid w:val="765B2BFB"/>
    <w:rsid w:val="765C5B11"/>
    <w:rsid w:val="765E166A"/>
    <w:rsid w:val="765F5101"/>
    <w:rsid w:val="766C7D03"/>
    <w:rsid w:val="76731A7C"/>
    <w:rsid w:val="76741CD0"/>
    <w:rsid w:val="767703AD"/>
    <w:rsid w:val="76870527"/>
    <w:rsid w:val="768A7AFC"/>
    <w:rsid w:val="768C3BBD"/>
    <w:rsid w:val="768E0DAD"/>
    <w:rsid w:val="768E64A4"/>
    <w:rsid w:val="768F45A2"/>
    <w:rsid w:val="76923654"/>
    <w:rsid w:val="76941A88"/>
    <w:rsid w:val="76A173D2"/>
    <w:rsid w:val="76A76C28"/>
    <w:rsid w:val="76AA6AFD"/>
    <w:rsid w:val="76AE78CC"/>
    <w:rsid w:val="76B572B5"/>
    <w:rsid w:val="76C2183C"/>
    <w:rsid w:val="76C21A98"/>
    <w:rsid w:val="76C30F95"/>
    <w:rsid w:val="76C31861"/>
    <w:rsid w:val="76C41F2D"/>
    <w:rsid w:val="76C4316A"/>
    <w:rsid w:val="76CF1D80"/>
    <w:rsid w:val="76E3321A"/>
    <w:rsid w:val="76E825A2"/>
    <w:rsid w:val="76E9608B"/>
    <w:rsid w:val="76EA7590"/>
    <w:rsid w:val="76EB6C77"/>
    <w:rsid w:val="76EF2B9A"/>
    <w:rsid w:val="76EF745F"/>
    <w:rsid w:val="76F5418C"/>
    <w:rsid w:val="76F61660"/>
    <w:rsid w:val="76F71C44"/>
    <w:rsid w:val="76F96FD3"/>
    <w:rsid w:val="770B0456"/>
    <w:rsid w:val="770C0F88"/>
    <w:rsid w:val="770E3D60"/>
    <w:rsid w:val="771307F7"/>
    <w:rsid w:val="7714203C"/>
    <w:rsid w:val="77156C0C"/>
    <w:rsid w:val="771D42C7"/>
    <w:rsid w:val="771F14E4"/>
    <w:rsid w:val="771F74EA"/>
    <w:rsid w:val="77206011"/>
    <w:rsid w:val="77213C48"/>
    <w:rsid w:val="772167A9"/>
    <w:rsid w:val="77220DEB"/>
    <w:rsid w:val="77240098"/>
    <w:rsid w:val="772438D0"/>
    <w:rsid w:val="77293FBE"/>
    <w:rsid w:val="772D648D"/>
    <w:rsid w:val="772F5A6F"/>
    <w:rsid w:val="7731165A"/>
    <w:rsid w:val="773329B9"/>
    <w:rsid w:val="77354894"/>
    <w:rsid w:val="7738027F"/>
    <w:rsid w:val="773846E1"/>
    <w:rsid w:val="77387FCF"/>
    <w:rsid w:val="773969F5"/>
    <w:rsid w:val="773976FF"/>
    <w:rsid w:val="773B2AE4"/>
    <w:rsid w:val="773B3E9E"/>
    <w:rsid w:val="773B54A3"/>
    <w:rsid w:val="77417E90"/>
    <w:rsid w:val="77567AD2"/>
    <w:rsid w:val="77591924"/>
    <w:rsid w:val="775F64FA"/>
    <w:rsid w:val="77625674"/>
    <w:rsid w:val="77637841"/>
    <w:rsid w:val="77692B7E"/>
    <w:rsid w:val="776A5BFE"/>
    <w:rsid w:val="776A6D0B"/>
    <w:rsid w:val="776E649A"/>
    <w:rsid w:val="77723314"/>
    <w:rsid w:val="7772593D"/>
    <w:rsid w:val="77742D34"/>
    <w:rsid w:val="7775110C"/>
    <w:rsid w:val="77772BB8"/>
    <w:rsid w:val="777B2D2E"/>
    <w:rsid w:val="777E01CE"/>
    <w:rsid w:val="777F1B62"/>
    <w:rsid w:val="77804A7E"/>
    <w:rsid w:val="7781756E"/>
    <w:rsid w:val="77875E4A"/>
    <w:rsid w:val="778B06E4"/>
    <w:rsid w:val="778E3D35"/>
    <w:rsid w:val="77975012"/>
    <w:rsid w:val="77984AFF"/>
    <w:rsid w:val="779C40BA"/>
    <w:rsid w:val="77A11420"/>
    <w:rsid w:val="77A70641"/>
    <w:rsid w:val="77A879E2"/>
    <w:rsid w:val="77AC60C5"/>
    <w:rsid w:val="77B92EBE"/>
    <w:rsid w:val="77BB22DB"/>
    <w:rsid w:val="77BD2462"/>
    <w:rsid w:val="77BE3715"/>
    <w:rsid w:val="77BF1B6E"/>
    <w:rsid w:val="77C03DA9"/>
    <w:rsid w:val="77C10E5A"/>
    <w:rsid w:val="77C22368"/>
    <w:rsid w:val="77C36767"/>
    <w:rsid w:val="77C56E51"/>
    <w:rsid w:val="77C86366"/>
    <w:rsid w:val="77CE06F7"/>
    <w:rsid w:val="77CF2F6D"/>
    <w:rsid w:val="77CF59A4"/>
    <w:rsid w:val="77D01ACB"/>
    <w:rsid w:val="77D04A6C"/>
    <w:rsid w:val="77D2544D"/>
    <w:rsid w:val="77D31BCF"/>
    <w:rsid w:val="77D336DA"/>
    <w:rsid w:val="77D47CF8"/>
    <w:rsid w:val="77D6073E"/>
    <w:rsid w:val="77D61EF3"/>
    <w:rsid w:val="77D838B7"/>
    <w:rsid w:val="77D94E97"/>
    <w:rsid w:val="77DA1086"/>
    <w:rsid w:val="77DC4C0A"/>
    <w:rsid w:val="77DF041A"/>
    <w:rsid w:val="77E027E4"/>
    <w:rsid w:val="77E03FEC"/>
    <w:rsid w:val="77E27497"/>
    <w:rsid w:val="77E6054E"/>
    <w:rsid w:val="77E80483"/>
    <w:rsid w:val="77ED4FF7"/>
    <w:rsid w:val="77F27ED0"/>
    <w:rsid w:val="77F33325"/>
    <w:rsid w:val="77F709CD"/>
    <w:rsid w:val="77F82FB9"/>
    <w:rsid w:val="77F9775E"/>
    <w:rsid w:val="77FA2920"/>
    <w:rsid w:val="77FA59AC"/>
    <w:rsid w:val="77FB3937"/>
    <w:rsid w:val="7801712D"/>
    <w:rsid w:val="780676A6"/>
    <w:rsid w:val="780E7C1D"/>
    <w:rsid w:val="78102528"/>
    <w:rsid w:val="781118C4"/>
    <w:rsid w:val="781862C5"/>
    <w:rsid w:val="781908A1"/>
    <w:rsid w:val="781B333D"/>
    <w:rsid w:val="781C2200"/>
    <w:rsid w:val="781E4F76"/>
    <w:rsid w:val="781F13E6"/>
    <w:rsid w:val="782235C9"/>
    <w:rsid w:val="78290695"/>
    <w:rsid w:val="78342545"/>
    <w:rsid w:val="78345B0C"/>
    <w:rsid w:val="783734E3"/>
    <w:rsid w:val="783A64E1"/>
    <w:rsid w:val="783D6C2A"/>
    <w:rsid w:val="7842003B"/>
    <w:rsid w:val="78420308"/>
    <w:rsid w:val="784457DF"/>
    <w:rsid w:val="78493A25"/>
    <w:rsid w:val="78493ABD"/>
    <w:rsid w:val="784C0761"/>
    <w:rsid w:val="784C342E"/>
    <w:rsid w:val="784C42A1"/>
    <w:rsid w:val="784D2EA4"/>
    <w:rsid w:val="784D34EB"/>
    <w:rsid w:val="7850309F"/>
    <w:rsid w:val="78573416"/>
    <w:rsid w:val="785A3109"/>
    <w:rsid w:val="785B244B"/>
    <w:rsid w:val="785F0D9A"/>
    <w:rsid w:val="785F3522"/>
    <w:rsid w:val="785F412F"/>
    <w:rsid w:val="7866074F"/>
    <w:rsid w:val="78674191"/>
    <w:rsid w:val="78677CF6"/>
    <w:rsid w:val="786A7724"/>
    <w:rsid w:val="786B116D"/>
    <w:rsid w:val="786E313E"/>
    <w:rsid w:val="786F17CF"/>
    <w:rsid w:val="786F23D4"/>
    <w:rsid w:val="78747301"/>
    <w:rsid w:val="78862E3C"/>
    <w:rsid w:val="78874630"/>
    <w:rsid w:val="78874E28"/>
    <w:rsid w:val="78886C20"/>
    <w:rsid w:val="788B388D"/>
    <w:rsid w:val="7893215C"/>
    <w:rsid w:val="78943B3E"/>
    <w:rsid w:val="789D68F7"/>
    <w:rsid w:val="78BA279B"/>
    <w:rsid w:val="78BC15CD"/>
    <w:rsid w:val="78BD6CEF"/>
    <w:rsid w:val="78C30F99"/>
    <w:rsid w:val="78C53F90"/>
    <w:rsid w:val="78C6702F"/>
    <w:rsid w:val="78CA4C57"/>
    <w:rsid w:val="78CF6742"/>
    <w:rsid w:val="78D15A63"/>
    <w:rsid w:val="78D67798"/>
    <w:rsid w:val="78DC301F"/>
    <w:rsid w:val="78DD117B"/>
    <w:rsid w:val="78E2591D"/>
    <w:rsid w:val="78E45AD4"/>
    <w:rsid w:val="78ED7955"/>
    <w:rsid w:val="78EE303B"/>
    <w:rsid w:val="78F054F0"/>
    <w:rsid w:val="78F05D23"/>
    <w:rsid w:val="78F404FA"/>
    <w:rsid w:val="78FB09AF"/>
    <w:rsid w:val="78FB555F"/>
    <w:rsid w:val="78FB5795"/>
    <w:rsid w:val="790038CE"/>
    <w:rsid w:val="79020525"/>
    <w:rsid w:val="79053EE1"/>
    <w:rsid w:val="7907723D"/>
    <w:rsid w:val="7911055E"/>
    <w:rsid w:val="79161B4D"/>
    <w:rsid w:val="791660EE"/>
    <w:rsid w:val="79190AD3"/>
    <w:rsid w:val="79194B10"/>
    <w:rsid w:val="791B462A"/>
    <w:rsid w:val="791D2454"/>
    <w:rsid w:val="791D7C3F"/>
    <w:rsid w:val="792A406D"/>
    <w:rsid w:val="792B1FB4"/>
    <w:rsid w:val="792C14B2"/>
    <w:rsid w:val="7935251E"/>
    <w:rsid w:val="79354F75"/>
    <w:rsid w:val="79390502"/>
    <w:rsid w:val="79474AF0"/>
    <w:rsid w:val="794C6182"/>
    <w:rsid w:val="79500774"/>
    <w:rsid w:val="795072C9"/>
    <w:rsid w:val="79523052"/>
    <w:rsid w:val="79523D2C"/>
    <w:rsid w:val="795341B9"/>
    <w:rsid w:val="795944A4"/>
    <w:rsid w:val="795D77E1"/>
    <w:rsid w:val="795F3D12"/>
    <w:rsid w:val="79613CDC"/>
    <w:rsid w:val="79642941"/>
    <w:rsid w:val="79642C17"/>
    <w:rsid w:val="79660710"/>
    <w:rsid w:val="796654C2"/>
    <w:rsid w:val="796C2E41"/>
    <w:rsid w:val="797001F5"/>
    <w:rsid w:val="79700DC2"/>
    <w:rsid w:val="79714D7D"/>
    <w:rsid w:val="797177C8"/>
    <w:rsid w:val="797A097F"/>
    <w:rsid w:val="797B09EE"/>
    <w:rsid w:val="797D530B"/>
    <w:rsid w:val="797E0D1B"/>
    <w:rsid w:val="797F34EE"/>
    <w:rsid w:val="79826988"/>
    <w:rsid w:val="798B318D"/>
    <w:rsid w:val="798E509A"/>
    <w:rsid w:val="79923096"/>
    <w:rsid w:val="799263DC"/>
    <w:rsid w:val="79991609"/>
    <w:rsid w:val="799979B2"/>
    <w:rsid w:val="799D13C9"/>
    <w:rsid w:val="79A050D4"/>
    <w:rsid w:val="79A114EA"/>
    <w:rsid w:val="79A2466C"/>
    <w:rsid w:val="79A25E61"/>
    <w:rsid w:val="79A43783"/>
    <w:rsid w:val="79A67C92"/>
    <w:rsid w:val="79A73BCA"/>
    <w:rsid w:val="79AC6FE9"/>
    <w:rsid w:val="79B01329"/>
    <w:rsid w:val="79B770C8"/>
    <w:rsid w:val="79BA4009"/>
    <w:rsid w:val="79BF295E"/>
    <w:rsid w:val="79C40A7C"/>
    <w:rsid w:val="79CC6BE2"/>
    <w:rsid w:val="79DD547E"/>
    <w:rsid w:val="79DF7652"/>
    <w:rsid w:val="79E30C79"/>
    <w:rsid w:val="79E7495E"/>
    <w:rsid w:val="79EA178A"/>
    <w:rsid w:val="79F30E48"/>
    <w:rsid w:val="79F44681"/>
    <w:rsid w:val="79F54862"/>
    <w:rsid w:val="79FB3871"/>
    <w:rsid w:val="79FC63A6"/>
    <w:rsid w:val="7A025F50"/>
    <w:rsid w:val="7A025FD3"/>
    <w:rsid w:val="7A0458F5"/>
    <w:rsid w:val="7A062CD5"/>
    <w:rsid w:val="7A0A7036"/>
    <w:rsid w:val="7A0E7515"/>
    <w:rsid w:val="7A156A2A"/>
    <w:rsid w:val="7A1703E2"/>
    <w:rsid w:val="7A1712C1"/>
    <w:rsid w:val="7A1877A3"/>
    <w:rsid w:val="7A210F88"/>
    <w:rsid w:val="7A241936"/>
    <w:rsid w:val="7A25767C"/>
    <w:rsid w:val="7A26094E"/>
    <w:rsid w:val="7A270F8C"/>
    <w:rsid w:val="7A2E2689"/>
    <w:rsid w:val="7A322E84"/>
    <w:rsid w:val="7A3567B2"/>
    <w:rsid w:val="7A376B34"/>
    <w:rsid w:val="7A3E7DAF"/>
    <w:rsid w:val="7A425EC1"/>
    <w:rsid w:val="7A470E49"/>
    <w:rsid w:val="7A497DF2"/>
    <w:rsid w:val="7A503628"/>
    <w:rsid w:val="7A532594"/>
    <w:rsid w:val="7A553E2B"/>
    <w:rsid w:val="7A57001C"/>
    <w:rsid w:val="7A5B3D8A"/>
    <w:rsid w:val="7A5C0456"/>
    <w:rsid w:val="7A5C180C"/>
    <w:rsid w:val="7A5E43DE"/>
    <w:rsid w:val="7A622BF4"/>
    <w:rsid w:val="7A656371"/>
    <w:rsid w:val="7A661495"/>
    <w:rsid w:val="7A692D2D"/>
    <w:rsid w:val="7A7328CE"/>
    <w:rsid w:val="7A755881"/>
    <w:rsid w:val="7A7804B6"/>
    <w:rsid w:val="7A7D6BBE"/>
    <w:rsid w:val="7A837B2B"/>
    <w:rsid w:val="7A867ECF"/>
    <w:rsid w:val="7A9027C0"/>
    <w:rsid w:val="7A922582"/>
    <w:rsid w:val="7A9355FA"/>
    <w:rsid w:val="7A9C4F6D"/>
    <w:rsid w:val="7AA51FC9"/>
    <w:rsid w:val="7AA716F4"/>
    <w:rsid w:val="7AAD245A"/>
    <w:rsid w:val="7AB1502C"/>
    <w:rsid w:val="7ABC33E7"/>
    <w:rsid w:val="7AC04E81"/>
    <w:rsid w:val="7AC07852"/>
    <w:rsid w:val="7AC23AEA"/>
    <w:rsid w:val="7AC34054"/>
    <w:rsid w:val="7AC5541E"/>
    <w:rsid w:val="7AC5566B"/>
    <w:rsid w:val="7AC868A1"/>
    <w:rsid w:val="7ACC07B6"/>
    <w:rsid w:val="7AD009B5"/>
    <w:rsid w:val="7AD30CEB"/>
    <w:rsid w:val="7AD3784C"/>
    <w:rsid w:val="7AD402BE"/>
    <w:rsid w:val="7ADC79D4"/>
    <w:rsid w:val="7ADD4734"/>
    <w:rsid w:val="7AE429B7"/>
    <w:rsid w:val="7AE8391F"/>
    <w:rsid w:val="7AEA1997"/>
    <w:rsid w:val="7AED3181"/>
    <w:rsid w:val="7AF8123B"/>
    <w:rsid w:val="7AFB1F26"/>
    <w:rsid w:val="7AFC778A"/>
    <w:rsid w:val="7B014634"/>
    <w:rsid w:val="7B0710AC"/>
    <w:rsid w:val="7B080BA3"/>
    <w:rsid w:val="7B083092"/>
    <w:rsid w:val="7B0A7644"/>
    <w:rsid w:val="7B0B0CDB"/>
    <w:rsid w:val="7B0E6F1F"/>
    <w:rsid w:val="7B1253F5"/>
    <w:rsid w:val="7B13268F"/>
    <w:rsid w:val="7B14652E"/>
    <w:rsid w:val="7B16023A"/>
    <w:rsid w:val="7B18439F"/>
    <w:rsid w:val="7B1B6449"/>
    <w:rsid w:val="7B2324A0"/>
    <w:rsid w:val="7B241ECB"/>
    <w:rsid w:val="7B255AA6"/>
    <w:rsid w:val="7B296D6E"/>
    <w:rsid w:val="7B2B09DD"/>
    <w:rsid w:val="7B2F48C0"/>
    <w:rsid w:val="7B352377"/>
    <w:rsid w:val="7B371FF7"/>
    <w:rsid w:val="7B372138"/>
    <w:rsid w:val="7B4464A9"/>
    <w:rsid w:val="7B4678E9"/>
    <w:rsid w:val="7B4E0D0E"/>
    <w:rsid w:val="7B5245D2"/>
    <w:rsid w:val="7B530851"/>
    <w:rsid w:val="7B587437"/>
    <w:rsid w:val="7B5B41CA"/>
    <w:rsid w:val="7B5F7ABC"/>
    <w:rsid w:val="7B635A45"/>
    <w:rsid w:val="7B673CF6"/>
    <w:rsid w:val="7B694BFB"/>
    <w:rsid w:val="7B6E4EE8"/>
    <w:rsid w:val="7B711D02"/>
    <w:rsid w:val="7B72201C"/>
    <w:rsid w:val="7B741A76"/>
    <w:rsid w:val="7B744C1B"/>
    <w:rsid w:val="7B791DCB"/>
    <w:rsid w:val="7B7A5986"/>
    <w:rsid w:val="7B7A6E63"/>
    <w:rsid w:val="7B7C2014"/>
    <w:rsid w:val="7B7D097F"/>
    <w:rsid w:val="7B823C68"/>
    <w:rsid w:val="7B840072"/>
    <w:rsid w:val="7B861242"/>
    <w:rsid w:val="7B89441B"/>
    <w:rsid w:val="7B9048CE"/>
    <w:rsid w:val="7B917FFB"/>
    <w:rsid w:val="7B986292"/>
    <w:rsid w:val="7BA44CDF"/>
    <w:rsid w:val="7BA6052A"/>
    <w:rsid w:val="7BA81F11"/>
    <w:rsid w:val="7BAB7A15"/>
    <w:rsid w:val="7BAC7E17"/>
    <w:rsid w:val="7BAF1F63"/>
    <w:rsid w:val="7BAF3260"/>
    <w:rsid w:val="7BB24E62"/>
    <w:rsid w:val="7BB276F9"/>
    <w:rsid w:val="7BB53CC5"/>
    <w:rsid w:val="7BBA0FB3"/>
    <w:rsid w:val="7BBE5BBE"/>
    <w:rsid w:val="7BC0579C"/>
    <w:rsid w:val="7BC91165"/>
    <w:rsid w:val="7BCE052A"/>
    <w:rsid w:val="7BD043AC"/>
    <w:rsid w:val="7BD32923"/>
    <w:rsid w:val="7BD75F63"/>
    <w:rsid w:val="7BDB2DBC"/>
    <w:rsid w:val="7BDE3860"/>
    <w:rsid w:val="7BE52F6B"/>
    <w:rsid w:val="7BE67C5C"/>
    <w:rsid w:val="7BEF4A3C"/>
    <w:rsid w:val="7BF87259"/>
    <w:rsid w:val="7BFA5D31"/>
    <w:rsid w:val="7BFC61D6"/>
    <w:rsid w:val="7BFE2293"/>
    <w:rsid w:val="7BFF35FC"/>
    <w:rsid w:val="7C06244A"/>
    <w:rsid w:val="7C0B2F86"/>
    <w:rsid w:val="7C0C6779"/>
    <w:rsid w:val="7C1264FF"/>
    <w:rsid w:val="7C147380"/>
    <w:rsid w:val="7C173D75"/>
    <w:rsid w:val="7C1F256C"/>
    <w:rsid w:val="7C202010"/>
    <w:rsid w:val="7C2B468E"/>
    <w:rsid w:val="7C2E0F5E"/>
    <w:rsid w:val="7C322600"/>
    <w:rsid w:val="7C343559"/>
    <w:rsid w:val="7C434BDF"/>
    <w:rsid w:val="7C4742E5"/>
    <w:rsid w:val="7C4913EE"/>
    <w:rsid w:val="7C4E4D16"/>
    <w:rsid w:val="7C4F0233"/>
    <w:rsid w:val="7C510AE4"/>
    <w:rsid w:val="7C520472"/>
    <w:rsid w:val="7C52528E"/>
    <w:rsid w:val="7C5849A5"/>
    <w:rsid w:val="7C5E5DE2"/>
    <w:rsid w:val="7C5F3320"/>
    <w:rsid w:val="7C6151EA"/>
    <w:rsid w:val="7C6B130C"/>
    <w:rsid w:val="7C7024C9"/>
    <w:rsid w:val="7C7451E1"/>
    <w:rsid w:val="7C772B0F"/>
    <w:rsid w:val="7C7737B1"/>
    <w:rsid w:val="7C7869F8"/>
    <w:rsid w:val="7C79686C"/>
    <w:rsid w:val="7C7D2111"/>
    <w:rsid w:val="7C82489D"/>
    <w:rsid w:val="7C846B6E"/>
    <w:rsid w:val="7C8702DC"/>
    <w:rsid w:val="7C8916CB"/>
    <w:rsid w:val="7C923903"/>
    <w:rsid w:val="7C943606"/>
    <w:rsid w:val="7C992445"/>
    <w:rsid w:val="7CA45573"/>
    <w:rsid w:val="7CA53D76"/>
    <w:rsid w:val="7CA56B7C"/>
    <w:rsid w:val="7CA87A42"/>
    <w:rsid w:val="7CA93D89"/>
    <w:rsid w:val="7CAF4AFF"/>
    <w:rsid w:val="7CB0280D"/>
    <w:rsid w:val="7CB441C3"/>
    <w:rsid w:val="7CB81E2B"/>
    <w:rsid w:val="7CBC51FE"/>
    <w:rsid w:val="7CBF13D4"/>
    <w:rsid w:val="7CC45B54"/>
    <w:rsid w:val="7CC551E1"/>
    <w:rsid w:val="7CC947DA"/>
    <w:rsid w:val="7CCC0B73"/>
    <w:rsid w:val="7CCF034E"/>
    <w:rsid w:val="7CD0674A"/>
    <w:rsid w:val="7CD13844"/>
    <w:rsid w:val="7CD25A28"/>
    <w:rsid w:val="7CDA0BA3"/>
    <w:rsid w:val="7CE0184C"/>
    <w:rsid w:val="7CE24851"/>
    <w:rsid w:val="7CE44DB4"/>
    <w:rsid w:val="7CE5568F"/>
    <w:rsid w:val="7CEA4308"/>
    <w:rsid w:val="7CED48EF"/>
    <w:rsid w:val="7CF24F3B"/>
    <w:rsid w:val="7CF3598E"/>
    <w:rsid w:val="7CF649C7"/>
    <w:rsid w:val="7CF90A7D"/>
    <w:rsid w:val="7CF9240F"/>
    <w:rsid w:val="7D0129F5"/>
    <w:rsid w:val="7D012C11"/>
    <w:rsid w:val="7D032347"/>
    <w:rsid w:val="7D075771"/>
    <w:rsid w:val="7D095B2C"/>
    <w:rsid w:val="7D096E9A"/>
    <w:rsid w:val="7D12183F"/>
    <w:rsid w:val="7D1336CF"/>
    <w:rsid w:val="7D1421C1"/>
    <w:rsid w:val="7D152B68"/>
    <w:rsid w:val="7D1563BC"/>
    <w:rsid w:val="7D181B4A"/>
    <w:rsid w:val="7D1E00B5"/>
    <w:rsid w:val="7D1E410F"/>
    <w:rsid w:val="7D203481"/>
    <w:rsid w:val="7D271E8B"/>
    <w:rsid w:val="7D2B33AD"/>
    <w:rsid w:val="7D2C0CD7"/>
    <w:rsid w:val="7D2E5911"/>
    <w:rsid w:val="7D3C41D9"/>
    <w:rsid w:val="7D3D08B1"/>
    <w:rsid w:val="7D4A152F"/>
    <w:rsid w:val="7D511DA3"/>
    <w:rsid w:val="7D511EAF"/>
    <w:rsid w:val="7D5267C8"/>
    <w:rsid w:val="7D556504"/>
    <w:rsid w:val="7D5807BF"/>
    <w:rsid w:val="7D5B78FD"/>
    <w:rsid w:val="7D5F4F94"/>
    <w:rsid w:val="7D601710"/>
    <w:rsid w:val="7D6159B4"/>
    <w:rsid w:val="7D6B09B8"/>
    <w:rsid w:val="7D706A7C"/>
    <w:rsid w:val="7D711B45"/>
    <w:rsid w:val="7D734D92"/>
    <w:rsid w:val="7D7424EB"/>
    <w:rsid w:val="7D772ACA"/>
    <w:rsid w:val="7D79280C"/>
    <w:rsid w:val="7D7E3E67"/>
    <w:rsid w:val="7D80675E"/>
    <w:rsid w:val="7D873AB5"/>
    <w:rsid w:val="7D8819A9"/>
    <w:rsid w:val="7D895687"/>
    <w:rsid w:val="7D8C504E"/>
    <w:rsid w:val="7D957F0E"/>
    <w:rsid w:val="7D9B0EB1"/>
    <w:rsid w:val="7D9E58EF"/>
    <w:rsid w:val="7DA1455B"/>
    <w:rsid w:val="7DA27565"/>
    <w:rsid w:val="7DA34475"/>
    <w:rsid w:val="7DA71A0B"/>
    <w:rsid w:val="7DA73A86"/>
    <w:rsid w:val="7DA82D2F"/>
    <w:rsid w:val="7DAA30E3"/>
    <w:rsid w:val="7DAA6ABD"/>
    <w:rsid w:val="7DAB1FF5"/>
    <w:rsid w:val="7DAD4EE4"/>
    <w:rsid w:val="7DAD559C"/>
    <w:rsid w:val="7DAF49B2"/>
    <w:rsid w:val="7DB25C13"/>
    <w:rsid w:val="7DB85BD7"/>
    <w:rsid w:val="7DBC7E76"/>
    <w:rsid w:val="7DC57B8E"/>
    <w:rsid w:val="7DC968DD"/>
    <w:rsid w:val="7DCD5DE0"/>
    <w:rsid w:val="7DD55B30"/>
    <w:rsid w:val="7DD76D11"/>
    <w:rsid w:val="7DD952C2"/>
    <w:rsid w:val="7DDA6402"/>
    <w:rsid w:val="7DE372D4"/>
    <w:rsid w:val="7DE6564C"/>
    <w:rsid w:val="7DEE4C8F"/>
    <w:rsid w:val="7DF6082A"/>
    <w:rsid w:val="7DFC46F4"/>
    <w:rsid w:val="7DFF64DF"/>
    <w:rsid w:val="7E0016CA"/>
    <w:rsid w:val="7E097B1B"/>
    <w:rsid w:val="7E0F0D0F"/>
    <w:rsid w:val="7E0F6FC3"/>
    <w:rsid w:val="7E154050"/>
    <w:rsid w:val="7E1A334D"/>
    <w:rsid w:val="7E1A3F7C"/>
    <w:rsid w:val="7E1B4642"/>
    <w:rsid w:val="7E260612"/>
    <w:rsid w:val="7E36393D"/>
    <w:rsid w:val="7E3724A7"/>
    <w:rsid w:val="7E3935DA"/>
    <w:rsid w:val="7E3E597C"/>
    <w:rsid w:val="7E3F7E9F"/>
    <w:rsid w:val="7E415352"/>
    <w:rsid w:val="7E4234E1"/>
    <w:rsid w:val="7E44164D"/>
    <w:rsid w:val="7E4C244B"/>
    <w:rsid w:val="7E591876"/>
    <w:rsid w:val="7E5B06E9"/>
    <w:rsid w:val="7E5B1AFC"/>
    <w:rsid w:val="7E617E0B"/>
    <w:rsid w:val="7E646BCA"/>
    <w:rsid w:val="7E671758"/>
    <w:rsid w:val="7E6775C9"/>
    <w:rsid w:val="7E680C58"/>
    <w:rsid w:val="7E685BB5"/>
    <w:rsid w:val="7E6C7B2B"/>
    <w:rsid w:val="7E761452"/>
    <w:rsid w:val="7E792A8B"/>
    <w:rsid w:val="7E7A6693"/>
    <w:rsid w:val="7E7C11A4"/>
    <w:rsid w:val="7E7C2667"/>
    <w:rsid w:val="7E7E2F05"/>
    <w:rsid w:val="7E801D4C"/>
    <w:rsid w:val="7E8401A9"/>
    <w:rsid w:val="7E8553ED"/>
    <w:rsid w:val="7E8619D9"/>
    <w:rsid w:val="7E870F0E"/>
    <w:rsid w:val="7E8C4E13"/>
    <w:rsid w:val="7E8D0C00"/>
    <w:rsid w:val="7E8E0E6A"/>
    <w:rsid w:val="7E8E75A7"/>
    <w:rsid w:val="7E8F1C2B"/>
    <w:rsid w:val="7E9A265C"/>
    <w:rsid w:val="7E9F1FCC"/>
    <w:rsid w:val="7E9F6A90"/>
    <w:rsid w:val="7EA40724"/>
    <w:rsid w:val="7EA51BF0"/>
    <w:rsid w:val="7EAA75E4"/>
    <w:rsid w:val="7EAD3051"/>
    <w:rsid w:val="7EAE39DD"/>
    <w:rsid w:val="7EAF15CB"/>
    <w:rsid w:val="7EAF6C4B"/>
    <w:rsid w:val="7EB213FA"/>
    <w:rsid w:val="7EB451AC"/>
    <w:rsid w:val="7EB90326"/>
    <w:rsid w:val="7EBA3360"/>
    <w:rsid w:val="7EBE7F32"/>
    <w:rsid w:val="7EC04F2C"/>
    <w:rsid w:val="7EC27CBB"/>
    <w:rsid w:val="7EC80259"/>
    <w:rsid w:val="7ECB1596"/>
    <w:rsid w:val="7ED56104"/>
    <w:rsid w:val="7EDC2777"/>
    <w:rsid w:val="7EDE145C"/>
    <w:rsid w:val="7EDE7BDE"/>
    <w:rsid w:val="7EE13DD9"/>
    <w:rsid w:val="7EE16FF5"/>
    <w:rsid w:val="7EE47D3B"/>
    <w:rsid w:val="7EE76E70"/>
    <w:rsid w:val="7EE9422D"/>
    <w:rsid w:val="7EEB3867"/>
    <w:rsid w:val="7EF2572E"/>
    <w:rsid w:val="7EFD6077"/>
    <w:rsid w:val="7EFD7CDC"/>
    <w:rsid w:val="7EFE0770"/>
    <w:rsid w:val="7F024DCA"/>
    <w:rsid w:val="7F0374AC"/>
    <w:rsid w:val="7F0E7CE3"/>
    <w:rsid w:val="7F113C65"/>
    <w:rsid w:val="7F121106"/>
    <w:rsid w:val="7F1A315B"/>
    <w:rsid w:val="7F1C6E47"/>
    <w:rsid w:val="7F2160B4"/>
    <w:rsid w:val="7F224788"/>
    <w:rsid w:val="7F241792"/>
    <w:rsid w:val="7F2424FF"/>
    <w:rsid w:val="7F242F7E"/>
    <w:rsid w:val="7F243ADA"/>
    <w:rsid w:val="7F272C30"/>
    <w:rsid w:val="7F273F49"/>
    <w:rsid w:val="7F274E50"/>
    <w:rsid w:val="7F2E7D6C"/>
    <w:rsid w:val="7F3064C8"/>
    <w:rsid w:val="7F334BE7"/>
    <w:rsid w:val="7F38533B"/>
    <w:rsid w:val="7F3B1CD8"/>
    <w:rsid w:val="7F3C6053"/>
    <w:rsid w:val="7F3F2FBE"/>
    <w:rsid w:val="7F4129B3"/>
    <w:rsid w:val="7F4238FC"/>
    <w:rsid w:val="7F45305F"/>
    <w:rsid w:val="7F48133D"/>
    <w:rsid w:val="7F4C1424"/>
    <w:rsid w:val="7F4D60DB"/>
    <w:rsid w:val="7F522913"/>
    <w:rsid w:val="7F610067"/>
    <w:rsid w:val="7F640D94"/>
    <w:rsid w:val="7F650DC2"/>
    <w:rsid w:val="7F651FC3"/>
    <w:rsid w:val="7F6F4031"/>
    <w:rsid w:val="7F707B8F"/>
    <w:rsid w:val="7F734D35"/>
    <w:rsid w:val="7F7441B3"/>
    <w:rsid w:val="7F753A19"/>
    <w:rsid w:val="7F755FC8"/>
    <w:rsid w:val="7F7649E2"/>
    <w:rsid w:val="7F77126F"/>
    <w:rsid w:val="7F7B0276"/>
    <w:rsid w:val="7F7B4C3B"/>
    <w:rsid w:val="7F7E03FA"/>
    <w:rsid w:val="7F846176"/>
    <w:rsid w:val="7F871255"/>
    <w:rsid w:val="7F884773"/>
    <w:rsid w:val="7F8E2D83"/>
    <w:rsid w:val="7F8E4243"/>
    <w:rsid w:val="7F9257B2"/>
    <w:rsid w:val="7F9A12DC"/>
    <w:rsid w:val="7F9E1EF2"/>
    <w:rsid w:val="7FA02F22"/>
    <w:rsid w:val="7FA10FD8"/>
    <w:rsid w:val="7FA17B8B"/>
    <w:rsid w:val="7FA23972"/>
    <w:rsid w:val="7FA9586D"/>
    <w:rsid w:val="7FB16991"/>
    <w:rsid w:val="7FB31695"/>
    <w:rsid w:val="7FBA1500"/>
    <w:rsid w:val="7FBC4935"/>
    <w:rsid w:val="7FBD7CEE"/>
    <w:rsid w:val="7FC60650"/>
    <w:rsid w:val="7FC6594F"/>
    <w:rsid w:val="7FCC139F"/>
    <w:rsid w:val="7FCF30D5"/>
    <w:rsid w:val="7FD008A5"/>
    <w:rsid w:val="7FD32AAF"/>
    <w:rsid w:val="7FD51D3F"/>
    <w:rsid w:val="7FD53F60"/>
    <w:rsid w:val="7FD6120E"/>
    <w:rsid w:val="7FD77C25"/>
    <w:rsid w:val="7FD8191B"/>
    <w:rsid w:val="7FDD5456"/>
    <w:rsid w:val="7FDD56CF"/>
    <w:rsid w:val="7FE276A9"/>
    <w:rsid w:val="7FE93D1D"/>
    <w:rsid w:val="7FED2F3F"/>
    <w:rsid w:val="7FEE45DA"/>
    <w:rsid w:val="7FF02815"/>
    <w:rsid w:val="7FF17FC4"/>
    <w:rsid w:val="7FFB004B"/>
    <w:rsid w:val="7FFE79B4"/>
    <w:rsid w:val="7FFF062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rotate="t"/>
      <v:stroke color="#000000"/>
    </o:shapedefaults>
    <o:shapelayout v:ext="edit">
      <o:idmap v:ext="edit" data="2"/>
      <o:rules v:ext="edit">
        <o:r id="V:Rule1" type="connector" idref="#_x0000_s2060"/>
        <o:r id="V:Rule2" type="connector" idref="#_x0000_s2062"/>
        <o:r id="V:Rule3" type="connector" idref="#_x0000_s2063"/>
        <o:r id="V:Rule4" type="connector" idref="#_x0000_s2069"/>
        <o:r id="V:Rule5" type="connector" idref="#_x0000_s2072"/>
        <o:r id="V:Rule6" type="connector" idref="#_x0000_s2075"/>
        <o:r id="V:Rule7" type="connector" idref="#直接箭头连接符 244"/>
        <o:r id="V:Rule8" type="connector" idref="#直接箭头连接符 245"/>
        <o:r id="V:Rule9" type="connector" idref="#直接箭头连接符 245"/>
        <o:r id="V:Rule10" type="connector" idref="#_x0000_s2085"/>
        <o:r id="V:Rule11" type="connector" idref="#_x0000_s2088"/>
        <o:r id="V:Rule12" type="connector" idref="#直接箭头连接符 244"/>
        <o:r id="V:Rule13" type="connector" idref="#直接箭头连接符 245"/>
        <o:r id="V:Rule14" type="connector" idref="#直接箭头连接符 243"/>
        <o:r id="V:Rule15" type="connector" idref="#直接箭头连接符 230"/>
        <o:r id="V:Rule16" type="connector" idref="#直接箭头连接符 231"/>
        <o:r id="V:Rule17" type="connector" idref="#直接箭头连接符 167"/>
        <o:r id="V:Rule18" type="connector" idref="#直接箭头连接符 179"/>
        <o:r id="V:Rule19" type="connector" idref="#_x0000_s2105"/>
        <o:r id="V:Rule20" type="connector" idref="#_x0000_s2110"/>
        <o:r id="V:Rule21" type="connector" idref="#_x0000_s2112"/>
        <o:r id="V:Rule22" type="connector" idref="#_x0000_s2113"/>
        <o:r id="V:Rule23" type="connector" idref="#_x0000_s2114"/>
        <o:r id="V:Rule24" type="connector" idref="#_x0000_s2115"/>
        <o:r id="V:Rule25" type="connector" idref="#_x0000_s2120"/>
        <o:r id="V:Rule26" type="connector" idref="#_x0000_s2121"/>
        <o:r id="V:Rule27" type="connector" idref="#_x0000_s2123"/>
        <o:r id="V:Rule28" type="connector" idref="#_x0000_s2125"/>
        <o:r id="V:Rule29" type="connector" idref="#_x0000_s2126"/>
        <o:r id="V:Rule30" type="connector" idref="#_x0000_s2131"/>
        <o:r id="V:Rule31" type="connector" idref="#_x0000_s2132"/>
        <o:r id="V:Rule32" type="connector" idref="#_x0000_s2133"/>
        <o:r id="V:Rule33" type="connector" idref="#直接箭头连接符 22"/>
        <o:r id="V:Rule34" type="connector" idref="#直接箭头连接符 21"/>
        <o:r id="V:Rule35" type="connector" idref="#直接箭头连接符 20"/>
        <o:r id="V:Rule36" type="connector" idref="#直接箭头连接符 17"/>
        <o:r id="V:Rule37" type="connector" idref="#直接箭头连接符 14"/>
        <o:r id="V:Rule38" type="connector" idref="#直接箭头连接符 157"/>
        <o:r id="V:Rule39" type="connector" idref="#直接箭头连接符 244"/>
        <o:r id="V:Rule40" type="connector" idref="#直接箭头连接符 245"/>
        <o:r id="V:Rule41" type="connector" idref="#直接箭头连接符 243"/>
        <o:r id="V:Rule42" type="connector" idref="#直接箭头连接符 230"/>
        <o:r id="V:Rule43" type="connector" idref="#直接箭头连接符 231"/>
        <o:r id="V:Rule44" type="connector" idref="#直接箭头连接符 167"/>
        <o:r id="V:Rule45" type="connector" idref="#直接箭头连接符 179"/>
        <o:r id="V:Rule46" type="connector" idref="#直接箭头连接符 244"/>
        <o:r id="V:Rule47" type="connector" idref="#直接箭头连接符 245"/>
        <o:r id="V:Rule48" type="connector" idref="#直接箭头连接符 245"/>
        <o:r id="V:Rule49" type="connector" idref="#直接箭头连接符 155"/>
        <o:r id="V:Rule50" type="connector" idref="#_x0000_s2885"/>
        <o:r id="V:Rule51" type="connector" idref="#直接箭头连接符 312"/>
        <o:r id="V:Rule52" type="connector" idref="#直接箭头连接符 240"/>
        <o:r id="V:Rule53" type="connector" idref="#直接箭头连接符 18"/>
        <o:r id="V:Rule54" type="connector" idref="#直接箭头连接符 305"/>
        <o:r id="V:Rule55" type="connector" idref="#直接箭头连接符 248"/>
        <o:r id="V:Rule56" type="connector" idref="#直接箭头连接符 158"/>
        <o:r id="V:Rule57" type="connector" idref="#直接箭头连接符 304"/>
        <o:r id="V:Rule58" type="connector" idref="#直接箭头连接符 242"/>
        <o:r id="V:Rule59" type="connector" idref="#直接箭头连接符 180"/>
        <o:r id="V:Rule60" type="connector" idref="#直接箭头连接符 162"/>
        <o:r id="V:Rule61" type="connector" idref="#直接箭头连接符 16"/>
        <o:r id="V:Rule62" type="connector" idref="#直接箭头连接符 159"/>
        <o:r id="V:Rule63" type="connector" idref="#直接箭头连接符 187"/>
        <o:r id="V:Rule64" type="connector" idref="#直接箭头连接符 249"/>
        <o:r id="V:Rule65" type="connector" idref="#直接箭头连接符 281"/>
        <o:r id="V:Rule66" type="connector" idref="#直接箭头连接符 127"/>
        <o:r id="V:Rule67" type="connector" idref="#直接箭头连接符 148"/>
        <o:r id="V:Rule68" type="connector" idref="#直接箭头连接符 193"/>
        <o:r id="V:Rule69" type="connector" idref="#直接箭头连接符 151"/>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101"/>
    <w:qFormat/>
    <w:uiPriority w:val="0"/>
    <w:pPr>
      <w:keepNext/>
      <w:keepLines/>
      <w:tabs>
        <w:tab w:val="left" w:pos="432"/>
      </w:tabs>
      <w:adjustRightInd w:val="0"/>
      <w:spacing w:before="340" w:after="330" w:line="578" w:lineRule="atLeast"/>
      <w:ind w:left="432" w:hanging="432"/>
      <w:jc w:val="left"/>
      <w:textAlignment w:val="baseline"/>
      <w:outlineLvl w:val="0"/>
    </w:pPr>
    <w:rPr>
      <w:rFonts w:eastAsia="黑体"/>
      <w:kern w:val="0"/>
      <w:sz w:val="44"/>
      <w:szCs w:val="20"/>
    </w:rPr>
  </w:style>
  <w:style w:type="paragraph" w:styleId="4">
    <w:name w:val="heading 2"/>
    <w:basedOn w:val="1"/>
    <w:next w:val="1"/>
    <w:link w:val="223"/>
    <w:qFormat/>
    <w:uiPriority w:val="0"/>
    <w:pPr>
      <w:keepNext/>
      <w:keepLines/>
      <w:spacing w:before="260" w:after="260" w:line="413" w:lineRule="auto"/>
      <w:outlineLvl w:val="1"/>
    </w:pPr>
    <w:rPr>
      <w:rFonts w:ascii="Cambria" w:hAnsi="Cambria"/>
      <w:b/>
      <w:bCs/>
      <w:sz w:val="32"/>
      <w:szCs w:val="32"/>
    </w:rPr>
  </w:style>
  <w:style w:type="paragraph" w:styleId="5">
    <w:name w:val="heading 3"/>
    <w:basedOn w:val="1"/>
    <w:next w:val="1"/>
    <w:link w:val="120"/>
    <w:qFormat/>
    <w:uiPriority w:val="0"/>
    <w:pPr>
      <w:keepNext/>
      <w:keepLines/>
      <w:spacing w:before="260" w:after="260" w:line="413" w:lineRule="auto"/>
      <w:outlineLvl w:val="2"/>
    </w:pPr>
    <w:rPr>
      <w:b/>
      <w:bCs/>
      <w:sz w:val="32"/>
      <w:szCs w:val="32"/>
    </w:rPr>
  </w:style>
  <w:style w:type="paragraph" w:styleId="6">
    <w:name w:val="heading 4"/>
    <w:basedOn w:val="1"/>
    <w:next w:val="1"/>
    <w:link w:val="140"/>
    <w:qFormat/>
    <w:uiPriority w:val="0"/>
    <w:pPr>
      <w:adjustRightInd w:val="0"/>
      <w:spacing w:before="280" w:after="280"/>
      <w:jc w:val="left"/>
      <w:textAlignment w:val="baseline"/>
      <w:outlineLvl w:val="3"/>
    </w:pPr>
    <w:rPr>
      <w:rFonts w:ascii="黑体" w:eastAsia="黑体"/>
      <w:spacing w:val="-20"/>
      <w:kern w:val="0"/>
      <w:sz w:val="28"/>
      <w:szCs w:val="20"/>
    </w:rPr>
  </w:style>
  <w:style w:type="paragraph" w:styleId="7">
    <w:name w:val="heading 5"/>
    <w:basedOn w:val="1"/>
    <w:next w:val="8"/>
    <w:link w:val="196"/>
    <w:qFormat/>
    <w:uiPriority w:val="0"/>
    <w:pPr>
      <w:keepNext/>
      <w:keepLines/>
      <w:tabs>
        <w:tab w:val="left" w:pos="700"/>
      </w:tabs>
      <w:autoSpaceDE w:val="0"/>
      <w:autoSpaceDN w:val="0"/>
      <w:adjustRightInd w:val="0"/>
      <w:spacing w:before="280" w:after="290" w:line="372" w:lineRule="auto"/>
      <w:ind w:left="1008" w:hanging="1008"/>
      <w:outlineLvl w:val="4"/>
    </w:pPr>
    <w:rPr>
      <w:rFonts w:ascii="宋体"/>
      <w:b/>
      <w:color w:val="000000"/>
      <w:w w:val="90"/>
      <w:kern w:val="0"/>
      <w:sz w:val="28"/>
      <w:szCs w:val="20"/>
    </w:rPr>
  </w:style>
  <w:style w:type="paragraph" w:styleId="9">
    <w:name w:val="heading 6"/>
    <w:basedOn w:val="1"/>
    <w:next w:val="8"/>
    <w:link w:val="198"/>
    <w:qFormat/>
    <w:uiPriority w:val="0"/>
    <w:pPr>
      <w:keepNext/>
      <w:keepLines/>
      <w:tabs>
        <w:tab w:val="left" w:pos="700"/>
      </w:tabs>
      <w:autoSpaceDE w:val="0"/>
      <w:autoSpaceDN w:val="0"/>
      <w:adjustRightInd w:val="0"/>
      <w:spacing w:before="240" w:after="64" w:line="317" w:lineRule="auto"/>
      <w:ind w:left="1152" w:hanging="1152"/>
      <w:outlineLvl w:val="5"/>
    </w:pPr>
    <w:rPr>
      <w:rFonts w:ascii="Arial" w:hAnsi="Arial" w:eastAsia="黑体"/>
      <w:b/>
      <w:color w:val="000000"/>
      <w:w w:val="90"/>
      <w:sz w:val="28"/>
    </w:rPr>
  </w:style>
  <w:style w:type="paragraph" w:styleId="10">
    <w:name w:val="heading 7"/>
    <w:basedOn w:val="1"/>
    <w:next w:val="8"/>
    <w:link w:val="169"/>
    <w:qFormat/>
    <w:uiPriority w:val="0"/>
    <w:pPr>
      <w:keepNext/>
      <w:keepLines/>
      <w:tabs>
        <w:tab w:val="left" w:pos="700"/>
      </w:tabs>
      <w:autoSpaceDE w:val="0"/>
      <w:autoSpaceDN w:val="0"/>
      <w:adjustRightInd w:val="0"/>
      <w:spacing w:before="240" w:after="64" w:line="317" w:lineRule="auto"/>
      <w:ind w:left="1296" w:hanging="1296"/>
      <w:outlineLvl w:val="6"/>
    </w:pPr>
    <w:rPr>
      <w:rFonts w:ascii="宋体"/>
      <w:b/>
      <w:color w:val="000000"/>
      <w:w w:val="90"/>
      <w:sz w:val="28"/>
    </w:rPr>
  </w:style>
  <w:style w:type="paragraph" w:styleId="11">
    <w:name w:val="heading 8"/>
    <w:basedOn w:val="1"/>
    <w:next w:val="1"/>
    <w:link w:val="192"/>
    <w:qFormat/>
    <w:uiPriority w:val="0"/>
    <w:pPr>
      <w:keepNext/>
      <w:keepLines/>
      <w:adjustRightInd w:val="0"/>
      <w:spacing w:before="240" w:after="64" w:line="317" w:lineRule="auto"/>
      <w:textAlignment w:val="baseline"/>
      <w:outlineLvl w:val="7"/>
    </w:pPr>
    <w:rPr>
      <w:rFonts w:ascii="Arial" w:hAnsi="Arial" w:eastAsia="黑体"/>
      <w:sz w:val="24"/>
    </w:rPr>
  </w:style>
  <w:style w:type="paragraph" w:styleId="12">
    <w:name w:val="heading 9"/>
    <w:basedOn w:val="1"/>
    <w:next w:val="8"/>
    <w:link w:val="221"/>
    <w:qFormat/>
    <w:uiPriority w:val="0"/>
    <w:pPr>
      <w:keepNext/>
      <w:keepLines/>
      <w:tabs>
        <w:tab w:val="left" w:pos="700"/>
      </w:tabs>
      <w:autoSpaceDE w:val="0"/>
      <w:autoSpaceDN w:val="0"/>
      <w:adjustRightInd w:val="0"/>
      <w:spacing w:before="240" w:after="64" w:line="317" w:lineRule="auto"/>
      <w:ind w:left="1584" w:hanging="1584"/>
      <w:outlineLvl w:val="8"/>
    </w:pPr>
    <w:rPr>
      <w:rFonts w:ascii="Arial" w:hAnsi="Arial" w:eastAsia="黑体"/>
      <w:color w:val="000000"/>
      <w:w w:val="90"/>
      <w:sz w:val="28"/>
    </w:rPr>
  </w:style>
  <w:style w:type="character" w:default="1" w:styleId="54">
    <w:name w:val="Default Paragraph Font"/>
    <w:semiHidden/>
    <w:unhideWhenUsed/>
    <w:qFormat/>
    <w:uiPriority w:val="1"/>
  </w:style>
  <w:style w:type="table" w:default="1" w:styleId="51">
    <w:name w:val="Normal Table"/>
    <w:semiHidden/>
    <w:unhideWhenUsed/>
    <w:qFormat/>
    <w:uiPriority w:val="99"/>
    <w:tblPr>
      <w:tblCellMar>
        <w:top w:w="0" w:type="dxa"/>
        <w:left w:w="108" w:type="dxa"/>
        <w:bottom w:w="0" w:type="dxa"/>
        <w:right w:w="108" w:type="dxa"/>
      </w:tblCellMar>
    </w:tblPr>
  </w:style>
  <w:style w:type="paragraph" w:styleId="2">
    <w:name w:val="List"/>
    <w:basedOn w:val="1"/>
    <w:qFormat/>
    <w:uiPriority w:val="0"/>
    <w:pPr>
      <w:ind w:left="200" w:hanging="200" w:hangingChars="200"/>
    </w:pPr>
    <w:rPr>
      <w:szCs w:val="20"/>
    </w:rPr>
  </w:style>
  <w:style w:type="paragraph" w:customStyle="1" w:styleId="8">
    <w:name w:val="正文缩进1"/>
    <w:basedOn w:val="1"/>
    <w:link w:val="172"/>
    <w:qFormat/>
    <w:uiPriority w:val="0"/>
    <w:pPr>
      <w:autoSpaceDE w:val="0"/>
      <w:autoSpaceDN w:val="0"/>
      <w:adjustRightInd w:val="0"/>
      <w:ind w:firstLine="567"/>
      <w:textAlignment w:val="baseline"/>
    </w:pPr>
    <w:rPr>
      <w:kern w:val="0"/>
      <w:sz w:val="28"/>
      <w:szCs w:val="20"/>
    </w:rPr>
  </w:style>
  <w:style w:type="paragraph" w:styleId="13">
    <w:name w:val="List 3"/>
    <w:basedOn w:val="1"/>
    <w:qFormat/>
    <w:uiPriority w:val="0"/>
    <w:pPr>
      <w:ind w:left="100" w:leftChars="400" w:hanging="200" w:hangingChars="200"/>
    </w:pPr>
    <w:rPr>
      <w:szCs w:val="20"/>
    </w:rPr>
  </w:style>
  <w:style w:type="paragraph" w:styleId="14">
    <w:name w:val="toc 7"/>
    <w:basedOn w:val="1"/>
    <w:next w:val="1"/>
    <w:qFormat/>
    <w:uiPriority w:val="39"/>
    <w:pPr>
      <w:ind w:left="1260"/>
      <w:jc w:val="left"/>
    </w:pPr>
    <w:rPr>
      <w:sz w:val="18"/>
      <w:szCs w:val="18"/>
    </w:rPr>
  </w:style>
  <w:style w:type="paragraph" w:styleId="15">
    <w:name w:val="Note Heading"/>
    <w:basedOn w:val="1"/>
    <w:next w:val="1"/>
    <w:link w:val="171"/>
    <w:qFormat/>
    <w:uiPriority w:val="0"/>
    <w:pPr>
      <w:jc w:val="center"/>
    </w:pPr>
    <w:rPr>
      <w:szCs w:val="20"/>
    </w:rPr>
  </w:style>
  <w:style w:type="paragraph" w:styleId="16">
    <w:name w:val="Normal Indent"/>
    <w:basedOn w:val="1"/>
    <w:next w:val="1"/>
    <w:link w:val="222"/>
    <w:qFormat/>
    <w:uiPriority w:val="0"/>
    <w:pPr>
      <w:ind w:firstLine="420"/>
    </w:pPr>
    <w:rPr>
      <w:rFonts w:ascii="Verdana" w:hAnsi="Verdana" w:cs="Verdana"/>
      <w:szCs w:val="20"/>
    </w:rPr>
  </w:style>
  <w:style w:type="paragraph" w:styleId="17">
    <w:name w:val="caption"/>
    <w:basedOn w:val="1"/>
    <w:next w:val="1"/>
    <w:qFormat/>
    <w:uiPriority w:val="0"/>
    <w:pPr>
      <w:spacing w:before="152" w:after="160"/>
    </w:pPr>
    <w:rPr>
      <w:rFonts w:ascii="Arial" w:hAnsi="Arial" w:eastAsia="黑体" w:cs="Arial"/>
      <w:sz w:val="20"/>
      <w:szCs w:val="20"/>
    </w:rPr>
  </w:style>
  <w:style w:type="paragraph" w:styleId="18">
    <w:name w:val="Document Map"/>
    <w:basedOn w:val="1"/>
    <w:qFormat/>
    <w:uiPriority w:val="0"/>
    <w:pPr>
      <w:shd w:val="clear" w:color="auto" w:fill="000080"/>
    </w:pPr>
  </w:style>
  <w:style w:type="paragraph" w:styleId="19">
    <w:name w:val="annotation text"/>
    <w:basedOn w:val="1"/>
    <w:link w:val="141"/>
    <w:qFormat/>
    <w:uiPriority w:val="0"/>
    <w:pPr>
      <w:jc w:val="left"/>
    </w:pPr>
    <w:rPr>
      <w:szCs w:val="20"/>
    </w:rPr>
  </w:style>
  <w:style w:type="paragraph" w:styleId="20">
    <w:name w:val="Salutation"/>
    <w:basedOn w:val="1"/>
    <w:next w:val="1"/>
    <w:link w:val="156"/>
    <w:qFormat/>
    <w:uiPriority w:val="0"/>
    <w:rPr>
      <w:b/>
      <w:bCs/>
      <w:kern w:val="44"/>
      <w:sz w:val="44"/>
      <w:szCs w:val="44"/>
    </w:rPr>
  </w:style>
  <w:style w:type="paragraph" w:styleId="21">
    <w:name w:val="Body Text 3"/>
    <w:basedOn w:val="1"/>
    <w:link w:val="94"/>
    <w:qFormat/>
    <w:uiPriority w:val="0"/>
    <w:pPr>
      <w:jc w:val="center"/>
    </w:pPr>
    <w:rPr>
      <w:sz w:val="28"/>
      <w:szCs w:val="20"/>
    </w:rPr>
  </w:style>
  <w:style w:type="paragraph" w:styleId="22">
    <w:name w:val="Body Text"/>
    <w:basedOn w:val="1"/>
    <w:link w:val="155"/>
    <w:qFormat/>
    <w:uiPriority w:val="0"/>
    <w:pPr>
      <w:spacing w:after="120"/>
    </w:pPr>
  </w:style>
  <w:style w:type="paragraph" w:styleId="23">
    <w:name w:val="Body Text Indent"/>
    <w:basedOn w:val="1"/>
    <w:next w:val="24"/>
    <w:link w:val="92"/>
    <w:qFormat/>
    <w:uiPriority w:val="0"/>
    <w:pPr>
      <w:spacing w:after="120"/>
      <w:ind w:left="420" w:leftChars="200"/>
    </w:pPr>
  </w:style>
  <w:style w:type="paragraph" w:styleId="24">
    <w:name w:val="header"/>
    <w:basedOn w:val="1"/>
    <w:next w:val="25"/>
    <w:link w:val="108"/>
    <w:qFormat/>
    <w:uiPriority w:val="0"/>
    <w:pPr>
      <w:pBdr>
        <w:bottom w:val="single" w:color="auto" w:sz="6" w:space="1"/>
      </w:pBdr>
      <w:tabs>
        <w:tab w:val="center" w:pos="4153"/>
        <w:tab w:val="right" w:pos="8306"/>
      </w:tabs>
      <w:snapToGrid w:val="0"/>
      <w:jc w:val="center"/>
    </w:pPr>
    <w:rPr>
      <w:color w:val="000000"/>
      <w:sz w:val="18"/>
      <w:szCs w:val="20"/>
    </w:rPr>
  </w:style>
  <w:style w:type="paragraph" w:customStyle="1" w:styleId="25">
    <w:name w:val="样式5"/>
    <w:basedOn w:val="16"/>
    <w:qFormat/>
    <w:uiPriority w:val="0"/>
    <w:pPr>
      <w:tabs>
        <w:tab w:val="left" w:pos="0"/>
        <w:tab w:val="left" w:pos="870"/>
        <w:tab w:val="left" w:pos="1080"/>
        <w:tab w:val="left" w:pos="3150"/>
      </w:tabs>
      <w:spacing w:before="60" w:line="460" w:lineRule="exact"/>
      <w:jc w:val="center"/>
    </w:pPr>
    <w:rPr>
      <w:sz w:val="24"/>
    </w:rPr>
  </w:style>
  <w:style w:type="paragraph" w:styleId="26">
    <w:name w:val="List 2"/>
    <w:basedOn w:val="1"/>
    <w:qFormat/>
    <w:uiPriority w:val="0"/>
    <w:pPr>
      <w:ind w:left="100" w:leftChars="200" w:hanging="200" w:hangingChars="200"/>
    </w:pPr>
    <w:rPr>
      <w:szCs w:val="20"/>
    </w:rPr>
  </w:style>
  <w:style w:type="paragraph" w:styleId="27">
    <w:name w:val="List Bullet 2"/>
    <w:basedOn w:val="1"/>
    <w:qFormat/>
    <w:uiPriority w:val="0"/>
    <w:pPr>
      <w:tabs>
        <w:tab w:val="left" w:pos="780"/>
      </w:tabs>
      <w:ind w:left="780" w:leftChars="200" w:hanging="360" w:hangingChars="200"/>
    </w:pPr>
    <w:rPr>
      <w:szCs w:val="20"/>
    </w:rPr>
  </w:style>
  <w:style w:type="paragraph" w:styleId="28">
    <w:name w:val="toc 5"/>
    <w:basedOn w:val="1"/>
    <w:next w:val="1"/>
    <w:qFormat/>
    <w:uiPriority w:val="39"/>
    <w:pPr>
      <w:ind w:left="840"/>
      <w:jc w:val="left"/>
    </w:pPr>
    <w:rPr>
      <w:sz w:val="18"/>
      <w:szCs w:val="18"/>
    </w:rPr>
  </w:style>
  <w:style w:type="paragraph" w:styleId="29">
    <w:name w:val="toc 3"/>
    <w:basedOn w:val="1"/>
    <w:next w:val="1"/>
    <w:qFormat/>
    <w:uiPriority w:val="39"/>
    <w:pPr>
      <w:ind w:left="420"/>
      <w:jc w:val="left"/>
    </w:pPr>
    <w:rPr>
      <w:i/>
      <w:iCs/>
      <w:sz w:val="20"/>
      <w:szCs w:val="20"/>
    </w:rPr>
  </w:style>
  <w:style w:type="paragraph" w:styleId="30">
    <w:name w:val="Plain Text"/>
    <w:basedOn w:val="1"/>
    <w:link w:val="205"/>
    <w:qFormat/>
    <w:uiPriority w:val="0"/>
    <w:rPr>
      <w:rFonts w:ascii="宋体" w:hAnsi="Courier New"/>
      <w:sz w:val="24"/>
    </w:rPr>
  </w:style>
  <w:style w:type="paragraph" w:styleId="31">
    <w:name w:val="toc 8"/>
    <w:basedOn w:val="1"/>
    <w:next w:val="1"/>
    <w:qFormat/>
    <w:uiPriority w:val="39"/>
    <w:pPr>
      <w:ind w:left="1470"/>
      <w:jc w:val="left"/>
    </w:pPr>
    <w:rPr>
      <w:sz w:val="18"/>
      <w:szCs w:val="18"/>
    </w:rPr>
  </w:style>
  <w:style w:type="paragraph" w:styleId="32">
    <w:name w:val="Date"/>
    <w:basedOn w:val="1"/>
    <w:next w:val="1"/>
    <w:link w:val="227"/>
    <w:qFormat/>
    <w:uiPriority w:val="0"/>
    <w:pPr>
      <w:ind w:left="100" w:leftChars="2500"/>
    </w:pPr>
  </w:style>
  <w:style w:type="paragraph" w:styleId="33">
    <w:name w:val="Body Text Indent 2"/>
    <w:basedOn w:val="1"/>
    <w:next w:val="34"/>
    <w:link w:val="126"/>
    <w:qFormat/>
    <w:uiPriority w:val="0"/>
    <w:pPr>
      <w:spacing w:after="120" w:line="480" w:lineRule="auto"/>
      <w:ind w:left="420" w:leftChars="200"/>
    </w:pPr>
  </w:style>
  <w:style w:type="paragraph" w:styleId="34">
    <w:name w:val="Body Text First Indent"/>
    <w:basedOn w:val="22"/>
    <w:link w:val="207"/>
    <w:qFormat/>
    <w:uiPriority w:val="0"/>
    <w:pPr>
      <w:ind w:firstLine="420" w:firstLineChars="100"/>
    </w:pPr>
  </w:style>
  <w:style w:type="paragraph" w:styleId="35">
    <w:name w:val="Balloon Text"/>
    <w:basedOn w:val="1"/>
    <w:qFormat/>
    <w:uiPriority w:val="0"/>
    <w:rPr>
      <w:sz w:val="18"/>
      <w:szCs w:val="18"/>
    </w:rPr>
  </w:style>
  <w:style w:type="paragraph" w:styleId="36">
    <w:name w:val="footer"/>
    <w:basedOn w:val="1"/>
    <w:next w:val="1"/>
    <w:link w:val="189"/>
    <w:qFormat/>
    <w:uiPriority w:val="0"/>
    <w:pPr>
      <w:tabs>
        <w:tab w:val="center" w:pos="4153"/>
        <w:tab w:val="right" w:pos="8306"/>
      </w:tabs>
      <w:snapToGrid w:val="0"/>
      <w:jc w:val="left"/>
    </w:pPr>
    <w:rPr>
      <w:sz w:val="18"/>
      <w:szCs w:val="18"/>
    </w:rPr>
  </w:style>
  <w:style w:type="paragraph" w:styleId="37">
    <w:name w:val="toc 1"/>
    <w:basedOn w:val="1"/>
    <w:next w:val="1"/>
    <w:qFormat/>
    <w:uiPriority w:val="39"/>
    <w:pPr>
      <w:spacing w:before="120" w:after="120"/>
      <w:jc w:val="left"/>
    </w:pPr>
    <w:rPr>
      <w:b/>
      <w:bCs/>
      <w:caps/>
      <w:sz w:val="20"/>
      <w:szCs w:val="20"/>
    </w:rPr>
  </w:style>
  <w:style w:type="paragraph" w:styleId="38">
    <w:name w:val="toc 4"/>
    <w:basedOn w:val="1"/>
    <w:next w:val="1"/>
    <w:qFormat/>
    <w:uiPriority w:val="39"/>
    <w:pPr>
      <w:ind w:left="630"/>
      <w:jc w:val="left"/>
    </w:pPr>
    <w:rPr>
      <w:sz w:val="18"/>
      <w:szCs w:val="18"/>
    </w:rPr>
  </w:style>
  <w:style w:type="paragraph" w:styleId="39">
    <w:name w:val="Subtitle"/>
    <w:basedOn w:val="1"/>
    <w:next w:val="1"/>
    <w:link w:val="146"/>
    <w:qFormat/>
    <w:uiPriority w:val="0"/>
    <w:pPr>
      <w:spacing w:before="240" w:after="60" w:line="312" w:lineRule="auto"/>
      <w:jc w:val="center"/>
      <w:outlineLvl w:val="1"/>
    </w:pPr>
    <w:rPr>
      <w:rFonts w:ascii="Cambria" w:hAnsi="Cambria"/>
      <w:b/>
      <w:bCs/>
      <w:kern w:val="28"/>
      <w:sz w:val="32"/>
      <w:szCs w:val="32"/>
    </w:rPr>
  </w:style>
  <w:style w:type="paragraph" w:styleId="40">
    <w:name w:val="toc 6"/>
    <w:basedOn w:val="1"/>
    <w:next w:val="1"/>
    <w:qFormat/>
    <w:uiPriority w:val="39"/>
    <w:pPr>
      <w:ind w:left="1050"/>
      <w:jc w:val="left"/>
    </w:pPr>
    <w:rPr>
      <w:sz w:val="18"/>
      <w:szCs w:val="18"/>
    </w:rPr>
  </w:style>
  <w:style w:type="paragraph" w:styleId="41">
    <w:name w:val="Body Text Indent 3"/>
    <w:basedOn w:val="1"/>
    <w:link w:val="176"/>
    <w:qFormat/>
    <w:uiPriority w:val="0"/>
    <w:pPr>
      <w:spacing w:line="500" w:lineRule="exact"/>
      <w:ind w:firstLine="540"/>
    </w:pPr>
    <w:rPr>
      <w:sz w:val="28"/>
      <w:szCs w:val="20"/>
    </w:rPr>
  </w:style>
  <w:style w:type="paragraph" w:styleId="42">
    <w:name w:val="toc 2"/>
    <w:basedOn w:val="1"/>
    <w:next w:val="1"/>
    <w:qFormat/>
    <w:uiPriority w:val="39"/>
    <w:pPr>
      <w:ind w:left="210"/>
      <w:jc w:val="left"/>
    </w:pPr>
    <w:rPr>
      <w:smallCaps/>
      <w:sz w:val="20"/>
      <w:szCs w:val="20"/>
    </w:rPr>
  </w:style>
  <w:style w:type="paragraph" w:styleId="43">
    <w:name w:val="toc 9"/>
    <w:basedOn w:val="1"/>
    <w:next w:val="1"/>
    <w:qFormat/>
    <w:uiPriority w:val="39"/>
    <w:pPr>
      <w:ind w:left="1680"/>
      <w:jc w:val="left"/>
    </w:pPr>
    <w:rPr>
      <w:sz w:val="18"/>
      <w:szCs w:val="18"/>
    </w:rPr>
  </w:style>
  <w:style w:type="paragraph" w:styleId="44">
    <w:name w:val="Body Text 2"/>
    <w:basedOn w:val="1"/>
    <w:link w:val="161"/>
    <w:qFormat/>
    <w:uiPriority w:val="0"/>
    <w:pPr>
      <w:tabs>
        <w:tab w:val="left" w:pos="720"/>
      </w:tabs>
      <w:adjustRightInd w:val="0"/>
      <w:snapToGrid w:val="0"/>
      <w:spacing w:line="520" w:lineRule="exact"/>
      <w:jc w:val="center"/>
    </w:pPr>
    <w:rPr>
      <w:rFonts w:eastAsia="黑体"/>
      <w:spacing w:val="10"/>
      <w:sz w:val="48"/>
      <w:szCs w:val="20"/>
    </w:rPr>
  </w:style>
  <w:style w:type="paragraph" w:styleId="45">
    <w:name w:val="HTML Preformatted"/>
    <w:basedOn w:val="1"/>
    <w:link w:val="21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46">
    <w:name w:val="Normal (Web)"/>
    <w:basedOn w:val="1"/>
    <w:link w:val="135"/>
    <w:qFormat/>
    <w:uiPriority w:val="0"/>
    <w:pPr>
      <w:widowControl/>
      <w:spacing w:before="100" w:beforeAutospacing="1" w:after="100" w:afterAutospacing="1"/>
      <w:jc w:val="left"/>
    </w:pPr>
    <w:rPr>
      <w:rFonts w:ascii="宋体" w:hAnsi="宋体"/>
      <w:kern w:val="0"/>
      <w:sz w:val="24"/>
    </w:rPr>
  </w:style>
  <w:style w:type="paragraph" w:styleId="47">
    <w:name w:val="index 1"/>
    <w:basedOn w:val="1"/>
    <w:next w:val="1"/>
    <w:qFormat/>
    <w:uiPriority w:val="0"/>
    <w:pPr>
      <w:snapToGrid w:val="0"/>
      <w:jc w:val="center"/>
    </w:pPr>
    <w:rPr>
      <w:rFonts w:eastAsia="仿宋_GB2312"/>
      <w:szCs w:val="20"/>
    </w:rPr>
  </w:style>
  <w:style w:type="paragraph" w:styleId="48">
    <w:name w:val="Title"/>
    <w:basedOn w:val="1"/>
    <w:qFormat/>
    <w:uiPriority w:val="0"/>
    <w:pPr>
      <w:pageBreakBefore/>
      <w:spacing w:before="240" w:after="60"/>
      <w:jc w:val="center"/>
      <w:outlineLvl w:val="0"/>
    </w:pPr>
    <w:rPr>
      <w:b/>
      <w:sz w:val="44"/>
    </w:rPr>
  </w:style>
  <w:style w:type="paragraph" w:styleId="49">
    <w:name w:val="annotation subject"/>
    <w:basedOn w:val="19"/>
    <w:next w:val="19"/>
    <w:link w:val="214"/>
    <w:qFormat/>
    <w:uiPriority w:val="0"/>
    <w:rPr>
      <w:b/>
      <w:bCs/>
      <w:szCs w:val="24"/>
    </w:rPr>
  </w:style>
  <w:style w:type="paragraph" w:styleId="50">
    <w:name w:val="Body Text First Indent 2"/>
    <w:basedOn w:val="23"/>
    <w:next w:val="1"/>
    <w:link w:val="91"/>
    <w:qFormat/>
    <w:uiPriority w:val="0"/>
    <w:pPr>
      <w:ind w:firstLine="420" w:firstLineChars="200"/>
    </w:pPr>
    <w:rPr>
      <w:szCs w:val="20"/>
    </w:rPr>
  </w:style>
  <w:style w:type="table" w:styleId="52">
    <w:name w:val="Table Grid"/>
    <w:basedOn w:val="51"/>
    <w:unhideWhenUsed/>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53">
    <w:name w:val="Table Theme"/>
    <w:basedOn w:val="5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55">
    <w:name w:val="Strong"/>
    <w:qFormat/>
    <w:uiPriority w:val="0"/>
    <w:rPr>
      <w:b/>
      <w:bCs/>
    </w:rPr>
  </w:style>
  <w:style w:type="character" w:styleId="56">
    <w:name w:val="page number"/>
    <w:basedOn w:val="54"/>
    <w:qFormat/>
    <w:uiPriority w:val="0"/>
  </w:style>
  <w:style w:type="character" w:styleId="57">
    <w:name w:val="FollowedHyperlink"/>
    <w:basedOn w:val="54"/>
    <w:qFormat/>
    <w:uiPriority w:val="0"/>
    <w:rPr>
      <w:color w:val="000000"/>
      <w:u w:val="none"/>
    </w:rPr>
  </w:style>
  <w:style w:type="character" w:styleId="58">
    <w:name w:val="Emphasis"/>
    <w:qFormat/>
    <w:uiPriority w:val="0"/>
    <w:rPr>
      <w:i/>
      <w:iCs/>
    </w:rPr>
  </w:style>
  <w:style w:type="character" w:styleId="59">
    <w:name w:val="Hyperlink"/>
    <w:basedOn w:val="54"/>
    <w:qFormat/>
    <w:uiPriority w:val="99"/>
    <w:rPr>
      <w:color w:val="000000"/>
      <w:u w:val="none"/>
    </w:rPr>
  </w:style>
  <w:style w:type="character" w:styleId="60">
    <w:name w:val="annotation reference"/>
    <w:qFormat/>
    <w:uiPriority w:val="0"/>
    <w:rPr>
      <w:sz w:val="21"/>
      <w:szCs w:val="21"/>
    </w:rPr>
  </w:style>
  <w:style w:type="paragraph" w:customStyle="1" w:styleId="61">
    <w:name w:val="_Style 4"/>
    <w:next w:val="1"/>
    <w:qFormat/>
    <w:uiPriority w:val="1"/>
    <w:pPr>
      <w:widowControl w:val="0"/>
      <w:jc w:val="both"/>
    </w:pPr>
    <w:rPr>
      <w:rFonts w:ascii="Times New Roman" w:hAnsi="Times New Roman" w:eastAsia="仿宋_GB2312" w:cs="Times New Roman"/>
      <w:kern w:val="2"/>
      <w:sz w:val="24"/>
      <w:szCs w:val="22"/>
      <w:lang w:val="en-US" w:eastAsia="zh-CN" w:bidi="ar-SA"/>
    </w:rPr>
  </w:style>
  <w:style w:type="paragraph" w:customStyle="1" w:styleId="62">
    <w:name w:val="正文1"/>
    <w:basedOn w:val="63"/>
    <w:qFormat/>
    <w:uiPriority w:val="0"/>
    <w:pPr>
      <w:widowControl w:val="0"/>
      <w:tabs>
        <w:tab w:val="left" w:pos="0"/>
        <w:tab w:val="left" w:pos="870"/>
        <w:tab w:val="left" w:pos="1080"/>
        <w:tab w:val="left" w:pos="3150"/>
      </w:tabs>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63">
    <w:name w:val="正文首行缩进 2 + Times New Roman"/>
    <w:basedOn w:val="1"/>
    <w:qFormat/>
    <w:uiPriority w:val="0"/>
    <w:pPr>
      <w:tabs>
        <w:tab w:val="left" w:pos="0"/>
        <w:tab w:val="left" w:pos="870"/>
        <w:tab w:val="left" w:pos="1080"/>
        <w:tab w:val="left" w:pos="3150"/>
      </w:tabs>
      <w:autoSpaceDE w:val="0"/>
      <w:autoSpaceDN w:val="0"/>
      <w:spacing w:line="360" w:lineRule="auto"/>
      <w:ind w:firstLine="480" w:firstLineChars="200"/>
      <w:jc w:val="left"/>
    </w:pPr>
    <w:rPr>
      <w:color w:val="0070C0"/>
      <w:sz w:val="24"/>
    </w:rPr>
  </w:style>
  <w:style w:type="paragraph" w:customStyle="1" w:styleId="64">
    <w:name w:val="0正文"/>
    <w:basedOn w:val="23"/>
    <w:unhideWhenUsed/>
    <w:qFormat/>
    <w:uiPriority w:val="0"/>
    <w:pPr>
      <w:spacing w:line="360" w:lineRule="auto"/>
      <w:ind w:firstLine="720" w:firstLineChars="200"/>
    </w:pPr>
    <w:rPr>
      <w:sz w:val="24"/>
    </w:rPr>
  </w:style>
  <w:style w:type="paragraph" w:customStyle="1" w:styleId="65">
    <w:name w:val="toc 65"/>
    <w:next w:val="1"/>
    <w:qFormat/>
    <w:uiPriority w:val="0"/>
    <w:pPr>
      <w:wordWrap w:val="0"/>
      <w:ind w:left="2125"/>
      <w:jc w:val="both"/>
    </w:pPr>
    <w:rPr>
      <w:rFonts w:ascii="Calibri" w:hAnsi="Calibri" w:eastAsia="宋体" w:cs="Times New Roman"/>
      <w:sz w:val="21"/>
      <w:lang w:val="en-US" w:eastAsia="zh-CN" w:bidi="ar-SA"/>
    </w:rPr>
  </w:style>
  <w:style w:type="paragraph" w:customStyle="1" w:styleId="66">
    <w:name w:val="报告书正文"/>
    <w:basedOn w:val="34"/>
    <w:link w:val="197"/>
    <w:qFormat/>
    <w:uiPriority w:val="0"/>
    <w:pPr>
      <w:spacing w:after="0" w:line="300" w:lineRule="auto"/>
      <w:ind w:firstLine="200" w:firstLineChars="200"/>
    </w:pPr>
    <w:rPr>
      <w:sz w:val="24"/>
      <w:szCs w:val="20"/>
    </w:rPr>
  </w:style>
  <w:style w:type="paragraph" w:customStyle="1" w:styleId="67">
    <w:name w:val="正文首行缩进1"/>
    <w:basedOn w:val="1"/>
    <w:link w:val="163"/>
    <w:qFormat/>
    <w:uiPriority w:val="0"/>
    <w:pPr>
      <w:topLinePunct/>
      <w:adjustRightInd w:val="0"/>
      <w:snapToGrid w:val="0"/>
      <w:spacing w:line="360" w:lineRule="auto"/>
      <w:ind w:firstLine="573"/>
      <w:textAlignment w:val="baseline"/>
    </w:pPr>
    <w:rPr>
      <w:rFonts w:eastAsia="Bookman Old Style"/>
      <w:kern w:val="0"/>
      <w:sz w:val="28"/>
    </w:rPr>
  </w:style>
  <w:style w:type="character" w:customStyle="1" w:styleId="68">
    <w:name w:val="表名1 Char Char"/>
    <w:link w:val="69"/>
    <w:qFormat/>
    <w:uiPriority w:val="0"/>
    <w:rPr>
      <w:rFonts w:eastAsia="宋体"/>
      <w:kern w:val="2"/>
      <w:sz w:val="21"/>
      <w:szCs w:val="21"/>
      <w:lang w:val="en-US" w:eastAsia="zh-CN"/>
    </w:rPr>
  </w:style>
  <w:style w:type="paragraph" w:customStyle="1" w:styleId="69">
    <w:name w:val="表名1"/>
    <w:basedOn w:val="1"/>
    <w:link w:val="68"/>
    <w:qFormat/>
    <w:uiPriority w:val="0"/>
    <w:pPr>
      <w:jc w:val="center"/>
    </w:pPr>
    <w:rPr>
      <w:szCs w:val="21"/>
    </w:rPr>
  </w:style>
  <w:style w:type="character" w:customStyle="1" w:styleId="70">
    <w:name w:val="正文文本缩进 2 Char Char"/>
    <w:qFormat/>
    <w:uiPriority w:val="0"/>
    <w:rPr>
      <w:rFonts w:eastAsia="宋体"/>
      <w:sz w:val="28"/>
      <w:lang w:val="en-US" w:eastAsia="zh-CN"/>
    </w:rPr>
  </w:style>
  <w:style w:type="character" w:customStyle="1" w:styleId="71">
    <w:name w:val="apple-style-span"/>
    <w:basedOn w:val="54"/>
    <w:qFormat/>
    <w:uiPriority w:val="0"/>
  </w:style>
  <w:style w:type="character" w:customStyle="1" w:styleId="72">
    <w:name w:val="三级标题 Char Char"/>
    <w:link w:val="73"/>
    <w:qFormat/>
    <w:uiPriority w:val="0"/>
    <w:rPr>
      <w:rFonts w:eastAsia="宋体"/>
      <w:b/>
      <w:kern w:val="2"/>
      <w:sz w:val="24"/>
      <w:szCs w:val="24"/>
      <w:lang w:val="en-US" w:eastAsia="zh-CN"/>
    </w:rPr>
  </w:style>
  <w:style w:type="paragraph" w:customStyle="1" w:styleId="73">
    <w:name w:val="三级标题"/>
    <w:basedOn w:val="74"/>
    <w:link w:val="72"/>
    <w:qFormat/>
    <w:uiPriority w:val="0"/>
    <w:pPr>
      <w:spacing w:before="300"/>
      <w:ind w:firstLine="0" w:firstLineChars="0"/>
      <w:outlineLvl w:val="2"/>
    </w:pPr>
    <w:rPr>
      <w:b/>
    </w:rPr>
  </w:style>
  <w:style w:type="paragraph" w:customStyle="1" w:styleId="74">
    <w:name w:val="正文01"/>
    <w:basedOn w:val="1"/>
    <w:link w:val="154"/>
    <w:qFormat/>
    <w:uiPriority w:val="0"/>
    <w:pPr>
      <w:spacing w:before="60" w:line="460" w:lineRule="exact"/>
      <w:ind w:firstLine="200" w:firstLineChars="200"/>
    </w:pPr>
    <w:rPr>
      <w:sz w:val="24"/>
    </w:rPr>
  </w:style>
  <w:style w:type="character" w:customStyle="1" w:styleId="75">
    <w:name w:val="表头 Char Char"/>
    <w:link w:val="76"/>
    <w:qFormat/>
    <w:uiPriority w:val="0"/>
    <w:rPr>
      <w:rFonts w:ascii="宋体" w:eastAsia="宋体"/>
      <w:sz w:val="21"/>
      <w:szCs w:val="21"/>
      <w:lang w:val="en-US" w:eastAsia="zh-CN"/>
    </w:rPr>
  </w:style>
  <w:style w:type="paragraph" w:customStyle="1" w:styleId="76">
    <w:name w:val="表头"/>
    <w:basedOn w:val="22"/>
    <w:next w:val="1"/>
    <w:link w:val="75"/>
    <w:qFormat/>
    <w:uiPriority w:val="0"/>
    <w:pPr>
      <w:spacing w:after="0" w:line="360" w:lineRule="auto"/>
      <w:jc w:val="left"/>
    </w:pPr>
    <w:rPr>
      <w:rFonts w:ascii="宋体"/>
      <w:kern w:val="0"/>
      <w:szCs w:val="21"/>
    </w:rPr>
  </w:style>
  <w:style w:type="character" w:customStyle="1" w:styleId="77">
    <w:name w:val="h Char"/>
    <w:qFormat/>
    <w:uiPriority w:val="0"/>
    <w:rPr>
      <w:rFonts w:eastAsia="宋体"/>
      <w:sz w:val="21"/>
      <w:lang w:val="en-US" w:eastAsia="zh-CN"/>
    </w:rPr>
  </w:style>
  <w:style w:type="character" w:customStyle="1" w:styleId="78">
    <w:name w:val="正文格式 Char Char"/>
    <w:link w:val="79"/>
    <w:qFormat/>
    <w:uiPriority w:val="0"/>
    <w:rPr>
      <w:rFonts w:ascii="宋体"/>
      <w:kern w:val="2"/>
      <w:sz w:val="24"/>
      <w:szCs w:val="24"/>
    </w:rPr>
  </w:style>
  <w:style w:type="paragraph" w:customStyle="1" w:styleId="79">
    <w:name w:val="正文格式"/>
    <w:basedOn w:val="1"/>
    <w:link w:val="78"/>
    <w:qFormat/>
    <w:uiPriority w:val="0"/>
    <w:pPr>
      <w:spacing w:line="360" w:lineRule="auto"/>
      <w:ind w:firstLine="482"/>
      <w:jc w:val="left"/>
    </w:pPr>
    <w:rPr>
      <w:rFonts w:ascii="宋体"/>
      <w:sz w:val="24"/>
    </w:rPr>
  </w:style>
  <w:style w:type="character" w:customStyle="1" w:styleId="80">
    <w:name w:val="纯文本 Char Char Char Char Char Char Char Char Char"/>
    <w:qFormat/>
    <w:uiPriority w:val="0"/>
    <w:rPr>
      <w:rFonts w:ascii="宋体" w:hAnsi="Courier New" w:eastAsia="宋体"/>
      <w:kern w:val="2"/>
      <w:sz w:val="28"/>
      <w:lang w:val="en-US" w:eastAsia="zh-CN"/>
    </w:rPr>
  </w:style>
  <w:style w:type="character" w:customStyle="1" w:styleId="81">
    <w:name w:val="表格 Char1"/>
    <w:link w:val="82"/>
    <w:qFormat/>
    <w:uiPriority w:val="0"/>
    <w:rPr>
      <w:rFonts w:ascii="宋体" w:hAnsi="宋体"/>
      <w:sz w:val="21"/>
      <w:lang w:val="en-US" w:eastAsia="zh-CN" w:bidi="ar-SA"/>
    </w:rPr>
  </w:style>
  <w:style w:type="paragraph" w:customStyle="1" w:styleId="82">
    <w:name w:val="表格"/>
    <w:next w:val="1"/>
    <w:link w:val="81"/>
    <w:qFormat/>
    <w:uiPriority w:val="0"/>
    <w:pPr>
      <w:snapToGrid w:val="0"/>
      <w:spacing w:line="380" w:lineRule="atLeast"/>
      <w:jc w:val="center"/>
    </w:pPr>
    <w:rPr>
      <w:rFonts w:ascii="宋体" w:hAnsi="宋体" w:eastAsia="宋体" w:cs="Times New Roman"/>
      <w:sz w:val="21"/>
      <w:lang w:val="en-US" w:eastAsia="zh-CN" w:bidi="ar-SA"/>
    </w:rPr>
  </w:style>
  <w:style w:type="character" w:customStyle="1" w:styleId="83">
    <w:name w:val="法律法规 Char"/>
    <w:qFormat/>
    <w:uiPriority w:val="0"/>
    <w:rPr>
      <w:rFonts w:ascii="宋体" w:hAnsi="Times New Roman" w:eastAsia="宋体" w:cs="Times New Roman"/>
      <w:b/>
      <w:color w:val="000000"/>
      <w:w w:val="90"/>
      <w:kern w:val="0"/>
      <w:sz w:val="28"/>
      <w:szCs w:val="20"/>
    </w:rPr>
  </w:style>
  <w:style w:type="character" w:customStyle="1" w:styleId="84">
    <w:name w:val="正文01 Char"/>
    <w:qFormat/>
    <w:uiPriority w:val="0"/>
    <w:rPr>
      <w:rFonts w:eastAsia="宋体"/>
      <w:kern w:val="2"/>
      <w:sz w:val="24"/>
      <w:szCs w:val="24"/>
      <w:lang w:val="en-US" w:eastAsia="zh-CN" w:bidi="ar-SA"/>
    </w:rPr>
  </w:style>
  <w:style w:type="character" w:customStyle="1" w:styleId="85">
    <w:name w:val="一正文缩进 Char Char"/>
    <w:link w:val="86"/>
    <w:qFormat/>
    <w:uiPriority w:val="0"/>
    <w:rPr>
      <w:rFonts w:eastAsia="仿宋_GB2312"/>
      <w:snapToGrid/>
      <w:color w:val="000000"/>
      <w:kern w:val="28"/>
      <w:sz w:val="27"/>
      <w:szCs w:val="27"/>
      <w:lang w:val="en-US" w:eastAsia="zh-CN"/>
    </w:rPr>
  </w:style>
  <w:style w:type="paragraph" w:customStyle="1" w:styleId="86">
    <w:name w:val="一正文缩进"/>
    <w:basedOn w:val="67"/>
    <w:link w:val="85"/>
    <w:qFormat/>
    <w:uiPriority w:val="0"/>
    <w:pPr>
      <w:topLinePunct w:val="0"/>
      <w:spacing w:line="520" w:lineRule="exact"/>
      <w:ind w:firstLine="505"/>
      <w:jc w:val="left"/>
      <w:textAlignment w:val="auto"/>
    </w:pPr>
    <w:rPr>
      <w:rFonts w:eastAsia="仿宋_GB2312"/>
      <w:color w:val="000000"/>
      <w:kern w:val="28"/>
      <w:sz w:val="27"/>
      <w:szCs w:val="27"/>
    </w:rPr>
  </w:style>
  <w:style w:type="character" w:customStyle="1" w:styleId="87">
    <w:name w:val="Char Char13"/>
    <w:qFormat/>
    <w:uiPriority w:val="0"/>
    <w:rPr>
      <w:rFonts w:eastAsia="宋体"/>
      <w:sz w:val="21"/>
      <w:lang w:val="en-US" w:eastAsia="zh-CN"/>
    </w:rPr>
  </w:style>
  <w:style w:type="character" w:customStyle="1" w:styleId="88">
    <w:name w:val="表格 Char Char"/>
    <w:qFormat/>
    <w:uiPriority w:val="0"/>
    <w:rPr>
      <w:rFonts w:eastAsia="宋体"/>
      <w:kern w:val="2"/>
      <w:sz w:val="24"/>
      <w:szCs w:val="24"/>
      <w:lang w:val="en-US" w:eastAsia="zh-CN"/>
    </w:rPr>
  </w:style>
  <w:style w:type="character" w:customStyle="1" w:styleId="89">
    <w:name w:val="正文文字 21 Char"/>
    <w:qFormat/>
    <w:uiPriority w:val="0"/>
    <w:rPr>
      <w:rFonts w:eastAsia="宋体"/>
      <w:sz w:val="28"/>
      <w:lang w:val="en-US" w:eastAsia="zh-CN"/>
    </w:rPr>
  </w:style>
  <w:style w:type="character" w:customStyle="1" w:styleId="90">
    <w:name w:val="tpc_content1"/>
    <w:basedOn w:val="54"/>
    <w:qFormat/>
    <w:uiPriority w:val="0"/>
    <w:rPr>
      <w:sz w:val="20"/>
      <w:szCs w:val="20"/>
    </w:rPr>
  </w:style>
  <w:style w:type="character" w:customStyle="1" w:styleId="91">
    <w:name w:val="正文首行缩进 2 Char"/>
    <w:basedOn w:val="92"/>
    <w:link w:val="50"/>
    <w:qFormat/>
    <w:uiPriority w:val="0"/>
    <w:rPr>
      <w:kern w:val="2"/>
      <w:sz w:val="21"/>
      <w:szCs w:val="24"/>
    </w:rPr>
  </w:style>
  <w:style w:type="character" w:customStyle="1" w:styleId="92">
    <w:name w:val="正文文本缩进 Char"/>
    <w:link w:val="23"/>
    <w:qFormat/>
    <w:uiPriority w:val="0"/>
    <w:rPr>
      <w:kern w:val="2"/>
      <w:sz w:val="21"/>
      <w:szCs w:val="24"/>
    </w:rPr>
  </w:style>
  <w:style w:type="character" w:customStyle="1" w:styleId="93">
    <w:name w:val="Char Char1"/>
    <w:qFormat/>
    <w:uiPriority w:val="0"/>
    <w:rPr>
      <w:rFonts w:ascii="Cambria" w:hAnsi="Cambria" w:eastAsia="宋体" w:cs="Times New Roman"/>
      <w:b/>
      <w:bCs/>
      <w:kern w:val="2"/>
      <w:sz w:val="32"/>
      <w:szCs w:val="32"/>
    </w:rPr>
  </w:style>
  <w:style w:type="character" w:customStyle="1" w:styleId="94">
    <w:name w:val="正文文本 3 Char"/>
    <w:basedOn w:val="54"/>
    <w:link w:val="21"/>
    <w:qFormat/>
    <w:uiPriority w:val="0"/>
    <w:rPr>
      <w:kern w:val="2"/>
      <w:sz w:val="28"/>
    </w:rPr>
  </w:style>
  <w:style w:type="character" w:customStyle="1" w:styleId="95">
    <w:name w:val="Char Char3"/>
    <w:qFormat/>
    <w:uiPriority w:val="0"/>
    <w:rPr>
      <w:rFonts w:ascii="宋体" w:eastAsia="宋体"/>
      <w:b/>
      <w:color w:val="000000"/>
      <w:w w:val="90"/>
      <w:sz w:val="28"/>
      <w:lang w:val="en-US" w:eastAsia="zh-CN"/>
    </w:rPr>
  </w:style>
  <w:style w:type="character" w:customStyle="1" w:styleId="96">
    <w:name w:val="纯文本 Char Char Char Char Char Char Char Char Char Char Char Char Char Char Char Char Char Char Char Char Char Char Char Char Char Char Char Char Char Char"/>
    <w:qFormat/>
    <w:uiPriority w:val="0"/>
    <w:rPr>
      <w:rFonts w:ascii="宋体" w:hAnsi="Courier New" w:eastAsia="宋体" w:cs="宋体"/>
      <w:kern w:val="2"/>
      <w:sz w:val="24"/>
      <w:szCs w:val="24"/>
      <w:lang w:val="en-US" w:eastAsia="zh-CN"/>
    </w:rPr>
  </w:style>
  <w:style w:type="character" w:customStyle="1" w:styleId="97">
    <w:name w:val="表格文字居中 Char1"/>
    <w:basedOn w:val="54"/>
    <w:link w:val="98"/>
    <w:qFormat/>
    <w:uiPriority w:val="0"/>
    <w:rPr>
      <w:rFonts w:ascii="宋体" w:hAnsi="宋体"/>
      <w:sz w:val="24"/>
      <w:lang w:val="en-US" w:eastAsia="zh-CN" w:bidi="ar-SA"/>
    </w:rPr>
  </w:style>
  <w:style w:type="paragraph" w:customStyle="1" w:styleId="98">
    <w:name w:val="表格文字居中"/>
    <w:link w:val="97"/>
    <w:qFormat/>
    <w:uiPriority w:val="0"/>
    <w:pPr>
      <w:adjustRightInd w:val="0"/>
      <w:snapToGrid w:val="0"/>
      <w:spacing w:beforeLines="10" w:afterLines="10"/>
      <w:jc w:val="center"/>
    </w:pPr>
    <w:rPr>
      <w:rFonts w:ascii="宋体" w:hAnsi="宋体" w:eastAsia="宋体" w:cs="Times New Roman"/>
      <w:sz w:val="24"/>
      <w:lang w:val="en-US" w:eastAsia="zh-CN" w:bidi="ar-SA"/>
    </w:rPr>
  </w:style>
  <w:style w:type="character" w:customStyle="1" w:styleId="99">
    <w:name w:val="表格样式 Char Char"/>
    <w:link w:val="100"/>
    <w:qFormat/>
    <w:uiPriority w:val="0"/>
    <w:rPr>
      <w:rFonts w:ascii="宋体" w:hAnsi="宋体" w:eastAsia="宋体" w:cs="宋体"/>
      <w:b/>
      <w:bCs/>
      <w:sz w:val="21"/>
      <w:szCs w:val="21"/>
      <w:lang w:val="en-US" w:eastAsia="zh-CN"/>
    </w:rPr>
  </w:style>
  <w:style w:type="paragraph" w:customStyle="1" w:styleId="100">
    <w:name w:val="表格样式"/>
    <w:basedOn w:val="1"/>
    <w:link w:val="99"/>
    <w:qFormat/>
    <w:uiPriority w:val="0"/>
    <w:pPr>
      <w:spacing w:beforeLines="50" w:line="360" w:lineRule="auto"/>
      <w:jc w:val="center"/>
    </w:pPr>
    <w:rPr>
      <w:rFonts w:ascii="宋体" w:hAnsi="宋体"/>
      <w:b/>
      <w:bCs/>
      <w:kern w:val="0"/>
      <w:szCs w:val="21"/>
    </w:rPr>
  </w:style>
  <w:style w:type="character" w:customStyle="1" w:styleId="101">
    <w:name w:val="标题 1 Char"/>
    <w:link w:val="3"/>
    <w:qFormat/>
    <w:uiPriority w:val="0"/>
    <w:rPr>
      <w:rFonts w:eastAsia="黑体"/>
      <w:snapToGrid/>
      <w:sz w:val="44"/>
      <w:lang w:val="en-US" w:eastAsia="zh-CN"/>
    </w:rPr>
  </w:style>
  <w:style w:type="character" w:customStyle="1" w:styleId="102">
    <w:name w:val="报告书正文 Char Char Char Char"/>
    <w:link w:val="103"/>
    <w:qFormat/>
    <w:uiPriority w:val="0"/>
    <w:rPr>
      <w:kern w:val="2"/>
      <w:sz w:val="24"/>
    </w:rPr>
  </w:style>
  <w:style w:type="paragraph" w:customStyle="1" w:styleId="103">
    <w:name w:val="报告书正文 Char Char Char"/>
    <w:basedOn w:val="1"/>
    <w:link w:val="102"/>
    <w:qFormat/>
    <w:uiPriority w:val="0"/>
    <w:pPr>
      <w:spacing w:line="300" w:lineRule="auto"/>
      <w:ind w:firstLine="480" w:firstLineChars="200"/>
    </w:pPr>
    <w:rPr>
      <w:sz w:val="24"/>
      <w:szCs w:val="20"/>
    </w:rPr>
  </w:style>
  <w:style w:type="character" w:customStyle="1" w:styleId="104">
    <w:name w:val="3级标题 Char Char"/>
    <w:link w:val="105"/>
    <w:qFormat/>
    <w:uiPriority w:val="0"/>
    <w:rPr>
      <w:rFonts w:eastAsia="宋体"/>
      <w:b/>
      <w:kern w:val="2"/>
      <w:sz w:val="24"/>
      <w:szCs w:val="24"/>
      <w:lang w:val="en-US" w:eastAsia="zh-CN"/>
    </w:rPr>
  </w:style>
  <w:style w:type="paragraph" w:customStyle="1" w:styleId="105">
    <w:name w:val="3级标题"/>
    <w:basedOn w:val="1"/>
    <w:link w:val="104"/>
    <w:qFormat/>
    <w:uiPriority w:val="0"/>
    <w:pPr>
      <w:spacing w:before="300" w:line="460" w:lineRule="exact"/>
      <w:outlineLvl w:val="2"/>
    </w:pPr>
    <w:rPr>
      <w:b/>
      <w:sz w:val="24"/>
    </w:rPr>
  </w:style>
  <w:style w:type="character" w:customStyle="1" w:styleId="106">
    <w:name w:val="正文（首行缩进） Char"/>
    <w:basedOn w:val="54"/>
    <w:link w:val="107"/>
    <w:qFormat/>
    <w:uiPriority w:val="0"/>
    <w:rPr>
      <w:kern w:val="2"/>
      <w:sz w:val="28"/>
      <w:szCs w:val="24"/>
      <w:lang w:val="zh-CN"/>
    </w:rPr>
  </w:style>
  <w:style w:type="paragraph" w:customStyle="1" w:styleId="107">
    <w:name w:val="正文（首行缩进）"/>
    <w:basedOn w:val="1"/>
    <w:link w:val="106"/>
    <w:qFormat/>
    <w:uiPriority w:val="0"/>
    <w:pPr>
      <w:spacing w:line="360" w:lineRule="auto"/>
      <w:ind w:firstLine="560" w:firstLineChars="200"/>
      <w:jc w:val="left"/>
    </w:pPr>
    <w:rPr>
      <w:sz w:val="28"/>
      <w:lang w:val="zh-CN"/>
    </w:rPr>
  </w:style>
  <w:style w:type="character" w:customStyle="1" w:styleId="108">
    <w:name w:val="页眉 Char"/>
    <w:link w:val="24"/>
    <w:qFormat/>
    <w:uiPriority w:val="0"/>
    <w:rPr>
      <w:rFonts w:eastAsia="宋体"/>
      <w:color w:val="000000"/>
      <w:kern w:val="2"/>
      <w:sz w:val="18"/>
      <w:lang w:val="en-US" w:eastAsia="zh-CN"/>
    </w:rPr>
  </w:style>
  <w:style w:type="character" w:customStyle="1" w:styleId="109">
    <w:name w:val="正文文本 Char Char Char"/>
    <w:qFormat/>
    <w:uiPriority w:val="0"/>
    <w:rPr>
      <w:rFonts w:eastAsia="宋体"/>
      <w:sz w:val="28"/>
      <w:lang w:val="en-US" w:eastAsia="zh-CN"/>
    </w:rPr>
  </w:style>
  <w:style w:type="character" w:customStyle="1" w:styleId="110">
    <w:name w:val="占位符文本1"/>
    <w:basedOn w:val="54"/>
    <w:semiHidden/>
    <w:qFormat/>
    <w:uiPriority w:val="99"/>
    <w:rPr>
      <w:color w:val="808080"/>
    </w:rPr>
  </w:style>
  <w:style w:type="character" w:customStyle="1" w:styleId="111">
    <w:name w:val="fs"/>
    <w:basedOn w:val="54"/>
    <w:qFormat/>
    <w:uiPriority w:val="0"/>
  </w:style>
  <w:style w:type="character" w:customStyle="1" w:styleId="112">
    <w:name w:val="标题 2 Char1"/>
    <w:basedOn w:val="54"/>
    <w:qFormat/>
    <w:uiPriority w:val="0"/>
    <w:rPr>
      <w:rFonts w:ascii="Arial" w:hAnsi="Arial" w:eastAsia="黑体"/>
      <w:b/>
      <w:bCs/>
      <w:kern w:val="2"/>
      <w:sz w:val="32"/>
      <w:szCs w:val="32"/>
      <w:lang w:val="en-US" w:eastAsia="zh-CN" w:bidi="ar-SA"/>
    </w:rPr>
  </w:style>
  <w:style w:type="character" w:customStyle="1" w:styleId="113">
    <w:name w:val="页码1"/>
    <w:basedOn w:val="54"/>
    <w:qFormat/>
    <w:uiPriority w:val="0"/>
  </w:style>
  <w:style w:type="character" w:customStyle="1" w:styleId="114">
    <w:name w:val="三级标题 Char"/>
    <w:qFormat/>
    <w:uiPriority w:val="0"/>
    <w:rPr>
      <w:rFonts w:eastAsia="宋体"/>
      <w:b/>
      <w:kern w:val="2"/>
      <w:sz w:val="24"/>
      <w:szCs w:val="24"/>
      <w:lang w:val="en-US" w:eastAsia="zh-CN" w:bidi="ar-SA"/>
    </w:rPr>
  </w:style>
  <w:style w:type="character" w:customStyle="1" w:styleId="115">
    <w:name w:val="apple-converted-space"/>
    <w:basedOn w:val="54"/>
    <w:qFormat/>
    <w:uiPriority w:val="0"/>
  </w:style>
  <w:style w:type="character" w:customStyle="1" w:styleId="116">
    <w:name w:val="插图 Char Char"/>
    <w:link w:val="117"/>
    <w:qFormat/>
    <w:uiPriority w:val="0"/>
    <w:rPr>
      <w:rFonts w:eastAsia="黑体"/>
      <w:b/>
      <w:kern w:val="2"/>
      <w:sz w:val="24"/>
      <w:lang w:val="en-US" w:eastAsia="zh-CN" w:bidi="ar-SA"/>
    </w:rPr>
  </w:style>
  <w:style w:type="paragraph" w:customStyle="1" w:styleId="117">
    <w:name w:val="插图"/>
    <w:link w:val="116"/>
    <w:qFormat/>
    <w:uiPriority w:val="0"/>
    <w:pPr>
      <w:jc w:val="center"/>
    </w:pPr>
    <w:rPr>
      <w:rFonts w:ascii="Times New Roman" w:hAnsi="Times New Roman" w:eastAsia="黑体" w:cs="Times New Roman"/>
      <w:b/>
      <w:kern w:val="2"/>
      <w:sz w:val="24"/>
      <w:lang w:val="en-US" w:eastAsia="zh-CN" w:bidi="ar-SA"/>
    </w:rPr>
  </w:style>
  <w:style w:type="character" w:customStyle="1" w:styleId="118">
    <w:name w:val="样式10 Char"/>
    <w:basedOn w:val="119"/>
    <w:link w:val="122"/>
    <w:qFormat/>
    <w:uiPriority w:val="0"/>
    <w:rPr>
      <w:rFonts w:eastAsia="黑体"/>
      <w:kern w:val="2"/>
      <w:sz w:val="32"/>
      <w:szCs w:val="32"/>
      <w:lang w:val="en-US" w:eastAsia="zh-CN"/>
    </w:rPr>
  </w:style>
  <w:style w:type="character" w:customStyle="1" w:styleId="119">
    <w:name w:val="完3 Char"/>
    <w:basedOn w:val="120"/>
    <w:link w:val="121"/>
    <w:qFormat/>
    <w:uiPriority w:val="0"/>
    <w:rPr>
      <w:rFonts w:eastAsia="黑体"/>
      <w:b w:val="0"/>
      <w:kern w:val="2"/>
      <w:sz w:val="32"/>
      <w:szCs w:val="32"/>
      <w:lang w:val="en-US" w:eastAsia="zh-CN"/>
    </w:rPr>
  </w:style>
  <w:style w:type="character" w:customStyle="1" w:styleId="120">
    <w:name w:val="标题 3 Char"/>
    <w:link w:val="5"/>
    <w:qFormat/>
    <w:uiPriority w:val="0"/>
    <w:rPr>
      <w:rFonts w:eastAsia="宋体"/>
      <w:b/>
      <w:bCs/>
      <w:kern w:val="2"/>
      <w:sz w:val="32"/>
      <w:szCs w:val="32"/>
      <w:lang w:val="en-US" w:eastAsia="zh-CN"/>
    </w:rPr>
  </w:style>
  <w:style w:type="paragraph" w:customStyle="1" w:styleId="121">
    <w:name w:val="完3"/>
    <w:basedOn w:val="5"/>
    <w:link w:val="119"/>
    <w:qFormat/>
    <w:uiPriority w:val="0"/>
    <w:pPr>
      <w:spacing w:before="0" w:after="0" w:line="416" w:lineRule="auto"/>
    </w:pPr>
    <w:rPr>
      <w:rFonts w:eastAsia="黑体"/>
      <w:b w:val="0"/>
    </w:rPr>
  </w:style>
  <w:style w:type="paragraph" w:customStyle="1" w:styleId="122">
    <w:name w:val="样式10"/>
    <w:basedOn w:val="121"/>
    <w:link w:val="118"/>
    <w:qFormat/>
    <w:uiPriority w:val="0"/>
    <w:pPr>
      <w:spacing w:line="520" w:lineRule="exact"/>
    </w:pPr>
  </w:style>
  <w:style w:type="character" w:customStyle="1" w:styleId="123">
    <w:name w:val="ccc Char"/>
    <w:basedOn w:val="54"/>
    <w:link w:val="124"/>
    <w:qFormat/>
    <w:uiPriority w:val="0"/>
    <w:rPr>
      <w:color w:val="008000"/>
      <w:spacing w:val="12"/>
      <w:sz w:val="28"/>
      <w:szCs w:val="28"/>
    </w:rPr>
  </w:style>
  <w:style w:type="paragraph" w:customStyle="1" w:styleId="124">
    <w:name w:val="ccc"/>
    <w:basedOn w:val="1"/>
    <w:link w:val="123"/>
    <w:qFormat/>
    <w:uiPriority w:val="0"/>
    <w:pPr>
      <w:spacing w:line="520" w:lineRule="exact"/>
      <w:ind w:firstLine="608" w:firstLineChars="200"/>
      <w:jc w:val="left"/>
    </w:pPr>
    <w:rPr>
      <w:color w:val="008000"/>
      <w:spacing w:val="12"/>
      <w:kern w:val="0"/>
      <w:sz w:val="28"/>
      <w:szCs w:val="28"/>
    </w:rPr>
  </w:style>
  <w:style w:type="character" w:customStyle="1" w:styleId="125">
    <w:name w:val="页脚 Char Char"/>
    <w:qFormat/>
    <w:uiPriority w:val="0"/>
    <w:rPr>
      <w:rFonts w:eastAsia="宋体"/>
      <w:sz w:val="21"/>
      <w:lang w:val="en-US" w:eastAsia="zh-CN"/>
    </w:rPr>
  </w:style>
  <w:style w:type="character" w:customStyle="1" w:styleId="126">
    <w:name w:val="正文文本缩进 2 Char"/>
    <w:link w:val="33"/>
    <w:qFormat/>
    <w:uiPriority w:val="0"/>
    <w:rPr>
      <w:kern w:val="2"/>
      <w:sz w:val="21"/>
      <w:szCs w:val="24"/>
    </w:rPr>
  </w:style>
  <w:style w:type="character" w:customStyle="1" w:styleId="127">
    <w:name w:val="body text Char"/>
    <w:qFormat/>
    <w:uiPriority w:val="0"/>
    <w:rPr>
      <w:rFonts w:ascii="Times New Roman" w:hAnsi="Times New Roman" w:eastAsia="宋体" w:cs="Times New Roman"/>
      <w:szCs w:val="24"/>
    </w:rPr>
  </w:style>
  <w:style w:type="character" w:customStyle="1" w:styleId="128">
    <w:name w:val="z11"/>
    <w:qFormat/>
    <w:uiPriority w:val="0"/>
    <w:rPr>
      <w:sz w:val="20"/>
    </w:rPr>
  </w:style>
  <w:style w:type="character" w:customStyle="1" w:styleId="129">
    <w:name w:val="标题1"/>
    <w:basedOn w:val="54"/>
    <w:qFormat/>
    <w:uiPriority w:val="0"/>
  </w:style>
  <w:style w:type="character" w:customStyle="1" w:styleId="130">
    <w:name w:val="文本正文 Char Char"/>
    <w:link w:val="131"/>
    <w:qFormat/>
    <w:uiPriority w:val="0"/>
    <w:rPr>
      <w:rFonts w:eastAsia="宋体"/>
      <w:kern w:val="2"/>
      <w:sz w:val="24"/>
      <w:lang w:val="en-US" w:eastAsia="zh-CN"/>
    </w:rPr>
  </w:style>
  <w:style w:type="paragraph" w:customStyle="1" w:styleId="131">
    <w:name w:val="文本正文"/>
    <w:basedOn w:val="132"/>
    <w:link w:val="130"/>
    <w:qFormat/>
    <w:uiPriority w:val="0"/>
    <w:pPr>
      <w:tabs>
        <w:tab w:val="left" w:pos="6480"/>
      </w:tabs>
      <w:spacing w:beforeLines="50" w:afterLines="50" w:line="360" w:lineRule="auto"/>
      <w:ind w:firstLine="538" w:firstLineChars="224"/>
      <w:jc w:val="both"/>
    </w:pPr>
    <w:rPr>
      <w:szCs w:val="20"/>
    </w:rPr>
  </w:style>
  <w:style w:type="paragraph" w:customStyle="1" w:styleId="132">
    <w:name w:val="正文文本缩进 21"/>
    <w:basedOn w:val="1"/>
    <w:link w:val="220"/>
    <w:qFormat/>
    <w:uiPriority w:val="0"/>
    <w:pPr>
      <w:tabs>
        <w:tab w:val="left" w:pos="6480"/>
      </w:tabs>
      <w:spacing w:before="60" w:line="460" w:lineRule="exact"/>
      <w:ind w:firstLine="480" w:firstLineChars="200"/>
      <w:jc w:val="left"/>
    </w:pPr>
    <w:rPr>
      <w:sz w:val="24"/>
    </w:rPr>
  </w:style>
  <w:style w:type="character" w:customStyle="1" w:styleId="133">
    <w:name w:val="称呼 Char1"/>
    <w:basedOn w:val="54"/>
    <w:qFormat/>
    <w:uiPriority w:val="0"/>
    <w:rPr>
      <w:kern w:val="2"/>
      <w:sz w:val="21"/>
      <w:szCs w:val="24"/>
    </w:rPr>
  </w:style>
  <w:style w:type="character" w:customStyle="1" w:styleId="134">
    <w:name w:val="Char Char10"/>
    <w:qFormat/>
    <w:uiPriority w:val="0"/>
    <w:rPr>
      <w:rFonts w:eastAsia="黑体"/>
      <w:b/>
      <w:sz w:val="28"/>
      <w:lang w:val="en-US" w:eastAsia="zh-CN"/>
    </w:rPr>
  </w:style>
  <w:style w:type="character" w:customStyle="1" w:styleId="135">
    <w:name w:val="普通(网站) Char"/>
    <w:link w:val="46"/>
    <w:qFormat/>
    <w:uiPriority w:val="0"/>
    <w:rPr>
      <w:rFonts w:ascii="宋体" w:hAnsi="宋体" w:cs="宋体"/>
      <w:sz w:val="24"/>
      <w:szCs w:val="24"/>
    </w:rPr>
  </w:style>
  <w:style w:type="character" w:customStyle="1" w:styleId="136">
    <w:name w:val="正文不 Char1"/>
    <w:qFormat/>
    <w:uiPriority w:val="0"/>
    <w:rPr>
      <w:rFonts w:eastAsia="宋体"/>
      <w:sz w:val="28"/>
      <w:lang w:val="en-US" w:eastAsia="zh-CN"/>
    </w:rPr>
  </w:style>
  <w:style w:type="character" w:customStyle="1" w:styleId="137">
    <w:name w:val="bbb Char"/>
    <w:basedOn w:val="54"/>
    <w:link w:val="138"/>
    <w:qFormat/>
    <w:uiPriority w:val="0"/>
    <w:rPr>
      <w:b/>
      <w:bCs/>
      <w:kern w:val="2"/>
      <w:sz w:val="32"/>
      <w:szCs w:val="32"/>
    </w:rPr>
  </w:style>
  <w:style w:type="paragraph" w:customStyle="1" w:styleId="138">
    <w:name w:val="bbb"/>
    <w:basedOn w:val="1"/>
    <w:link w:val="137"/>
    <w:qFormat/>
    <w:uiPriority w:val="0"/>
    <w:pPr>
      <w:keepNext/>
      <w:keepLines/>
      <w:spacing w:before="240"/>
      <w:outlineLvl w:val="1"/>
    </w:pPr>
    <w:rPr>
      <w:b/>
      <w:bCs/>
      <w:sz w:val="32"/>
      <w:szCs w:val="32"/>
    </w:rPr>
  </w:style>
  <w:style w:type="character" w:customStyle="1" w:styleId="139">
    <w:name w:val="headline-content"/>
    <w:basedOn w:val="54"/>
    <w:qFormat/>
    <w:uiPriority w:val="0"/>
  </w:style>
  <w:style w:type="character" w:customStyle="1" w:styleId="140">
    <w:name w:val="标题 4 Char"/>
    <w:link w:val="6"/>
    <w:qFormat/>
    <w:uiPriority w:val="0"/>
    <w:rPr>
      <w:rFonts w:ascii="黑体" w:eastAsia="黑体"/>
      <w:spacing w:val="-20"/>
      <w:sz w:val="28"/>
      <w:lang w:val="en-US" w:eastAsia="zh-CN"/>
    </w:rPr>
  </w:style>
  <w:style w:type="character" w:customStyle="1" w:styleId="141">
    <w:name w:val="批注文字 Char"/>
    <w:link w:val="19"/>
    <w:qFormat/>
    <w:uiPriority w:val="0"/>
    <w:rPr>
      <w:kern w:val="2"/>
      <w:sz w:val="21"/>
    </w:rPr>
  </w:style>
  <w:style w:type="character" w:customStyle="1" w:styleId="142">
    <w:name w:val="正文文本1 Char1 Char Char Char Char Char"/>
    <w:qFormat/>
    <w:uiPriority w:val="0"/>
    <w:rPr>
      <w:rFonts w:eastAsia="宋体"/>
      <w:sz w:val="18"/>
      <w:lang w:val="en-US" w:eastAsia="zh-CN" w:bidi="ar-SA"/>
    </w:rPr>
  </w:style>
  <w:style w:type="character" w:customStyle="1" w:styleId="143">
    <w:name w:val="报告正文 Char Char"/>
    <w:basedOn w:val="54"/>
    <w:link w:val="144"/>
    <w:qFormat/>
    <w:uiPriority w:val="0"/>
    <w:rPr>
      <w:rFonts w:ascii="宋体" w:hAnsi="宋体"/>
      <w:kern w:val="2"/>
      <w:sz w:val="24"/>
      <w:szCs w:val="24"/>
    </w:rPr>
  </w:style>
  <w:style w:type="paragraph" w:customStyle="1" w:styleId="144">
    <w:name w:val="报告正文"/>
    <w:basedOn w:val="1"/>
    <w:next w:val="1"/>
    <w:link w:val="143"/>
    <w:qFormat/>
    <w:uiPriority w:val="0"/>
    <w:pPr>
      <w:adjustRightInd w:val="0"/>
      <w:snapToGrid w:val="0"/>
      <w:spacing w:line="480" w:lineRule="exact"/>
      <w:ind w:firstLine="200" w:firstLineChars="200"/>
    </w:pPr>
    <w:rPr>
      <w:rFonts w:ascii="宋体" w:hAnsi="宋体"/>
      <w:sz w:val="24"/>
    </w:rPr>
  </w:style>
  <w:style w:type="character" w:customStyle="1" w:styleId="145">
    <w:name w:val="Char Char2"/>
    <w:qFormat/>
    <w:uiPriority w:val="0"/>
    <w:rPr>
      <w:rFonts w:eastAsia="宋体"/>
      <w:sz w:val="21"/>
      <w:lang w:val="en-US" w:eastAsia="zh-CN"/>
    </w:rPr>
  </w:style>
  <w:style w:type="character" w:customStyle="1" w:styleId="146">
    <w:name w:val="副标题 Char"/>
    <w:link w:val="39"/>
    <w:qFormat/>
    <w:uiPriority w:val="0"/>
    <w:rPr>
      <w:rFonts w:ascii="Cambria" w:hAnsi="Cambria" w:cs="Times New Roman"/>
      <w:b/>
      <w:bCs/>
      <w:kern w:val="28"/>
      <w:sz w:val="32"/>
      <w:szCs w:val="32"/>
    </w:rPr>
  </w:style>
  <w:style w:type="character" w:customStyle="1" w:styleId="147">
    <w:name w:val="文档结构图 Char Char"/>
    <w:link w:val="148"/>
    <w:qFormat/>
    <w:uiPriority w:val="0"/>
    <w:rPr>
      <w:rFonts w:eastAsia="宋体"/>
      <w:kern w:val="2"/>
      <w:sz w:val="21"/>
      <w:szCs w:val="24"/>
      <w:lang w:val="en-US" w:eastAsia="zh-CN"/>
    </w:rPr>
  </w:style>
  <w:style w:type="paragraph" w:customStyle="1" w:styleId="148">
    <w:name w:val="文档结构图1"/>
    <w:basedOn w:val="1"/>
    <w:link w:val="147"/>
    <w:qFormat/>
    <w:uiPriority w:val="0"/>
    <w:pPr>
      <w:shd w:val="clear" w:color="auto" w:fill="000080"/>
    </w:pPr>
  </w:style>
  <w:style w:type="character" w:customStyle="1" w:styleId="149">
    <w:name w:val="正文 首行缩进:  2 字符 SL CON Char Char"/>
    <w:link w:val="150"/>
    <w:qFormat/>
    <w:uiPriority w:val="0"/>
    <w:rPr>
      <w:rFonts w:ascii="宋体" w:cs="宋体"/>
      <w:sz w:val="24"/>
      <w:szCs w:val="24"/>
    </w:rPr>
  </w:style>
  <w:style w:type="paragraph" w:customStyle="1" w:styleId="150">
    <w:name w:val="正文 首行缩进:  2 字符 SL CON"/>
    <w:basedOn w:val="1"/>
    <w:link w:val="149"/>
    <w:qFormat/>
    <w:uiPriority w:val="0"/>
    <w:pPr>
      <w:widowControl/>
      <w:tabs>
        <w:tab w:val="left" w:pos="377"/>
      </w:tabs>
      <w:spacing w:line="360" w:lineRule="auto"/>
      <w:ind w:firstLine="200" w:firstLineChars="200"/>
      <w:jc w:val="left"/>
    </w:pPr>
    <w:rPr>
      <w:rFonts w:ascii="宋体"/>
      <w:kern w:val="0"/>
      <w:sz w:val="24"/>
    </w:rPr>
  </w:style>
  <w:style w:type="character" w:customStyle="1" w:styleId="151">
    <w:name w:val="a21"/>
    <w:qFormat/>
    <w:uiPriority w:val="0"/>
    <w:rPr>
      <w:color w:val="000000"/>
      <w:sz w:val="20"/>
      <w:szCs w:val="20"/>
      <w:u w:val="none"/>
    </w:rPr>
  </w:style>
  <w:style w:type="character" w:customStyle="1" w:styleId="152">
    <w:name w:val="表内字 Char"/>
    <w:link w:val="153"/>
    <w:qFormat/>
    <w:uiPriority w:val="0"/>
    <w:rPr>
      <w:rFonts w:ascii="宋体" w:hAnsi="宋体"/>
      <w:color w:val="000000"/>
      <w:kern w:val="2"/>
      <w:sz w:val="24"/>
      <w:szCs w:val="24"/>
    </w:rPr>
  </w:style>
  <w:style w:type="paragraph" w:customStyle="1" w:styleId="153">
    <w:name w:val="表内字"/>
    <w:basedOn w:val="1"/>
    <w:next w:val="1"/>
    <w:link w:val="152"/>
    <w:qFormat/>
    <w:uiPriority w:val="0"/>
    <w:pPr>
      <w:adjustRightInd w:val="0"/>
      <w:snapToGrid w:val="0"/>
      <w:jc w:val="center"/>
    </w:pPr>
    <w:rPr>
      <w:rFonts w:ascii="宋体" w:hAnsi="宋体"/>
      <w:color w:val="000000"/>
      <w:sz w:val="24"/>
    </w:rPr>
  </w:style>
  <w:style w:type="character" w:customStyle="1" w:styleId="154">
    <w:name w:val="正文01 Char Char"/>
    <w:link w:val="74"/>
    <w:qFormat/>
    <w:uiPriority w:val="0"/>
    <w:rPr>
      <w:rFonts w:eastAsia="宋体"/>
      <w:kern w:val="2"/>
      <w:sz w:val="24"/>
      <w:szCs w:val="24"/>
      <w:lang w:val="en-US" w:eastAsia="zh-CN"/>
    </w:rPr>
  </w:style>
  <w:style w:type="character" w:customStyle="1" w:styleId="155">
    <w:name w:val="正文文本 Char"/>
    <w:link w:val="22"/>
    <w:qFormat/>
    <w:uiPriority w:val="0"/>
    <w:rPr>
      <w:rFonts w:eastAsia="宋体"/>
      <w:kern w:val="2"/>
      <w:sz w:val="21"/>
      <w:szCs w:val="24"/>
      <w:lang w:val="en-US" w:eastAsia="zh-CN"/>
    </w:rPr>
  </w:style>
  <w:style w:type="character" w:customStyle="1" w:styleId="156">
    <w:name w:val="称呼 Char"/>
    <w:basedOn w:val="54"/>
    <w:link w:val="20"/>
    <w:qFormat/>
    <w:uiPriority w:val="0"/>
    <w:rPr>
      <w:b/>
      <w:bCs/>
      <w:kern w:val="44"/>
      <w:sz w:val="44"/>
      <w:szCs w:val="44"/>
    </w:rPr>
  </w:style>
  <w:style w:type="character" w:customStyle="1" w:styleId="157">
    <w:name w:val="normal1"/>
    <w:basedOn w:val="54"/>
    <w:qFormat/>
    <w:uiPriority w:val="0"/>
  </w:style>
  <w:style w:type="character" w:customStyle="1" w:styleId="158">
    <w:name w:val="正文文本缩进 Char1"/>
    <w:link w:val="159"/>
    <w:qFormat/>
    <w:uiPriority w:val="0"/>
    <w:rPr>
      <w:rFonts w:eastAsia="宋体"/>
      <w:kern w:val="2"/>
      <w:sz w:val="24"/>
      <w:szCs w:val="24"/>
      <w:lang w:val="en-US" w:eastAsia="zh-CN"/>
    </w:rPr>
  </w:style>
  <w:style w:type="paragraph" w:customStyle="1" w:styleId="159">
    <w:name w:val="正文文本缩进1"/>
    <w:basedOn w:val="1"/>
    <w:link w:val="158"/>
    <w:qFormat/>
    <w:uiPriority w:val="0"/>
    <w:pPr>
      <w:spacing w:before="60" w:line="440" w:lineRule="exact"/>
      <w:ind w:firstLine="480" w:firstLineChars="200"/>
    </w:pPr>
    <w:rPr>
      <w:sz w:val="24"/>
    </w:rPr>
  </w:style>
  <w:style w:type="character" w:customStyle="1" w:styleId="160">
    <w:name w:val="首行缩进两字2"/>
    <w:qFormat/>
    <w:uiPriority w:val="0"/>
    <w:rPr>
      <w:rFonts w:eastAsia="宋体"/>
      <w:sz w:val="28"/>
      <w:lang w:val="en-US" w:eastAsia="zh-CN"/>
    </w:rPr>
  </w:style>
  <w:style w:type="character" w:customStyle="1" w:styleId="161">
    <w:name w:val="正文文本 2 Char"/>
    <w:basedOn w:val="54"/>
    <w:link w:val="44"/>
    <w:qFormat/>
    <w:uiPriority w:val="0"/>
    <w:rPr>
      <w:rFonts w:eastAsia="黑体"/>
      <w:spacing w:val="10"/>
      <w:kern w:val="2"/>
      <w:sz w:val="48"/>
    </w:rPr>
  </w:style>
  <w:style w:type="character" w:customStyle="1" w:styleId="162">
    <w:name w:val="正文01 Char Char Char"/>
    <w:qFormat/>
    <w:uiPriority w:val="0"/>
    <w:rPr>
      <w:rFonts w:eastAsia="宋体"/>
      <w:kern w:val="2"/>
      <w:sz w:val="24"/>
      <w:szCs w:val="24"/>
      <w:lang w:val="en-US" w:eastAsia="zh-CN" w:bidi="ar-SA"/>
    </w:rPr>
  </w:style>
  <w:style w:type="character" w:customStyle="1" w:styleId="163">
    <w:name w:val="正文首行缩进 Char"/>
    <w:link w:val="67"/>
    <w:qFormat/>
    <w:uiPriority w:val="0"/>
    <w:rPr>
      <w:rFonts w:ascii="Times New Roman" w:hAnsi="Times New Roman" w:eastAsia="Bookman Old Style" w:cs="Times New Roman"/>
      <w:sz w:val="28"/>
      <w:szCs w:val="24"/>
      <w:lang w:val="en-US" w:eastAsia="zh-CN"/>
    </w:rPr>
  </w:style>
  <w:style w:type="character" w:customStyle="1" w:styleId="164">
    <w:name w:val="H3 Char"/>
    <w:basedOn w:val="54"/>
    <w:qFormat/>
    <w:uiPriority w:val="0"/>
    <w:rPr>
      <w:rFonts w:eastAsia="宋体"/>
      <w:b/>
      <w:bCs/>
      <w:kern w:val="2"/>
      <w:sz w:val="32"/>
      <w:szCs w:val="32"/>
      <w:lang w:val="en-US" w:eastAsia="zh-CN" w:bidi="ar-SA"/>
    </w:rPr>
  </w:style>
  <w:style w:type="character" w:customStyle="1" w:styleId="165">
    <w:name w:val="h Char Char1"/>
    <w:qFormat/>
    <w:uiPriority w:val="0"/>
    <w:rPr>
      <w:rFonts w:eastAsia="宋体"/>
      <w:sz w:val="21"/>
      <w:lang w:val="en-US" w:eastAsia="zh-CN"/>
    </w:rPr>
  </w:style>
  <w:style w:type="character" w:customStyle="1" w:styleId="166">
    <w:name w:val="纯文本2"/>
    <w:qFormat/>
    <w:uiPriority w:val="0"/>
    <w:rPr>
      <w:rFonts w:ascii="宋体" w:hAnsi="Courier New" w:eastAsia="宋体"/>
      <w:kern w:val="2"/>
      <w:sz w:val="28"/>
      <w:lang w:val="en-US" w:eastAsia="zh-CN"/>
    </w:rPr>
  </w:style>
  <w:style w:type="character" w:customStyle="1" w:styleId="167">
    <w:name w:val="BT1 Char"/>
    <w:link w:val="168"/>
    <w:qFormat/>
    <w:uiPriority w:val="0"/>
    <w:rPr>
      <w:b/>
      <w:kern w:val="2"/>
      <w:sz w:val="28"/>
      <w:szCs w:val="28"/>
    </w:rPr>
  </w:style>
  <w:style w:type="paragraph" w:customStyle="1" w:styleId="168">
    <w:name w:val="BT1"/>
    <w:basedOn w:val="1"/>
    <w:link w:val="167"/>
    <w:qFormat/>
    <w:uiPriority w:val="0"/>
    <w:pPr>
      <w:spacing w:line="600" w:lineRule="exact"/>
    </w:pPr>
    <w:rPr>
      <w:b/>
      <w:sz w:val="28"/>
      <w:szCs w:val="28"/>
    </w:rPr>
  </w:style>
  <w:style w:type="character" w:customStyle="1" w:styleId="169">
    <w:name w:val="标题 7 Char"/>
    <w:link w:val="10"/>
    <w:qFormat/>
    <w:uiPriority w:val="0"/>
    <w:rPr>
      <w:rFonts w:ascii="宋体"/>
      <w:b/>
      <w:color w:val="000000"/>
      <w:w w:val="90"/>
      <w:kern w:val="2"/>
      <w:sz w:val="28"/>
      <w:szCs w:val="24"/>
    </w:rPr>
  </w:style>
  <w:style w:type="character" w:customStyle="1" w:styleId="170">
    <w:name w:val="Char Char8"/>
    <w:qFormat/>
    <w:uiPriority w:val="0"/>
    <w:rPr>
      <w:rFonts w:eastAsia="宋体"/>
      <w:sz w:val="28"/>
      <w:lang w:val="en-US" w:eastAsia="zh-CN"/>
    </w:rPr>
  </w:style>
  <w:style w:type="character" w:customStyle="1" w:styleId="171">
    <w:name w:val="注释标题 Char"/>
    <w:basedOn w:val="54"/>
    <w:link w:val="15"/>
    <w:qFormat/>
    <w:uiPriority w:val="0"/>
    <w:rPr>
      <w:kern w:val="2"/>
      <w:sz w:val="21"/>
    </w:rPr>
  </w:style>
  <w:style w:type="character" w:customStyle="1" w:styleId="172">
    <w:name w:val="正文缩进 Char"/>
    <w:link w:val="8"/>
    <w:qFormat/>
    <w:uiPriority w:val="0"/>
    <w:rPr>
      <w:rFonts w:eastAsia="宋体"/>
      <w:sz w:val="28"/>
      <w:lang w:val="en-US" w:eastAsia="zh-CN"/>
    </w:rPr>
  </w:style>
  <w:style w:type="character" w:customStyle="1" w:styleId="173">
    <w:name w:val="正文不 Char"/>
    <w:qFormat/>
    <w:uiPriority w:val="0"/>
    <w:rPr>
      <w:rFonts w:eastAsia="宋体"/>
      <w:sz w:val="28"/>
      <w:lang w:val="en-US" w:eastAsia="zh-CN"/>
    </w:rPr>
  </w:style>
  <w:style w:type="character" w:customStyle="1" w:styleId="174">
    <w:name w:val="报告正文 Char"/>
    <w:qFormat/>
    <w:uiPriority w:val="0"/>
    <w:rPr>
      <w:rFonts w:eastAsia="宋体"/>
      <w:bCs/>
      <w:kern w:val="44"/>
      <w:sz w:val="24"/>
      <w:szCs w:val="44"/>
      <w:lang w:val="en-US" w:eastAsia="zh-CN" w:bidi="ar-SA"/>
    </w:rPr>
  </w:style>
  <w:style w:type="character" w:customStyle="1" w:styleId="175">
    <w:name w:val="nr1"/>
    <w:basedOn w:val="54"/>
    <w:qFormat/>
    <w:uiPriority w:val="0"/>
    <w:rPr>
      <w:color w:val="000000"/>
      <w:spacing w:val="0"/>
      <w:sz w:val="24"/>
      <w:szCs w:val="24"/>
    </w:rPr>
  </w:style>
  <w:style w:type="character" w:customStyle="1" w:styleId="176">
    <w:name w:val="正文文本缩进 3 Char"/>
    <w:basedOn w:val="54"/>
    <w:link w:val="41"/>
    <w:qFormat/>
    <w:uiPriority w:val="0"/>
    <w:rPr>
      <w:kern w:val="2"/>
      <w:sz w:val="28"/>
    </w:rPr>
  </w:style>
  <w:style w:type="character" w:customStyle="1" w:styleId="177">
    <w:name w:val="日期 Char Char"/>
    <w:link w:val="178"/>
    <w:qFormat/>
    <w:uiPriority w:val="0"/>
    <w:rPr>
      <w:rFonts w:eastAsia="宋体"/>
      <w:kern w:val="2"/>
      <w:sz w:val="21"/>
      <w:lang w:val="en-US" w:eastAsia="zh-CN"/>
    </w:rPr>
  </w:style>
  <w:style w:type="paragraph" w:customStyle="1" w:styleId="178">
    <w:name w:val="日期1"/>
    <w:basedOn w:val="1"/>
    <w:next w:val="1"/>
    <w:link w:val="177"/>
    <w:qFormat/>
    <w:uiPriority w:val="0"/>
    <w:pPr>
      <w:ind w:left="100" w:leftChars="2500"/>
    </w:pPr>
    <w:rPr>
      <w:szCs w:val="20"/>
    </w:rPr>
  </w:style>
  <w:style w:type="character" w:customStyle="1" w:styleId="179">
    <w:name w:val="f241"/>
    <w:qFormat/>
    <w:uiPriority w:val="0"/>
    <w:rPr>
      <w:sz w:val="36"/>
      <w:szCs w:val="36"/>
    </w:rPr>
  </w:style>
  <w:style w:type="character" w:customStyle="1" w:styleId="180">
    <w:name w:val="line1"/>
    <w:qFormat/>
    <w:uiPriority w:val="0"/>
    <w:rPr>
      <w:sz w:val="18"/>
      <w:szCs w:val="18"/>
    </w:rPr>
  </w:style>
  <w:style w:type="character" w:customStyle="1" w:styleId="181">
    <w:name w:val="无悬挂正文5号 Char Char"/>
    <w:link w:val="182"/>
    <w:qFormat/>
    <w:uiPriority w:val="0"/>
    <w:rPr>
      <w:kern w:val="2"/>
      <w:sz w:val="21"/>
    </w:rPr>
  </w:style>
  <w:style w:type="paragraph" w:customStyle="1" w:styleId="182">
    <w:name w:val="无悬挂正文5号"/>
    <w:basedOn w:val="1"/>
    <w:link w:val="181"/>
    <w:qFormat/>
    <w:uiPriority w:val="0"/>
    <w:pPr>
      <w:jc w:val="center"/>
    </w:pPr>
    <w:rPr>
      <w:szCs w:val="20"/>
    </w:rPr>
  </w:style>
  <w:style w:type="character" w:customStyle="1" w:styleId="183">
    <w:name w:val="Char Char Char Char Char Char Char Char Char Char Char"/>
    <w:qFormat/>
    <w:uiPriority w:val="0"/>
    <w:rPr>
      <w:b/>
      <w:bCs/>
      <w:kern w:val="2"/>
      <w:sz w:val="32"/>
      <w:szCs w:val="32"/>
    </w:rPr>
  </w:style>
  <w:style w:type="character" w:customStyle="1" w:styleId="184">
    <w:name w:val="dd1"/>
    <w:basedOn w:val="54"/>
    <w:qFormat/>
    <w:uiPriority w:val="0"/>
    <w:rPr>
      <w:color w:val="000000"/>
      <w:sz w:val="24"/>
      <w:szCs w:val="24"/>
    </w:rPr>
  </w:style>
  <w:style w:type="character" w:customStyle="1" w:styleId="185">
    <w:name w:val="Char Char4"/>
    <w:qFormat/>
    <w:uiPriority w:val="0"/>
    <w:rPr>
      <w:rFonts w:eastAsia="黑体"/>
      <w:snapToGrid/>
      <w:sz w:val="44"/>
      <w:lang w:val="en-US" w:eastAsia="zh-CN"/>
    </w:rPr>
  </w:style>
  <w:style w:type="character" w:customStyle="1" w:styleId="186">
    <w:name w:val="PI Char"/>
    <w:qFormat/>
    <w:uiPriority w:val="0"/>
    <w:rPr>
      <w:rFonts w:ascii="Times New Roman" w:hAnsi="Times New Roman" w:eastAsia="宋体" w:cs="Times New Roman"/>
      <w:sz w:val="24"/>
      <w:szCs w:val="24"/>
    </w:rPr>
  </w:style>
  <w:style w:type="character" w:customStyle="1" w:styleId="187">
    <w:name w:val="表格表头 Char"/>
    <w:link w:val="188"/>
    <w:qFormat/>
    <w:uiPriority w:val="0"/>
    <w:rPr>
      <w:b/>
      <w:bCs/>
      <w:kern w:val="2"/>
      <w:sz w:val="24"/>
      <w:szCs w:val="21"/>
    </w:rPr>
  </w:style>
  <w:style w:type="paragraph" w:customStyle="1" w:styleId="188">
    <w:name w:val="表格表头"/>
    <w:basedOn w:val="1"/>
    <w:link w:val="187"/>
    <w:qFormat/>
    <w:uiPriority w:val="0"/>
    <w:pPr>
      <w:widowControl/>
      <w:jc w:val="center"/>
    </w:pPr>
    <w:rPr>
      <w:b/>
      <w:bCs/>
      <w:sz w:val="24"/>
      <w:szCs w:val="21"/>
    </w:rPr>
  </w:style>
  <w:style w:type="character" w:customStyle="1" w:styleId="189">
    <w:name w:val="页脚 Char"/>
    <w:link w:val="36"/>
    <w:qFormat/>
    <w:uiPriority w:val="0"/>
    <w:rPr>
      <w:rFonts w:eastAsia="宋体"/>
      <w:kern w:val="2"/>
      <w:sz w:val="18"/>
      <w:szCs w:val="18"/>
      <w:lang w:val="en-US" w:eastAsia="zh-CN"/>
    </w:rPr>
  </w:style>
  <w:style w:type="character" w:customStyle="1" w:styleId="190">
    <w:name w:val="批注引用1"/>
    <w:qFormat/>
    <w:uiPriority w:val="0"/>
    <w:rPr>
      <w:sz w:val="21"/>
      <w:szCs w:val="21"/>
    </w:rPr>
  </w:style>
  <w:style w:type="character" w:customStyle="1" w:styleId="191">
    <w:name w:val="Char Char9"/>
    <w:qFormat/>
    <w:uiPriority w:val="0"/>
    <w:rPr>
      <w:rFonts w:ascii="宋体" w:hAnsi="Courier New" w:eastAsia="宋体"/>
      <w:kern w:val="2"/>
      <w:sz w:val="28"/>
      <w:szCs w:val="28"/>
      <w:lang w:val="en-US" w:eastAsia="zh-CN"/>
    </w:rPr>
  </w:style>
  <w:style w:type="character" w:customStyle="1" w:styleId="192">
    <w:name w:val="标题 8 Char"/>
    <w:link w:val="11"/>
    <w:qFormat/>
    <w:uiPriority w:val="0"/>
    <w:rPr>
      <w:rFonts w:ascii="Arial" w:hAnsi="Arial" w:eastAsia="黑体"/>
      <w:kern w:val="2"/>
      <w:sz w:val="24"/>
      <w:szCs w:val="24"/>
    </w:rPr>
  </w:style>
  <w:style w:type="character" w:customStyle="1" w:styleId="193">
    <w:name w:val="gao 1 Char"/>
    <w:basedOn w:val="54"/>
    <w:link w:val="194"/>
    <w:qFormat/>
    <w:uiPriority w:val="0"/>
    <w:rPr>
      <w:rFonts w:eastAsia="方正大标宋简体"/>
      <w:kern w:val="2"/>
      <w:sz w:val="28"/>
    </w:rPr>
  </w:style>
  <w:style w:type="paragraph" w:customStyle="1" w:styleId="194">
    <w:name w:val="gao 1"/>
    <w:basedOn w:val="1"/>
    <w:link w:val="193"/>
    <w:qFormat/>
    <w:uiPriority w:val="0"/>
    <w:rPr>
      <w:rFonts w:eastAsia="方正大标宋简体"/>
      <w:sz w:val="28"/>
      <w:szCs w:val="20"/>
    </w:rPr>
  </w:style>
  <w:style w:type="character" w:customStyle="1" w:styleId="195">
    <w:name w:val="duan1"/>
    <w:basedOn w:val="54"/>
    <w:qFormat/>
    <w:uiPriority w:val="0"/>
    <w:rPr>
      <w:sz w:val="20"/>
      <w:szCs w:val="20"/>
    </w:rPr>
  </w:style>
  <w:style w:type="character" w:customStyle="1" w:styleId="196">
    <w:name w:val="标题 5 Char"/>
    <w:link w:val="7"/>
    <w:qFormat/>
    <w:uiPriority w:val="0"/>
    <w:rPr>
      <w:rFonts w:ascii="宋体" w:eastAsia="宋体"/>
      <w:b/>
      <w:color w:val="000000"/>
      <w:w w:val="90"/>
      <w:sz w:val="28"/>
      <w:lang w:val="en-US" w:eastAsia="zh-CN"/>
    </w:rPr>
  </w:style>
  <w:style w:type="character" w:customStyle="1" w:styleId="197">
    <w:name w:val="报告书正文 Char2"/>
    <w:link w:val="66"/>
    <w:qFormat/>
    <w:uiPriority w:val="0"/>
    <w:rPr>
      <w:rFonts w:eastAsia="宋体"/>
      <w:kern w:val="2"/>
      <w:sz w:val="24"/>
      <w:lang w:val="en-US" w:eastAsia="zh-CN" w:bidi="ar-SA"/>
    </w:rPr>
  </w:style>
  <w:style w:type="character" w:customStyle="1" w:styleId="198">
    <w:name w:val="标题 6 Char"/>
    <w:link w:val="9"/>
    <w:qFormat/>
    <w:uiPriority w:val="0"/>
    <w:rPr>
      <w:rFonts w:ascii="Arial" w:hAnsi="Arial" w:eastAsia="黑体"/>
      <w:b/>
      <w:color w:val="000000"/>
      <w:w w:val="90"/>
      <w:kern w:val="2"/>
      <w:sz w:val="28"/>
      <w:szCs w:val="24"/>
    </w:rPr>
  </w:style>
  <w:style w:type="character" w:customStyle="1" w:styleId="199">
    <w:name w:val="font_2"/>
    <w:basedOn w:val="54"/>
    <w:qFormat/>
    <w:uiPriority w:val="0"/>
  </w:style>
  <w:style w:type="character" w:customStyle="1" w:styleId="200">
    <w:name w:val="表格文字 Char Char"/>
    <w:link w:val="201"/>
    <w:qFormat/>
    <w:uiPriority w:val="0"/>
    <w:rPr>
      <w:color w:val="FF0000"/>
      <w:sz w:val="21"/>
      <w:lang w:val="en-US" w:eastAsia="zh-CN" w:bidi="ar-SA"/>
    </w:rPr>
  </w:style>
  <w:style w:type="paragraph" w:customStyle="1" w:styleId="201">
    <w:name w:val="表格文字"/>
    <w:link w:val="200"/>
    <w:qFormat/>
    <w:uiPriority w:val="0"/>
    <w:pPr>
      <w:adjustRightInd w:val="0"/>
      <w:jc w:val="center"/>
    </w:pPr>
    <w:rPr>
      <w:rFonts w:ascii="Times New Roman" w:hAnsi="Times New Roman" w:eastAsia="宋体" w:cs="Times New Roman"/>
      <w:color w:val="FF0000"/>
      <w:sz w:val="21"/>
      <w:lang w:val="en-US" w:eastAsia="zh-CN" w:bidi="ar-SA"/>
    </w:rPr>
  </w:style>
  <w:style w:type="character" w:customStyle="1" w:styleId="202">
    <w:name w:val="表格正文 Char Char"/>
    <w:qFormat/>
    <w:uiPriority w:val="0"/>
    <w:rPr>
      <w:kern w:val="2"/>
      <w:sz w:val="21"/>
      <w:szCs w:val="24"/>
    </w:rPr>
  </w:style>
  <w:style w:type="character" w:customStyle="1" w:styleId="203">
    <w:name w:val="环正文 Char1"/>
    <w:link w:val="204"/>
    <w:qFormat/>
    <w:uiPriority w:val="0"/>
    <w:rPr>
      <w:color w:val="000000"/>
      <w:sz w:val="24"/>
      <w:szCs w:val="24"/>
      <w:lang w:val="en-US" w:eastAsia="zh-CN" w:bidi="ar-SA"/>
    </w:rPr>
  </w:style>
  <w:style w:type="paragraph" w:customStyle="1" w:styleId="204">
    <w:name w:val="环正文"/>
    <w:next w:val="1"/>
    <w:link w:val="203"/>
    <w:qFormat/>
    <w:uiPriority w:val="0"/>
    <w:pPr>
      <w:tabs>
        <w:tab w:val="left" w:pos="8574"/>
      </w:tabs>
      <w:suppressAutoHyphens/>
      <w:adjustRightInd w:val="0"/>
      <w:spacing w:line="312" w:lineRule="atLeast"/>
      <w:ind w:firstLine="200" w:firstLineChars="200"/>
      <w:textAlignment w:val="baseline"/>
    </w:pPr>
    <w:rPr>
      <w:rFonts w:ascii="Times New Roman" w:hAnsi="Times New Roman" w:eastAsia="宋体" w:cs="Times New Roman"/>
      <w:color w:val="000000"/>
      <w:sz w:val="24"/>
      <w:szCs w:val="24"/>
      <w:lang w:val="en-US" w:eastAsia="zh-CN" w:bidi="ar-SA"/>
    </w:rPr>
  </w:style>
  <w:style w:type="character" w:customStyle="1" w:styleId="205">
    <w:name w:val="纯文本 Char"/>
    <w:link w:val="30"/>
    <w:qFormat/>
    <w:uiPriority w:val="0"/>
    <w:rPr>
      <w:rFonts w:ascii="宋体" w:hAnsi="Courier New" w:eastAsia="宋体" w:cs="宋体"/>
      <w:kern w:val="2"/>
      <w:sz w:val="24"/>
      <w:szCs w:val="24"/>
      <w:lang w:val="en-US" w:eastAsia="zh-CN"/>
    </w:rPr>
  </w:style>
  <w:style w:type="character" w:customStyle="1" w:styleId="206">
    <w:name w:val="节标题 1.1 Char Char"/>
    <w:qFormat/>
    <w:uiPriority w:val="0"/>
    <w:rPr>
      <w:rFonts w:eastAsia="宋体"/>
      <w:b/>
      <w:snapToGrid/>
      <w:sz w:val="32"/>
      <w:lang w:val="en-US" w:eastAsia="zh-CN"/>
    </w:rPr>
  </w:style>
  <w:style w:type="character" w:customStyle="1" w:styleId="207">
    <w:name w:val="正文首行缩进 Char1"/>
    <w:basedOn w:val="155"/>
    <w:link w:val="34"/>
    <w:qFormat/>
    <w:uiPriority w:val="0"/>
    <w:rPr>
      <w:rFonts w:eastAsia="宋体"/>
      <w:kern w:val="2"/>
      <w:sz w:val="21"/>
      <w:szCs w:val="24"/>
      <w:lang w:val="en-US" w:eastAsia="zh-CN"/>
    </w:rPr>
  </w:style>
  <w:style w:type="character" w:customStyle="1" w:styleId="208">
    <w:name w:val="正文调整 Char Char"/>
    <w:link w:val="209"/>
    <w:qFormat/>
    <w:uiPriority w:val="0"/>
    <w:rPr>
      <w:rFonts w:eastAsia="宋体"/>
      <w:kern w:val="2"/>
      <w:sz w:val="24"/>
      <w:szCs w:val="24"/>
      <w:lang w:val="en-US" w:eastAsia="zh-CN"/>
    </w:rPr>
  </w:style>
  <w:style w:type="paragraph" w:customStyle="1" w:styleId="209">
    <w:name w:val="正文调整"/>
    <w:basedOn w:val="210"/>
    <w:link w:val="208"/>
    <w:qFormat/>
    <w:uiPriority w:val="0"/>
    <w:pPr>
      <w:spacing w:line="460" w:lineRule="atLeast"/>
      <w:ind w:firstLine="200" w:firstLineChars="200"/>
    </w:pPr>
    <w:rPr>
      <w:rFonts w:ascii="Times New Roman" w:hAnsi="Times New Roman"/>
      <w:szCs w:val="24"/>
    </w:rPr>
  </w:style>
  <w:style w:type="paragraph" w:customStyle="1" w:styleId="210">
    <w:name w:val="正文001"/>
    <w:basedOn w:val="1"/>
    <w:qFormat/>
    <w:uiPriority w:val="0"/>
    <w:pPr>
      <w:spacing w:before="60" w:line="460" w:lineRule="exact"/>
      <w:ind w:firstLine="482"/>
    </w:pPr>
    <w:rPr>
      <w:rFonts w:ascii="Arial" w:hAnsi="Arial"/>
      <w:sz w:val="24"/>
      <w:szCs w:val="20"/>
    </w:rPr>
  </w:style>
  <w:style w:type="character" w:customStyle="1" w:styleId="211">
    <w:name w:val="HTML 预设格式 Char"/>
    <w:basedOn w:val="54"/>
    <w:link w:val="45"/>
    <w:qFormat/>
    <w:uiPriority w:val="0"/>
    <w:rPr>
      <w:rFonts w:ascii="宋体" w:hAnsi="宋体" w:cs="宋体"/>
      <w:sz w:val="24"/>
      <w:szCs w:val="24"/>
    </w:rPr>
  </w:style>
  <w:style w:type="character" w:customStyle="1" w:styleId="212">
    <w:name w:val="cucd-0 Char"/>
    <w:basedOn w:val="54"/>
    <w:link w:val="213"/>
    <w:qFormat/>
    <w:uiPriority w:val="0"/>
    <w:rPr>
      <w:kern w:val="2"/>
      <w:sz w:val="24"/>
      <w:szCs w:val="24"/>
      <w:lang w:val="en-US" w:eastAsia="zh-CN" w:bidi="ar-SA"/>
    </w:rPr>
  </w:style>
  <w:style w:type="paragraph" w:customStyle="1" w:styleId="213">
    <w:name w:val="cucd-0"/>
    <w:link w:val="212"/>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character" w:customStyle="1" w:styleId="214">
    <w:name w:val="批注主题 Char"/>
    <w:link w:val="49"/>
    <w:qFormat/>
    <w:uiPriority w:val="0"/>
    <w:rPr>
      <w:b/>
      <w:bCs/>
      <w:kern w:val="2"/>
      <w:sz w:val="21"/>
      <w:szCs w:val="24"/>
    </w:rPr>
  </w:style>
  <w:style w:type="character" w:customStyle="1" w:styleId="215">
    <w:name w:val="text101"/>
    <w:qFormat/>
    <w:uiPriority w:val="0"/>
    <w:rPr>
      <w:rFonts w:hint="default" w:ascii="ˎ̥" w:hAnsi="ˎ̥"/>
      <w:sz w:val="21"/>
      <w:szCs w:val="21"/>
    </w:rPr>
  </w:style>
  <w:style w:type="character" w:customStyle="1" w:styleId="216">
    <w:name w:val="正文文本缩进 Char Char"/>
    <w:qFormat/>
    <w:uiPriority w:val="0"/>
    <w:rPr>
      <w:rFonts w:eastAsia="宋体"/>
      <w:sz w:val="28"/>
      <w:lang w:val="en-US" w:eastAsia="zh-CN"/>
    </w:rPr>
  </w:style>
  <w:style w:type="character" w:customStyle="1" w:styleId="217">
    <w:name w:val="样式 宋体 小四 行距: 固定值 26 磅 Char"/>
    <w:link w:val="218"/>
    <w:qFormat/>
    <w:uiPriority w:val="0"/>
    <w:rPr>
      <w:rFonts w:eastAsia="宋体" w:cs="宋体"/>
      <w:kern w:val="2"/>
      <w:sz w:val="24"/>
      <w:szCs w:val="24"/>
      <w:lang w:val="en-US" w:eastAsia="zh-CN" w:bidi="ar-SA"/>
    </w:rPr>
  </w:style>
  <w:style w:type="paragraph" w:customStyle="1" w:styleId="218">
    <w:name w:val="样式 宋体 小四 行距: 固定值 26 磅"/>
    <w:basedOn w:val="1"/>
    <w:link w:val="217"/>
    <w:qFormat/>
    <w:uiPriority w:val="0"/>
    <w:pPr>
      <w:spacing w:line="520" w:lineRule="exact"/>
      <w:ind w:firstLine="480" w:firstLineChars="200"/>
    </w:pPr>
    <w:rPr>
      <w:rFonts w:cs="宋体"/>
      <w:sz w:val="24"/>
    </w:rPr>
  </w:style>
  <w:style w:type="character" w:customStyle="1" w:styleId="219">
    <w:name w:val="blue141"/>
    <w:qFormat/>
    <w:uiPriority w:val="0"/>
    <w:rPr>
      <w:color w:val="0D3769"/>
      <w:sz w:val="21"/>
      <w:szCs w:val="21"/>
      <w:u w:val="none"/>
    </w:rPr>
  </w:style>
  <w:style w:type="character" w:customStyle="1" w:styleId="220">
    <w:name w:val="正文文本缩进 2 Char1"/>
    <w:link w:val="132"/>
    <w:qFormat/>
    <w:uiPriority w:val="0"/>
    <w:rPr>
      <w:rFonts w:eastAsia="宋体"/>
      <w:kern w:val="2"/>
      <w:sz w:val="24"/>
      <w:szCs w:val="24"/>
      <w:lang w:val="en-US" w:eastAsia="zh-CN"/>
    </w:rPr>
  </w:style>
  <w:style w:type="character" w:customStyle="1" w:styleId="221">
    <w:name w:val="标题 9 Char"/>
    <w:link w:val="12"/>
    <w:qFormat/>
    <w:uiPriority w:val="0"/>
    <w:rPr>
      <w:rFonts w:ascii="Arial" w:hAnsi="Arial" w:eastAsia="黑体"/>
      <w:color w:val="000000"/>
      <w:w w:val="90"/>
      <w:kern w:val="2"/>
      <w:sz w:val="28"/>
      <w:szCs w:val="24"/>
    </w:rPr>
  </w:style>
  <w:style w:type="character" w:customStyle="1" w:styleId="222">
    <w:name w:val="正文缩进 Char1"/>
    <w:basedOn w:val="54"/>
    <w:link w:val="16"/>
    <w:qFormat/>
    <w:uiPriority w:val="0"/>
    <w:rPr>
      <w:rFonts w:ascii="Verdana" w:hAnsi="Verdana" w:cs="Verdana"/>
      <w:kern w:val="2"/>
      <w:sz w:val="21"/>
    </w:rPr>
  </w:style>
  <w:style w:type="character" w:customStyle="1" w:styleId="223">
    <w:name w:val="标题 2 Char"/>
    <w:link w:val="4"/>
    <w:qFormat/>
    <w:uiPriority w:val="0"/>
    <w:rPr>
      <w:rFonts w:ascii="Cambria" w:hAnsi="Cambria" w:eastAsia="宋体"/>
      <w:b/>
      <w:bCs/>
      <w:kern w:val="2"/>
      <w:sz w:val="32"/>
      <w:szCs w:val="32"/>
      <w:lang w:val="en-US" w:eastAsia="zh-CN"/>
    </w:rPr>
  </w:style>
  <w:style w:type="character" w:customStyle="1" w:styleId="224">
    <w:name w:val="text"/>
    <w:basedOn w:val="54"/>
    <w:qFormat/>
    <w:uiPriority w:val="0"/>
  </w:style>
  <w:style w:type="character" w:customStyle="1" w:styleId="225">
    <w:name w:val="141"/>
    <w:basedOn w:val="54"/>
    <w:qFormat/>
    <w:uiPriority w:val="0"/>
    <w:rPr>
      <w:color w:val="000000"/>
      <w:spacing w:val="330"/>
      <w:sz w:val="21"/>
      <w:szCs w:val="21"/>
    </w:rPr>
  </w:style>
  <w:style w:type="character" w:customStyle="1" w:styleId="226">
    <w:name w:val="s4 Char1"/>
    <w:qFormat/>
    <w:uiPriority w:val="0"/>
    <w:rPr>
      <w:rFonts w:eastAsia="宋体"/>
      <w:sz w:val="28"/>
      <w:lang w:val="en-US" w:eastAsia="zh-CN"/>
    </w:rPr>
  </w:style>
  <w:style w:type="character" w:customStyle="1" w:styleId="227">
    <w:name w:val="日期 Char"/>
    <w:link w:val="32"/>
    <w:qFormat/>
    <w:uiPriority w:val="0"/>
    <w:rPr>
      <w:kern w:val="2"/>
      <w:sz w:val="21"/>
      <w:szCs w:val="24"/>
    </w:rPr>
  </w:style>
  <w:style w:type="character" w:customStyle="1" w:styleId="228">
    <w:name w:val="content_jrjx1"/>
    <w:qFormat/>
    <w:uiPriority w:val="0"/>
    <w:rPr>
      <w:rFonts w:hint="default"/>
      <w:color w:val="666666"/>
      <w:sz w:val="18"/>
      <w:szCs w:val="18"/>
    </w:rPr>
  </w:style>
  <w:style w:type="character" w:customStyle="1" w:styleId="229">
    <w:name w:val="Char Char Char1"/>
    <w:qFormat/>
    <w:uiPriority w:val="0"/>
    <w:rPr>
      <w:rFonts w:eastAsia="宋体"/>
      <w:sz w:val="28"/>
      <w:lang w:val="en-US" w:eastAsia="zh-CN"/>
    </w:rPr>
  </w:style>
  <w:style w:type="character" w:customStyle="1" w:styleId="230">
    <w:name w:val="纯文本 Char Char Char Char Char Char Char Char Char Char Char Char Char Char Char Char Char Char Char Char Char Char Char Char Char Char Char Char Char Char Char Char Char Char"/>
    <w:qFormat/>
    <w:uiPriority w:val="0"/>
    <w:rPr>
      <w:rFonts w:ascii="宋体" w:hAnsi="Courier New" w:eastAsia="宋体"/>
      <w:kern w:val="2"/>
      <w:sz w:val="28"/>
      <w:lang w:val="en-US" w:eastAsia="zh-CN"/>
    </w:rPr>
  </w:style>
  <w:style w:type="character" w:customStyle="1" w:styleId="231">
    <w:name w:val="表头 Char"/>
    <w:basedOn w:val="54"/>
    <w:qFormat/>
    <w:uiPriority w:val="0"/>
    <w:rPr>
      <w:rFonts w:ascii="宋体" w:eastAsia="黑体"/>
      <w:spacing w:val="6"/>
      <w:sz w:val="24"/>
      <w:lang w:val="en-US" w:eastAsia="zh-CN" w:bidi="ar-SA"/>
    </w:rPr>
  </w:style>
  <w:style w:type="character" w:customStyle="1" w:styleId="232">
    <w:name w:val="unnamed11"/>
    <w:basedOn w:val="54"/>
    <w:qFormat/>
    <w:uiPriority w:val="0"/>
    <w:rPr>
      <w:spacing w:val="400"/>
      <w:sz w:val="18"/>
      <w:szCs w:val="18"/>
    </w:rPr>
  </w:style>
  <w:style w:type="character" w:customStyle="1" w:styleId="233">
    <w:name w:val="ccccc Char"/>
    <w:basedOn w:val="54"/>
    <w:link w:val="234"/>
    <w:qFormat/>
    <w:uiPriority w:val="0"/>
    <w:rPr>
      <w:rFonts w:ascii="黑体" w:eastAsia="黑体"/>
      <w:color w:val="000000"/>
      <w:kern w:val="2"/>
      <w:sz w:val="24"/>
    </w:rPr>
  </w:style>
  <w:style w:type="paragraph" w:customStyle="1" w:styleId="234">
    <w:name w:val="ccccc"/>
    <w:basedOn w:val="1"/>
    <w:link w:val="233"/>
    <w:qFormat/>
    <w:uiPriority w:val="0"/>
    <w:pPr>
      <w:spacing w:beforeLines="75" w:afterLines="25"/>
      <w:jc w:val="center"/>
    </w:pPr>
    <w:rPr>
      <w:rFonts w:ascii="黑体" w:eastAsia="黑体"/>
      <w:color w:val="000000"/>
      <w:sz w:val="24"/>
      <w:szCs w:val="20"/>
    </w:rPr>
  </w:style>
  <w:style w:type="paragraph" w:customStyle="1" w:styleId="235">
    <w:name w:val="Char Char Char Char"/>
    <w:basedOn w:val="1"/>
    <w:qFormat/>
    <w:uiPriority w:val="0"/>
    <w:rPr>
      <w:rFonts w:ascii="宋体" w:hAnsi="宋体" w:cs="Courier New"/>
      <w:sz w:val="32"/>
      <w:szCs w:val="32"/>
    </w:rPr>
  </w:style>
  <w:style w:type="paragraph" w:customStyle="1" w:styleId="236">
    <w:name w:val="xl65"/>
    <w:basedOn w:val="1"/>
    <w:qFormat/>
    <w:uiPriority w:val="0"/>
    <w:pPr>
      <w:widowControl/>
      <w:pBdr>
        <w:bottom w:val="single" w:color="000000" w:sz="4" w:space="0"/>
        <w:right w:val="single" w:color="000000" w:sz="4" w:space="0"/>
      </w:pBdr>
      <w:spacing w:before="100" w:beforeAutospacing="1" w:after="100" w:afterAutospacing="1"/>
      <w:jc w:val="center"/>
      <w:textAlignment w:val="center"/>
    </w:pPr>
    <w:rPr>
      <w:kern w:val="0"/>
      <w:sz w:val="24"/>
    </w:rPr>
  </w:style>
  <w:style w:type="paragraph" w:customStyle="1" w:styleId="237">
    <w:name w:val="斜体加粗"/>
    <w:basedOn w:val="1"/>
    <w:next w:val="1"/>
    <w:qFormat/>
    <w:uiPriority w:val="0"/>
    <w:pPr>
      <w:widowControl/>
      <w:adjustRightInd w:val="0"/>
      <w:snapToGrid w:val="0"/>
      <w:spacing w:afterLines="20"/>
      <w:ind w:firstLine="420"/>
    </w:pPr>
    <w:rPr>
      <w:bCs/>
      <w:kern w:val="0"/>
      <w:szCs w:val="20"/>
    </w:rPr>
  </w:style>
  <w:style w:type="paragraph" w:customStyle="1" w:styleId="238">
    <w:name w:val="c条2"/>
    <w:basedOn w:val="1"/>
    <w:next w:val="1"/>
    <w:qFormat/>
    <w:uiPriority w:val="0"/>
    <w:pPr>
      <w:spacing w:line="360" w:lineRule="auto"/>
      <w:outlineLvl w:val="2"/>
    </w:pPr>
    <w:rPr>
      <w:rFonts w:ascii="黑体" w:hAnsi="宋体"/>
      <w:sz w:val="24"/>
      <w:szCs w:val="21"/>
    </w:rPr>
  </w:style>
  <w:style w:type="paragraph" w:customStyle="1" w:styleId="239">
    <w:name w:val="表中文字"/>
    <w:basedOn w:val="1"/>
    <w:qFormat/>
    <w:uiPriority w:val="0"/>
    <w:pPr>
      <w:jc w:val="center"/>
    </w:pPr>
    <w:rPr>
      <w:szCs w:val="20"/>
    </w:rPr>
  </w:style>
  <w:style w:type="paragraph" w:customStyle="1" w:styleId="240">
    <w:name w:val="正文文本缩进 31"/>
    <w:basedOn w:val="1"/>
    <w:qFormat/>
    <w:uiPriority w:val="0"/>
    <w:pPr>
      <w:spacing w:before="60" w:line="460" w:lineRule="exact"/>
      <w:ind w:firstLine="480"/>
    </w:pPr>
    <w:rPr>
      <w:sz w:val="24"/>
      <w:szCs w:val="20"/>
    </w:rPr>
  </w:style>
  <w:style w:type="paragraph" w:customStyle="1" w:styleId="241">
    <w:name w:val="font13"/>
    <w:basedOn w:val="1"/>
    <w:qFormat/>
    <w:uiPriority w:val="0"/>
    <w:pPr>
      <w:widowControl/>
      <w:spacing w:before="100" w:beforeAutospacing="1" w:after="100" w:afterAutospacing="1"/>
      <w:jc w:val="left"/>
    </w:pPr>
    <w:rPr>
      <w:color w:val="800080"/>
      <w:kern w:val="0"/>
      <w:szCs w:val="21"/>
    </w:rPr>
  </w:style>
  <w:style w:type="paragraph" w:customStyle="1" w:styleId="242">
    <w:name w:val="BG5"/>
    <w:basedOn w:val="1"/>
    <w:qFormat/>
    <w:uiPriority w:val="0"/>
    <w:pPr>
      <w:autoSpaceDE w:val="0"/>
      <w:autoSpaceDN w:val="0"/>
      <w:adjustRightInd w:val="0"/>
      <w:spacing w:line="360" w:lineRule="auto"/>
      <w:jc w:val="center"/>
      <w:textAlignment w:val="baseline"/>
    </w:pPr>
    <w:rPr>
      <w:rFonts w:ascii="@宋体" w:eastAsia="楷体_GB2312"/>
      <w:b/>
      <w:kern w:val="0"/>
      <w:sz w:val="24"/>
      <w:szCs w:val="20"/>
    </w:rPr>
  </w:style>
  <w:style w:type="paragraph" w:customStyle="1" w:styleId="243">
    <w:name w:val="Char Char1 Char Char Char Char Char Char Char Char Char Char Char Char Char Char Char Char Char Char Char Char1 Char1"/>
    <w:basedOn w:val="1"/>
    <w:qFormat/>
    <w:uiPriority w:val="0"/>
    <w:pPr>
      <w:spacing w:before="60" w:line="360" w:lineRule="auto"/>
      <w:ind w:firstLine="200" w:firstLineChars="200"/>
    </w:pPr>
    <w:rPr>
      <w:rFonts w:ascii="宋体" w:hAnsi="宋体" w:cs="宋体"/>
      <w:sz w:val="24"/>
    </w:rPr>
  </w:style>
  <w:style w:type="paragraph" w:customStyle="1" w:styleId="244">
    <w:name w:val="font8"/>
    <w:basedOn w:val="1"/>
    <w:qFormat/>
    <w:uiPriority w:val="0"/>
    <w:pPr>
      <w:widowControl/>
      <w:spacing w:before="100" w:beforeAutospacing="1" w:after="100" w:afterAutospacing="1"/>
      <w:jc w:val="left"/>
    </w:pPr>
    <w:rPr>
      <w:rFonts w:hint="eastAsia" w:ascii="宋体" w:hAnsi="宋体"/>
      <w:color w:val="000080"/>
      <w:kern w:val="0"/>
      <w:szCs w:val="21"/>
    </w:rPr>
  </w:style>
  <w:style w:type="paragraph" w:customStyle="1" w:styleId="245">
    <w:name w:val="样式 宋体 四号 加粗 左"/>
    <w:basedOn w:val="1"/>
    <w:qFormat/>
    <w:uiPriority w:val="0"/>
    <w:pPr>
      <w:spacing w:beforeLines="50" w:afterLines="50"/>
      <w:jc w:val="left"/>
    </w:pPr>
    <w:rPr>
      <w:rFonts w:ascii="宋体" w:hAnsi="宋体" w:cs="宋体"/>
      <w:b/>
      <w:bCs/>
      <w:sz w:val="28"/>
      <w:szCs w:val="20"/>
    </w:rPr>
  </w:style>
  <w:style w:type="paragraph" w:customStyle="1" w:styleId="246">
    <w:name w:val="标题111 Char Char Char Char"/>
    <w:basedOn w:val="1"/>
    <w:qFormat/>
    <w:uiPriority w:val="0"/>
    <w:pPr>
      <w:spacing w:before="60" w:line="460" w:lineRule="atLeast"/>
      <w:ind w:firstLine="200" w:firstLineChars="200"/>
    </w:pPr>
    <w:rPr>
      <w:rFonts w:ascii="宋体" w:hAnsi="宋体" w:cs="宋体"/>
      <w:sz w:val="24"/>
    </w:rPr>
  </w:style>
  <w:style w:type="paragraph" w:customStyle="1" w:styleId="247">
    <w:name w:val="xl25"/>
    <w:basedOn w:val="1"/>
    <w:qFormat/>
    <w:uiPriority w:val="0"/>
    <w:pPr>
      <w:widowControl/>
      <w:pBdr>
        <w:top w:val="single" w:color="auto" w:sz="4" w:space="0"/>
        <w:left w:val="single" w:color="auto" w:sz="12" w:space="0"/>
        <w:bottom w:val="single" w:color="auto" w:sz="4" w:space="0"/>
        <w:right w:val="single" w:color="auto" w:sz="4" w:space="0"/>
      </w:pBdr>
      <w:spacing w:before="100" w:beforeAutospacing="1" w:after="100" w:afterAutospacing="1"/>
      <w:jc w:val="center"/>
      <w:textAlignment w:val="center"/>
    </w:pPr>
    <w:rPr>
      <w:rFonts w:hint="eastAsia" w:ascii="仿宋_GB2312" w:hAnsi="宋体" w:eastAsia="仿宋_GB2312"/>
      <w:kern w:val="0"/>
      <w:sz w:val="22"/>
      <w:szCs w:val="22"/>
    </w:rPr>
  </w:style>
  <w:style w:type="paragraph" w:customStyle="1" w:styleId="248">
    <w:name w:val="流程图文字"/>
    <w:basedOn w:val="1"/>
    <w:qFormat/>
    <w:uiPriority w:val="0"/>
    <w:pPr>
      <w:spacing w:before="100" w:after="40"/>
      <w:jc w:val="center"/>
    </w:pPr>
    <w:rPr>
      <w:szCs w:val="20"/>
    </w:rPr>
  </w:style>
  <w:style w:type="paragraph" w:customStyle="1" w:styleId="249">
    <w:name w:val="样式 首行缩进:  0.77 厘米 段前: 7.8 磅 段后: 0.5 行"/>
    <w:basedOn w:val="1"/>
    <w:qFormat/>
    <w:uiPriority w:val="0"/>
    <w:pPr>
      <w:snapToGrid w:val="0"/>
      <w:spacing w:after="120" w:line="480" w:lineRule="exact"/>
      <w:ind w:firstLine="437"/>
    </w:pPr>
    <w:rPr>
      <w:rFonts w:eastAsia="仿宋_GB2312"/>
      <w:sz w:val="28"/>
      <w:szCs w:val="20"/>
    </w:rPr>
  </w:style>
  <w:style w:type="paragraph" w:customStyle="1" w:styleId="250">
    <w:name w:val="样式 首行缩进:  2 字符"/>
    <w:basedOn w:val="1"/>
    <w:qFormat/>
    <w:uiPriority w:val="0"/>
    <w:pPr>
      <w:spacing w:line="440" w:lineRule="exact"/>
      <w:ind w:firstLine="200" w:firstLineChars="200"/>
    </w:pPr>
    <w:rPr>
      <w:rFonts w:cs="宋体"/>
      <w:sz w:val="24"/>
      <w:szCs w:val="20"/>
    </w:rPr>
  </w:style>
  <w:style w:type="paragraph" w:customStyle="1" w:styleId="251">
    <w:name w:val="首行缩进"/>
    <w:basedOn w:val="1"/>
    <w:qFormat/>
    <w:uiPriority w:val="0"/>
    <w:pPr>
      <w:jc w:val="center"/>
    </w:pPr>
    <w:rPr>
      <w:rFonts w:ascii="宋体" w:hAnsi="宋体"/>
      <w:spacing w:val="26"/>
    </w:rPr>
  </w:style>
  <w:style w:type="paragraph" w:customStyle="1" w:styleId="252">
    <w:name w:val="p15"/>
    <w:basedOn w:val="1"/>
    <w:qFormat/>
    <w:uiPriority w:val="0"/>
    <w:pPr>
      <w:widowControl/>
      <w:ind w:firstLine="567"/>
    </w:pPr>
    <w:rPr>
      <w:kern w:val="0"/>
      <w:sz w:val="28"/>
      <w:szCs w:val="28"/>
    </w:rPr>
  </w:style>
  <w:style w:type="paragraph" w:customStyle="1" w:styleId="253">
    <w:name w:val="1.1.1"/>
    <w:next w:val="1"/>
    <w:qFormat/>
    <w:uiPriority w:val="0"/>
    <w:pPr>
      <w:adjustRightInd w:val="0"/>
      <w:snapToGrid w:val="0"/>
      <w:spacing w:before="50" w:after="50" w:line="300" w:lineRule="auto"/>
      <w:jc w:val="both"/>
    </w:pPr>
    <w:rPr>
      <w:rFonts w:ascii="宋体" w:hAnsi="Times New Roman" w:eastAsia="宋体" w:cs="Times New Roman"/>
      <w:b/>
      <w:spacing w:val="4"/>
      <w:sz w:val="24"/>
      <w:lang w:val="en-US" w:eastAsia="zh-CN" w:bidi="ar-SA"/>
    </w:rPr>
  </w:style>
  <w:style w:type="paragraph" w:customStyle="1" w:styleId="254">
    <w:name w:val="Char1"/>
    <w:basedOn w:val="1"/>
    <w:next w:val="1"/>
    <w:qFormat/>
    <w:uiPriority w:val="0"/>
  </w:style>
  <w:style w:type="paragraph" w:customStyle="1" w:styleId="255">
    <w:name w:val="1.2"/>
    <w:basedOn w:val="1"/>
    <w:qFormat/>
    <w:uiPriority w:val="0"/>
    <w:pPr>
      <w:spacing w:line="500" w:lineRule="exact"/>
      <w:ind w:firstLine="560" w:firstLineChars="200"/>
    </w:pPr>
    <w:rPr>
      <w:rFonts w:eastAsia="仿宋_GB2312"/>
      <w:color w:val="000000"/>
      <w:kern w:val="0"/>
      <w:sz w:val="28"/>
      <w:szCs w:val="28"/>
    </w:rPr>
  </w:style>
  <w:style w:type="paragraph" w:customStyle="1" w:styleId="256">
    <w:name w:val="报告书"/>
    <w:basedOn w:val="1"/>
    <w:qFormat/>
    <w:uiPriority w:val="0"/>
    <w:pPr>
      <w:spacing w:line="300" w:lineRule="auto"/>
      <w:ind w:firstLine="480" w:firstLineChars="200"/>
    </w:pPr>
    <w:rPr>
      <w:sz w:val="24"/>
    </w:rPr>
  </w:style>
  <w:style w:type="paragraph" w:customStyle="1" w:styleId="257">
    <w:name w:val="Char2 Char Char Char Char Char Char Char Char Char Char Char Char"/>
    <w:basedOn w:val="1"/>
    <w:qFormat/>
    <w:uiPriority w:val="0"/>
    <w:pPr>
      <w:spacing w:line="560" w:lineRule="exact"/>
      <w:ind w:firstLine="200" w:firstLineChars="200"/>
    </w:pPr>
    <w:rPr>
      <w:rFonts w:ascii="宋体" w:hAnsi="宋体" w:cs="宋体"/>
      <w:sz w:val="28"/>
      <w:szCs w:val="28"/>
    </w:rPr>
  </w:style>
  <w:style w:type="paragraph" w:customStyle="1" w:styleId="258">
    <w:name w:val="正文表标题"/>
    <w:next w:val="1"/>
    <w:qFormat/>
    <w:uiPriority w:val="0"/>
    <w:pPr>
      <w:numPr>
        <w:ilvl w:val="0"/>
        <w:numId w:val="1"/>
      </w:numPr>
      <w:jc w:val="center"/>
    </w:pPr>
    <w:rPr>
      <w:rFonts w:ascii="黑体" w:hAnsi="Times New Roman" w:eastAsia="黑体" w:cs="Times New Roman"/>
      <w:sz w:val="21"/>
      <w:lang w:val="en-US" w:eastAsia="zh-CN" w:bidi="ar-SA"/>
    </w:rPr>
  </w:style>
  <w:style w:type="paragraph" w:customStyle="1" w:styleId="259">
    <w:name w:val="P"/>
    <w:basedOn w:val="1"/>
    <w:qFormat/>
    <w:uiPriority w:val="0"/>
    <w:pPr>
      <w:adjustRightInd w:val="0"/>
      <w:spacing w:line="420" w:lineRule="atLeast"/>
      <w:ind w:firstLine="567"/>
      <w:textAlignment w:val="baseline"/>
    </w:pPr>
    <w:rPr>
      <w:rFonts w:ascii="宋体"/>
      <w:spacing w:val="30"/>
      <w:kern w:val="0"/>
      <w:sz w:val="24"/>
      <w:szCs w:val="20"/>
    </w:rPr>
  </w:style>
  <w:style w:type="paragraph" w:customStyle="1" w:styleId="260">
    <w:name w:val="Char Char Char Char Char Char3 Char Char Char Char Char Char Char1"/>
    <w:basedOn w:val="1"/>
    <w:next w:val="1"/>
    <w:qFormat/>
    <w:uiPriority w:val="0"/>
    <w:rPr>
      <w:rFonts w:eastAsia="黑体"/>
      <w:sz w:val="28"/>
    </w:rPr>
  </w:style>
  <w:style w:type="paragraph" w:customStyle="1" w:styleId="261">
    <w:name w:val="样式 正文缩进首行缩进两字正文（首行缩进两字） Char特点正文（首行缩进两字）正文（首行缩进两字） Char Cha..."/>
    <w:basedOn w:val="8"/>
    <w:qFormat/>
    <w:uiPriority w:val="0"/>
    <w:pPr>
      <w:spacing w:line="500" w:lineRule="exact"/>
      <w:ind w:firstLine="200" w:firstLineChars="200"/>
    </w:pPr>
    <w:rPr>
      <w:rFonts w:ascii="宋体" w:hAnsi="宋体" w:cs="宋体"/>
      <w:color w:val="000000"/>
      <w:sz w:val="24"/>
    </w:rPr>
  </w:style>
  <w:style w:type="paragraph" w:customStyle="1" w:styleId="262">
    <w:name w:val="段落"/>
    <w:basedOn w:val="1"/>
    <w:qFormat/>
    <w:uiPriority w:val="0"/>
    <w:pPr>
      <w:tabs>
        <w:tab w:val="left" w:pos="1021"/>
      </w:tabs>
      <w:adjustRightInd w:val="0"/>
      <w:spacing w:line="360" w:lineRule="auto"/>
      <w:ind w:firstLine="480" w:firstLineChars="200"/>
      <w:textAlignment w:val="baseline"/>
    </w:pPr>
    <w:rPr>
      <w:kern w:val="0"/>
      <w:sz w:val="24"/>
      <w:szCs w:val="20"/>
    </w:rPr>
  </w:style>
  <w:style w:type="paragraph" w:customStyle="1" w:styleId="263">
    <w:name w:val="Char21"/>
    <w:basedOn w:val="1"/>
    <w:qFormat/>
    <w:uiPriority w:val="0"/>
    <w:pPr>
      <w:spacing w:line="360" w:lineRule="auto"/>
      <w:ind w:firstLine="200" w:firstLineChars="200"/>
    </w:pPr>
    <w:rPr>
      <w:szCs w:val="20"/>
    </w:rPr>
  </w:style>
  <w:style w:type="paragraph" w:customStyle="1" w:styleId="264">
    <w:name w:val="xl45"/>
    <w:basedOn w:val="1"/>
    <w:qFormat/>
    <w:uiPriority w:val="0"/>
    <w:pPr>
      <w:widowControl/>
      <w:pBdr>
        <w:top w:val="single" w:color="auto" w:sz="4" w:space="0"/>
        <w:left w:val="single" w:color="auto" w:sz="4" w:space="0"/>
        <w:bottom w:val="single" w:color="auto" w:sz="12" w:space="0"/>
        <w:right w:val="single" w:color="auto" w:sz="4" w:space="0"/>
      </w:pBdr>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265">
    <w:name w:val="样式 标题 3标题 3 Char标题 3 Char Char标题 31 Char标题 31H3H31H32H33...4"/>
    <w:basedOn w:val="5"/>
    <w:qFormat/>
    <w:uiPriority w:val="0"/>
    <w:pPr>
      <w:tabs>
        <w:tab w:val="left" w:pos="720"/>
      </w:tabs>
      <w:spacing w:before="60" w:after="0" w:line="560" w:lineRule="exact"/>
      <w:jc w:val="left"/>
    </w:pPr>
    <w:rPr>
      <w:rFonts w:eastAsia="仿宋_GB2312"/>
      <w:sz w:val="28"/>
      <w:szCs w:val="28"/>
    </w:rPr>
  </w:style>
  <w:style w:type="paragraph" w:customStyle="1" w:styleId="266">
    <w:name w:val="二级标题"/>
    <w:basedOn w:val="1"/>
    <w:qFormat/>
    <w:uiPriority w:val="0"/>
    <w:pPr>
      <w:spacing w:before="60" w:line="460" w:lineRule="exact"/>
      <w:outlineLvl w:val="1"/>
    </w:pPr>
    <w:rPr>
      <w:b/>
      <w:sz w:val="28"/>
    </w:rPr>
  </w:style>
  <w:style w:type="paragraph" w:customStyle="1" w:styleId="267">
    <w:name w:val="Char Char Char Char Char Char Char Char Char Char Char Char Char Char Char Char Char Char Char Char Char"/>
    <w:basedOn w:val="1"/>
    <w:qFormat/>
    <w:uiPriority w:val="0"/>
    <w:pPr>
      <w:tabs>
        <w:tab w:val="left" w:pos="360"/>
      </w:tabs>
    </w:pPr>
    <w:rPr>
      <w:sz w:val="24"/>
    </w:rPr>
  </w:style>
  <w:style w:type="paragraph" w:customStyle="1" w:styleId="268">
    <w:name w:val="Char Char Char Char Char Char Char"/>
    <w:basedOn w:val="1"/>
    <w:qFormat/>
    <w:uiPriority w:val="0"/>
  </w:style>
  <w:style w:type="paragraph" w:customStyle="1" w:styleId="269">
    <w:name w:val="无缩进正文"/>
    <w:basedOn w:val="1"/>
    <w:qFormat/>
    <w:uiPriority w:val="0"/>
    <w:pPr>
      <w:adjustRightInd w:val="0"/>
      <w:snapToGrid w:val="0"/>
      <w:spacing w:line="288" w:lineRule="auto"/>
      <w:jc w:val="center"/>
    </w:pPr>
    <w:rPr>
      <w:kern w:val="0"/>
      <w:szCs w:val="20"/>
    </w:rPr>
  </w:style>
  <w:style w:type="paragraph" w:customStyle="1" w:styleId="270">
    <w:name w:val="批注主题1"/>
    <w:basedOn w:val="19"/>
    <w:next w:val="19"/>
    <w:qFormat/>
    <w:uiPriority w:val="0"/>
    <w:rPr>
      <w:b/>
      <w:bCs/>
    </w:rPr>
  </w:style>
  <w:style w:type="paragraph" w:customStyle="1" w:styleId="271">
    <w:name w:val="p19"/>
    <w:basedOn w:val="1"/>
    <w:qFormat/>
    <w:uiPriority w:val="0"/>
    <w:pPr>
      <w:widowControl/>
    </w:pPr>
    <w:rPr>
      <w:rFonts w:ascii="宋体" w:hAnsi="宋体" w:cs="宋体"/>
      <w:kern w:val="0"/>
      <w:szCs w:val="21"/>
    </w:rPr>
  </w:style>
  <w:style w:type="paragraph" w:customStyle="1" w:styleId="272">
    <w:name w:val="xl23"/>
    <w:basedOn w:val="1"/>
    <w:qFormat/>
    <w:uiPriority w:val="0"/>
    <w:pPr>
      <w:widowControl/>
      <w:pBdr>
        <w:bottom w:val="single" w:color="auto" w:sz="4" w:space="0"/>
        <w:right w:val="single" w:color="auto" w:sz="4" w:space="0"/>
      </w:pBdr>
      <w:spacing w:before="100" w:beforeAutospacing="1" w:after="100" w:afterAutospacing="1"/>
      <w:jc w:val="center"/>
      <w:textAlignment w:val="top"/>
    </w:pPr>
    <w:rPr>
      <w:rFonts w:ascii="宋体" w:hAnsi="宋体"/>
      <w:color w:val="0000FF"/>
      <w:kern w:val="0"/>
      <w:szCs w:val="21"/>
    </w:rPr>
  </w:style>
  <w:style w:type="paragraph" w:customStyle="1" w:styleId="273">
    <w:name w:val="样式6"/>
    <w:basedOn w:val="1"/>
    <w:qFormat/>
    <w:uiPriority w:val="0"/>
    <w:pPr>
      <w:spacing w:line="360" w:lineRule="exact"/>
      <w:jc w:val="center"/>
    </w:pPr>
  </w:style>
  <w:style w:type="paragraph" w:customStyle="1" w:styleId="274">
    <w:name w:val="Char Char Char Char Char Char1 Char Char Char Char"/>
    <w:basedOn w:val="1"/>
    <w:qFormat/>
    <w:uiPriority w:val="0"/>
    <w:rPr>
      <w:sz w:val="24"/>
    </w:rPr>
  </w:style>
  <w:style w:type="paragraph" w:customStyle="1" w:styleId="275">
    <w:name w:val="font5"/>
    <w:basedOn w:val="1"/>
    <w:qFormat/>
    <w:uiPriority w:val="0"/>
    <w:pPr>
      <w:widowControl/>
      <w:spacing w:before="100" w:beforeAutospacing="1" w:after="100" w:afterAutospacing="1"/>
      <w:jc w:val="left"/>
    </w:pPr>
    <w:rPr>
      <w:rFonts w:hint="eastAsia" w:ascii="宋体" w:hAnsi="宋体"/>
      <w:kern w:val="0"/>
      <w:sz w:val="18"/>
      <w:szCs w:val="18"/>
    </w:rPr>
  </w:style>
  <w:style w:type="paragraph" w:customStyle="1" w:styleId="276">
    <w:name w:val="xl41"/>
    <w:basedOn w:val="1"/>
    <w:qFormat/>
    <w:uiPriority w:val="0"/>
    <w:pPr>
      <w:widowControl/>
      <w:pBdr>
        <w:top w:val="single" w:color="auto" w:sz="4" w:space="0"/>
        <w:left w:val="single" w:color="auto" w:sz="4" w:space="0"/>
        <w:right w:val="single" w:color="auto" w:sz="12" w:space="0"/>
      </w:pBdr>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277">
    <w:name w:val="Char Char1 Char Char Char Char Char Char2 Char Char Char Char"/>
    <w:basedOn w:val="1"/>
    <w:next w:val="1"/>
    <w:qFormat/>
    <w:uiPriority w:val="0"/>
    <w:rPr>
      <w:rFonts w:eastAsia="黑体"/>
      <w:sz w:val="28"/>
    </w:rPr>
  </w:style>
  <w:style w:type="paragraph" w:customStyle="1" w:styleId="278">
    <w:name w:val="索引 31"/>
    <w:basedOn w:val="1"/>
    <w:next w:val="1"/>
    <w:qFormat/>
    <w:uiPriority w:val="0"/>
    <w:pPr>
      <w:ind w:left="400" w:leftChars="400"/>
    </w:pPr>
  </w:style>
  <w:style w:type="paragraph" w:customStyle="1" w:styleId="279">
    <w:name w:val="font11"/>
    <w:basedOn w:val="1"/>
    <w:qFormat/>
    <w:uiPriority w:val="0"/>
    <w:pPr>
      <w:widowControl/>
      <w:spacing w:before="100" w:beforeAutospacing="1" w:after="100" w:afterAutospacing="1"/>
      <w:jc w:val="left"/>
    </w:pPr>
    <w:rPr>
      <w:color w:val="000080"/>
      <w:kern w:val="0"/>
      <w:szCs w:val="21"/>
    </w:rPr>
  </w:style>
  <w:style w:type="paragraph" w:customStyle="1" w:styleId="280">
    <w:name w:val="xl43"/>
    <w:basedOn w:val="1"/>
    <w:qFormat/>
    <w:uiPriority w:val="0"/>
    <w:pPr>
      <w:widowControl/>
      <w:pBdr>
        <w:top w:val="single" w:color="auto" w:sz="4" w:space="0"/>
        <w:left w:val="single" w:color="auto" w:sz="12" w:space="0"/>
        <w:bottom w:val="single" w:color="auto" w:sz="12" w:space="0"/>
        <w:right w:val="single" w:color="auto" w:sz="4" w:space="0"/>
      </w:pBdr>
      <w:spacing w:before="100" w:beforeAutospacing="1" w:after="100" w:afterAutospacing="1"/>
      <w:jc w:val="center"/>
    </w:pPr>
    <w:rPr>
      <w:rFonts w:hint="eastAsia" w:ascii="仿宋_GB2312" w:hAnsi="宋体" w:eastAsia="仿宋_GB2312"/>
      <w:kern w:val="0"/>
      <w:sz w:val="20"/>
      <w:szCs w:val="20"/>
    </w:rPr>
  </w:style>
  <w:style w:type="paragraph" w:customStyle="1" w:styleId="281">
    <w:name w:val="居中正文"/>
    <w:basedOn w:val="34"/>
    <w:qFormat/>
    <w:uiPriority w:val="0"/>
    <w:pPr>
      <w:adjustRightInd w:val="0"/>
      <w:spacing w:before="120" w:after="0" w:line="360" w:lineRule="auto"/>
      <w:ind w:firstLine="0" w:firstLineChars="0"/>
      <w:jc w:val="center"/>
      <w:textAlignment w:val="baseline"/>
    </w:pPr>
    <w:rPr>
      <w:rFonts w:ascii="宋体"/>
      <w:kern w:val="28"/>
      <w:sz w:val="24"/>
      <w:szCs w:val="20"/>
    </w:rPr>
  </w:style>
  <w:style w:type="paragraph" w:customStyle="1" w:styleId="282">
    <w:name w:val="表1"/>
    <w:next w:val="1"/>
    <w:qFormat/>
    <w:uiPriority w:val="0"/>
    <w:pPr>
      <w:adjustRightInd w:val="0"/>
      <w:snapToGrid w:val="0"/>
      <w:jc w:val="center"/>
    </w:pPr>
    <w:rPr>
      <w:rFonts w:ascii="Times New Roman" w:hAnsi="Times New Roman" w:eastAsia="宋体" w:cs="Times New Roman"/>
      <w:sz w:val="21"/>
      <w:lang w:val="en-US" w:eastAsia="zh-CN" w:bidi="ar-SA"/>
    </w:rPr>
  </w:style>
  <w:style w:type="paragraph" w:customStyle="1" w:styleId="283">
    <w:name w:val="标题4"/>
    <w:basedOn w:val="5"/>
    <w:qFormat/>
    <w:uiPriority w:val="0"/>
    <w:pPr>
      <w:spacing w:before="0" w:after="0" w:line="360" w:lineRule="auto"/>
    </w:pPr>
    <w:rPr>
      <w:rFonts w:eastAsia="黑体"/>
      <w:bCs w:val="0"/>
      <w:sz w:val="28"/>
      <w:szCs w:val="20"/>
    </w:rPr>
  </w:style>
  <w:style w:type="paragraph" w:customStyle="1" w:styleId="284">
    <w:name w:val="reader-word-layer"/>
    <w:basedOn w:val="1"/>
    <w:qFormat/>
    <w:uiPriority w:val="0"/>
    <w:pPr>
      <w:widowControl/>
      <w:spacing w:before="100" w:beforeAutospacing="1" w:after="100" w:afterAutospacing="1"/>
      <w:jc w:val="left"/>
    </w:pPr>
    <w:rPr>
      <w:rFonts w:ascii="宋体" w:hAnsi="宋体" w:cs="宋体"/>
      <w:kern w:val="0"/>
      <w:sz w:val="24"/>
    </w:rPr>
  </w:style>
  <w:style w:type="paragraph" w:customStyle="1" w:styleId="285">
    <w:name w:val="xl51"/>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color w:val="003366"/>
      <w:kern w:val="0"/>
      <w:szCs w:val="21"/>
    </w:rPr>
  </w:style>
  <w:style w:type="paragraph" w:customStyle="1" w:styleId="286">
    <w:name w:val="标题003"/>
    <w:basedOn w:val="1"/>
    <w:qFormat/>
    <w:uiPriority w:val="0"/>
    <w:pPr>
      <w:spacing w:before="300" w:line="460" w:lineRule="exact"/>
      <w:outlineLvl w:val="2"/>
    </w:pPr>
    <w:rPr>
      <w:b/>
      <w:sz w:val="24"/>
      <w:szCs w:val="20"/>
    </w:rPr>
  </w:style>
  <w:style w:type="paragraph" w:customStyle="1" w:styleId="287">
    <w:name w:val="正文02"/>
    <w:basedOn w:val="288"/>
    <w:qFormat/>
    <w:uiPriority w:val="0"/>
    <w:pPr>
      <w:spacing w:before="300"/>
      <w:ind w:firstLine="200" w:firstLineChars="200"/>
      <w:jc w:val="both"/>
    </w:pPr>
  </w:style>
  <w:style w:type="paragraph" w:customStyle="1" w:styleId="288">
    <w:name w:val="表格标题"/>
    <w:basedOn w:val="1"/>
    <w:qFormat/>
    <w:uiPriority w:val="0"/>
    <w:pPr>
      <w:spacing w:before="60" w:line="460" w:lineRule="exact"/>
      <w:jc w:val="center"/>
    </w:pPr>
    <w:rPr>
      <w:sz w:val="24"/>
    </w:rPr>
  </w:style>
  <w:style w:type="paragraph" w:customStyle="1" w:styleId="289">
    <w:name w:val="p16"/>
    <w:basedOn w:val="1"/>
    <w:qFormat/>
    <w:uiPriority w:val="0"/>
    <w:pPr>
      <w:widowControl/>
      <w:snapToGrid w:val="0"/>
      <w:ind w:firstLine="567"/>
    </w:pPr>
    <w:rPr>
      <w:kern w:val="0"/>
      <w:sz w:val="28"/>
      <w:szCs w:val="28"/>
    </w:rPr>
  </w:style>
  <w:style w:type="paragraph" w:customStyle="1" w:styleId="290">
    <w:name w:val="1级标题"/>
    <w:basedOn w:val="1"/>
    <w:qFormat/>
    <w:uiPriority w:val="0"/>
    <w:pPr>
      <w:spacing w:before="60" w:line="460" w:lineRule="exact"/>
      <w:outlineLvl w:val="0"/>
    </w:pPr>
    <w:rPr>
      <w:b/>
      <w:sz w:val="32"/>
      <w:szCs w:val="20"/>
    </w:rPr>
  </w:style>
  <w:style w:type="paragraph" w:customStyle="1" w:styleId="291">
    <w:name w:val="页脚1"/>
    <w:basedOn w:val="62"/>
    <w:qFormat/>
    <w:uiPriority w:val="0"/>
    <w:pPr>
      <w:tabs>
        <w:tab w:val="center" w:pos="4153"/>
        <w:tab w:val="right" w:pos="8306"/>
      </w:tabs>
      <w:spacing w:line="240" w:lineRule="atLeast"/>
    </w:pPr>
    <w:rPr>
      <w:sz w:val="18"/>
    </w:rPr>
  </w:style>
  <w:style w:type="paragraph" w:customStyle="1" w:styleId="292">
    <w:name w:val="Char Char Char Char1"/>
    <w:basedOn w:val="1"/>
    <w:qFormat/>
    <w:uiPriority w:val="0"/>
    <w:pPr>
      <w:tabs>
        <w:tab w:val="left" w:pos="360"/>
      </w:tabs>
    </w:pPr>
  </w:style>
  <w:style w:type="paragraph" w:customStyle="1" w:styleId="293">
    <w:name w:val="2"/>
    <w:basedOn w:val="1"/>
    <w:next w:val="41"/>
    <w:qFormat/>
    <w:uiPriority w:val="0"/>
    <w:pPr>
      <w:ind w:firstLine="420"/>
    </w:pPr>
    <w:rPr>
      <w:szCs w:val="20"/>
    </w:rPr>
  </w:style>
  <w:style w:type="paragraph" w:customStyle="1" w:styleId="294">
    <w:name w:val="表格内正文"/>
    <w:basedOn w:val="1"/>
    <w:qFormat/>
    <w:uiPriority w:val="0"/>
    <w:rPr>
      <w:rFonts w:hAnsi="宋体"/>
    </w:rPr>
  </w:style>
  <w:style w:type="paragraph" w:customStyle="1" w:styleId="295">
    <w:name w:val="表格文字自调"/>
    <w:basedOn w:val="30"/>
    <w:qFormat/>
    <w:uiPriority w:val="0"/>
    <w:pPr>
      <w:jc w:val="center"/>
    </w:pPr>
    <w:rPr>
      <w:rFonts w:hAnsi="宋体" w:cs="Courier New"/>
      <w:kern w:val="0"/>
    </w:rPr>
  </w:style>
  <w:style w:type="paragraph" w:customStyle="1" w:styleId="296">
    <w:name w:val="Char Char1 Char Char Char"/>
    <w:basedOn w:val="1"/>
    <w:qFormat/>
    <w:uiPriority w:val="0"/>
    <w:pPr>
      <w:spacing w:line="360" w:lineRule="auto"/>
      <w:ind w:firstLine="200" w:firstLineChars="200"/>
    </w:pPr>
    <w:rPr>
      <w:rFonts w:ascii="宋体" w:hAnsi="宋体" w:cs="宋体"/>
      <w:sz w:val="24"/>
    </w:rPr>
  </w:style>
  <w:style w:type="paragraph" w:customStyle="1" w:styleId="297">
    <w:name w:val="正文123"/>
    <w:basedOn w:val="34"/>
    <w:next w:val="34"/>
    <w:qFormat/>
    <w:uiPriority w:val="0"/>
    <w:pPr>
      <w:tabs>
        <w:tab w:val="left" w:pos="360"/>
        <w:tab w:val="left" w:pos="900"/>
      </w:tabs>
      <w:spacing w:after="0" w:line="360" w:lineRule="auto"/>
      <w:ind w:firstLine="400" w:firstLineChars="400"/>
      <w:jc w:val="left"/>
    </w:pPr>
    <w:rPr>
      <w:sz w:val="24"/>
    </w:rPr>
  </w:style>
  <w:style w:type="paragraph" w:customStyle="1" w:styleId="298">
    <w:name w:val="样式 正文首行缩进 + 小四 段后: 0 磅 行距: 1.5 倍行距"/>
    <w:basedOn w:val="1"/>
    <w:qFormat/>
    <w:uiPriority w:val="0"/>
    <w:pPr>
      <w:spacing w:line="360" w:lineRule="auto"/>
      <w:ind w:firstLine="480" w:firstLineChars="200"/>
    </w:pPr>
    <w:rPr>
      <w:sz w:val="24"/>
      <w:szCs w:val="20"/>
    </w:rPr>
  </w:style>
  <w:style w:type="paragraph" w:customStyle="1" w:styleId="299">
    <w:name w:val="样式 宋体 小四 段前: 6 磅 行距: 固定值 24 磅1"/>
    <w:basedOn w:val="1"/>
    <w:qFormat/>
    <w:uiPriority w:val="0"/>
    <w:pPr>
      <w:adjustRightInd w:val="0"/>
      <w:snapToGrid w:val="0"/>
      <w:spacing w:line="360" w:lineRule="auto"/>
      <w:ind w:firstLine="200" w:firstLineChars="200"/>
    </w:pPr>
    <w:rPr>
      <w:rFonts w:ascii="宋体" w:hAnsi="宋体" w:cs="宋体"/>
      <w:sz w:val="24"/>
      <w:szCs w:val="20"/>
    </w:rPr>
  </w:style>
  <w:style w:type="paragraph" w:customStyle="1" w:styleId="300">
    <w:name w:val="TOC 标题1"/>
    <w:basedOn w:val="3"/>
    <w:next w:val="1"/>
    <w:unhideWhenUsed/>
    <w:qFormat/>
    <w:uiPriority w:val="39"/>
    <w:pPr>
      <w:widowControl/>
      <w:tabs>
        <w:tab w:val="clear" w:pos="432"/>
      </w:tabs>
      <w:adjustRightInd/>
      <w:spacing w:before="480" w:after="0" w:line="276" w:lineRule="auto"/>
      <w:ind w:left="0" w:firstLine="0"/>
      <w:textAlignment w:val="auto"/>
      <w:outlineLvl w:val="9"/>
    </w:pPr>
    <w:rPr>
      <w:rFonts w:ascii="Cambria" w:hAnsi="Cambria" w:eastAsia="宋体"/>
      <w:b/>
      <w:bCs/>
      <w:color w:val="366091"/>
      <w:sz w:val="28"/>
      <w:szCs w:val="28"/>
    </w:rPr>
  </w:style>
  <w:style w:type="paragraph" w:customStyle="1" w:styleId="301">
    <w:name w:val="bg"/>
    <w:basedOn w:val="1"/>
    <w:qFormat/>
    <w:uiPriority w:val="0"/>
    <w:pPr>
      <w:widowControl/>
    </w:pPr>
    <w:rPr>
      <w:kern w:val="0"/>
      <w:sz w:val="24"/>
      <w:szCs w:val="20"/>
    </w:rPr>
  </w:style>
  <w:style w:type="paragraph" w:customStyle="1" w:styleId="302">
    <w:name w:val="图表目录1"/>
    <w:basedOn w:val="62"/>
    <w:next w:val="62"/>
    <w:qFormat/>
    <w:uiPriority w:val="0"/>
    <w:pPr>
      <w:tabs>
        <w:tab w:val="right" w:leader="dot" w:pos="8051"/>
      </w:tabs>
      <w:ind w:left="840" w:hanging="840"/>
    </w:pPr>
  </w:style>
  <w:style w:type="paragraph" w:customStyle="1" w:styleId="303">
    <w:name w:val="燃煤量"/>
    <w:basedOn w:val="1"/>
    <w:qFormat/>
    <w:uiPriority w:val="0"/>
    <w:rPr>
      <w:sz w:val="28"/>
    </w:rPr>
  </w:style>
  <w:style w:type="paragraph" w:customStyle="1" w:styleId="304">
    <w:name w:val="列表1"/>
    <w:basedOn w:val="1"/>
    <w:next w:val="305"/>
    <w:qFormat/>
    <w:uiPriority w:val="0"/>
    <w:pPr>
      <w:spacing w:before="60" w:line="240" w:lineRule="exact"/>
      <w:jc w:val="center"/>
    </w:pPr>
    <w:rPr>
      <w:sz w:val="24"/>
      <w:szCs w:val="20"/>
    </w:rPr>
  </w:style>
  <w:style w:type="paragraph" w:customStyle="1" w:styleId="305">
    <w:name w:val="列表2"/>
    <w:basedOn w:val="1"/>
    <w:qFormat/>
    <w:uiPriority w:val="0"/>
    <w:pPr>
      <w:ind w:left="200" w:hanging="200" w:hangingChars="200"/>
    </w:pPr>
    <w:rPr>
      <w:sz w:val="24"/>
    </w:rPr>
  </w:style>
  <w:style w:type="paragraph" w:customStyle="1" w:styleId="306">
    <w:name w:val="Char Char Char1 Char Char Char Char Char Char Char Char Char Char4"/>
    <w:basedOn w:val="1"/>
    <w:qFormat/>
    <w:uiPriority w:val="0"/>
    <w:rPr>
      <w:szCs w:val="21"/>
    </w:rPr>
  </w:style>
  <w:style w:type="paragraph" w:customStyle="1" w:styleId="307">
    <w:name w:val="Char Char Char1 Char Char Char Char Char Char Char Char Char Char"/>
    <w:basedOn w:val="1"/>
    <w:qFormat/>
    <w:uiPriority w:val="0"/>
    <w:rPr>
      <w:szCs w:val="21"/>
    </w:rPr>
  </w:style>
  <w:style w:type="paragraph" w:customStyle="1" w:styleId="308">
    <w:name w:val="密级编号"/>
    <w:basedOn w:val="1"/>
    <w:qFormat/>
    <w:uiPriority w:val="0"/>
    <w:pPr>
      <w:adjustRightInd w:val="0"/>
      <w:jc w:val="center"/>
      <w:textAlignment w:val="baseline"/>
    </w:pPr>
    <w:rPr>
      <w:rFonts w:ascii="仿宋_GB2312" w:eastAsia="仿宋_GB2312"/>
      <w:kern w:val="0"/>
      <w:sz w:val="24"/>
      <w:szCs w:val="20"/>
    </w:rPr>
  </w:style>
  <w:style w:type="paragraph" w:customStyle="1" w:styleId="309">
    <w:name w:val="我的标题四"/>
    <w:basedOn w:val="1"/>
    <w:qFormat/>
    <w:uiPriority w:val="0"/>
    <w:pPr>
      <w:spacing w:line="360" w:lineRule="auto"/>
    </w:pPr>
    <w:rPr>
      <w:b/>
      <w:sz w:val="24"/>
    </w:rPr>
  </w:style>
  <w:style w:type="paragraph" w:customStyle="1" w:styleId="310">
    <w:name w:val="正文2"/>
    <w:basedOn w:val="1"/>
    <w:qFormat/>
    <w:uiPriority w:val="0"/>
    <w:pPr>
      <w:adjustRightInd w:val="0"/>
      <w:snapToGrid w:val="0"/>
      <w:spacing w:line="500" w:lineRule="atLeast"/>
      <w:ind w:firstLine="567"/>
    </w:pPr>
    <w:rPr>
      <w:sz w:val="24"/>
      <w:szCs w:val="20"/>
    </w:rPr>
  </w:style>
  <w:style w:type="paragraph" w:customStyle="1" w:styleId="311">
    <w:name w:val="表格后文"/>
    <w:basedOn w:val="74"/>
    <w:qFormat/>
    <w:uiPriority w:val="0"/>
    <w:pPr>
      <w:spacing w:before="300"/>
    </w:pPr>
  </w:style>
  <w:style w:type="paragraph" w:customStyle="1" w:styleId="312">
    <w:name w:val="我1"/>
    <w:basedOn w:val="313"/>
    <w:qFormat/>
    <w:uiPriority w:val="0"/>
    <w:pPr>
      <w:keepNext/>
      <w:keepLines/>
      <w:spacing w:before="0" w:line="416" w:lineRule="auto"/>
    </w:pPr>
    <w:rPr>
      <w:rFonts w:ascii="宋体" w:hAnsi="宋体" w:eastAsia="Times New Roman"/>
      <w:b w:val="0"/>
      <w:bCs/>
      <w:color w:val="auto"/>
      <w:sz w:val="36"/>
      <w:szCs w:val="32"/>
    </w:rPr>
  </w:style>
  <w:style w:type="paragraph" w:customStyle="1" w:styleId="313">
    <w:name w:val="样式2"/>
    <w:basedOn w:val="1"/>
    <w:qFormat/>
    <w:uiPriority w:val="0"/>
    <w:pPr>
      <w:spacing w:before="60" w:line="460" w:lineRule="exact"/>
      <w:outlineLvl w:val="1"/>
    </w:pPr>
    <w:rPr>
      <w:rFonts w:ascii="Arial" w:hAnsi="Arial"/>
      <w:b/>
      <w:color w:val="000000"/>
      <w:sz w:val="28"/>
      <w:szCs w:val="20"/>
    </w:rPr>
  </w:style>
  <w:style w:type="paragraph" w:customStyle="1" w:styleId="314">
    <w:name w:val="my"/>
    <w:basedOn w:val="1"/>
    <w:qFormat/>
    <w:uiPriority w:val="0"/>
    <w:pPr>
      <w:spacing w:before="60" w:line="480" w:lineRule="exact"/>
      <w:ind w:firstLine="200" w:firstLineChars="200"/>
    </w:pPr>
    <w:rPr>
      <w:color w:val="000000"/>
      <w:kern w:val="0"/>
      <w:sz w:val="24"/>
    </w:rPr>
  </w:style>
  <w:style w:type="paragraph" w:customStyle="1" w:styleId="315">
    <w:name w:val="样式 (中文) 仿宋_GB2312 四号"/>
    <w:basedOn w:val="1"/>
    <w:qFormat/>
    <w:uiPriority w:val="0"/>
    <w:pPr>
      <w:ind w:firstLine="200" w:firstLineChars="200"/>
      <w:jc w:val="left"/>
    </w:pPr>
    <w:rPr>
      <w:rFonts w:eastAsia="仿宋_GB2312" w:cs="宋体"/>
      <w:sz w:val="28"/>
      <w:szCs w:val="20"/>
    </w:rPr>
  </w:style>
  <w:style w:type="paragraph" w:customStyle="1" w:styleId="316">
    <w:name w:val="样式 小四 首行缩进:  24 磅 行距: 多倍行距 1.25 字行"/>
    <w:basedOn w:val="1"/>
    <w:qFormat/>
    <w:uiPriority w:val="0"/>
    <w:pPr>
      <w:adjustRightInd w:val="0"/>
      <w:spacing w:line="440" w:lineRule="exact"/>
      <w:ind w:firstLine="480"/>
      <w:textAlignment w:val="baseline"/>
    </w:pPr>
    <w:rPr>
      <w:kern w:val="0"/>
      <w:sz w:val="24"/>
      <w:szCs w:val="20"/>
    </w:rPr>
  </w:style>
  <w:style w:type="paragraph" w:customStyle="1" w:styleId="317">
    <w:name w:val="xl50"/>
    <w:basedOn w:val="1"/>
    <w:qFormat/>
    <w:uiPriority w:val="0"/>
    <w:pPr>
      <w:widowControl/>
      <w:pBdr>
        <w:left w:val="single" w:color="auto" w:sz="4" w:space="0"/>
        <w:bottom w:val="single" w:color="auto" w:sz="4" w:space="0"/>
        <w:right w:val="single" w:color="auto" w:sz="4" w:space="0"/>
      </w:pBdr>
      <w:spacing w:before="100" w:beforeAutospacing="1" w:after="100" w:afterAutospacing="1"/>
      <w:textAlignment w:val="top"/>
    </w:pPr>
    <w:rPr>
      <w:rFonts w:ascii="宋体" w:hAnsi="宋体"/>
      <w:color w:val="800080"/>
      <w:kern w:val="0"/>
      <w:szCs w:val="21"/>
    </w:rPr>
  </w:style>
  <w:style w:type="paragraph" w:customStyle="1" w:styleId="318">
    <w:name w:val="样式9表格"/>
    <w:next w:val="1"/>
    <w:qFormat/>
    <w:uiPriority w:val="0"/>
    <w:pPr>
      <w:spacing w:before="120"/>
      <w:jc w:val="center"/>
    </w:pPr>
    <w:rPr>
      <w:rFonts w:ascii="Times New Roman" w:hAnsi="Times New Roman" w:eastAsia="宋体" w:cs="Times New Roman"/>
      <w:sz w:val="18"/>
      <w:lang w:val="en-US" w:eastAsia="zh-CN" w:bidi="ar-SA"/>
    </w:rPr>
  </w:style>
  <w:style w:type="paragraph" w:customStyle="1" w:styleId="319">
    <w:name w:val="Char Char Char Char Char Char2"/>
    <w:basedOn w:val="1"/>
    <w:qFormat/>
    <w:uiPriority w:val="0"/>
    <w:rPr>
      <w:sz w:val="24"/>
    </w:rPr>
  </w:style>
  <w:style w:type="paragraph" w:customStyle="1" w:styleId="320">
    <w:name w:val="font15"/>
    <w:basedOn w:val="1"/>
    <w:qFormat/>
    <w:uiPriority w:val="0"/>
    <w:pPr>
      <w:widowControl/>
      <w:spacing w:before="100" w:beforeAutospacing="1" w:after="100" w:afterAutospacing="1"/>
      <w:jc w:val="left"/>
    </w:pPr>
    <w:rPr>
      <w:rFonts w:hint="eastAsia" w:ascii="宋体" w:hAnsi="宋体"/>
      <w:color w:val="800080"/>
      <w:kern w:val="0"/>
      <w:szCs w:val="21"/>
    </w:rPr>
  </w:style>
  <w:style w:type="paragraph" w:customStyle="1" w:styleId="321">
    <w:name w:val="xl40"/>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322">
    <w:name w:val="xl42"/>
    <w:basedOn w:val="1"/>
    <w:qFormat/>
    <w:uiPriority w:val="0"/>
    <w:pPr>
      <w:widowControl/>
      <w:pBdr>
        <w:top w:val="single" w:color="auto" w:sz="4" w:space="0"/>
        <w:left w:val="single" w:color="auto" w:sz="4" w:space="24"/>
        <w:right w:val="single" w:color="auto" w:sz="4" w:space="0"/>
      </w:pBdr>
      <w:spacing w:before="100" w:beforeAutospacing="1" w:after="100" w:afterAutospacing="1"/>
      <w:ind w:firstLine="100" w:firstLineChars="100"/>
      <w:jc w:val="left"/>
      <w:textAlignment w:val="center"/>
    </w:pPr>
    <w:rPr>
      <w:rFonts w:hint="eastAsia" w:ascii="仿宋_GB2312" w:hAnsi="宋体" w:eastAsia="仿宋_GB2312"/>
      <w:kern w:val="0"/>
      <w:sz w:val="20"/>
      <w:szCs w:val="20"/>
    </w:rPr>
  </w:style>
  <w:style w:type="paragraph" w:customStyle="1" w:styleId="323">
    <w:name w:val="xl39"/>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324">
    <w:name w:val="表格头1"/>
    <w:basedOn w:val="1"/>
    <w:qFormat/>
    <w:uiPriority w:val="0"/>
    <w:pPr>
      <w:spacing w:before="60" w:line="360" w:lineRule="atLeast"/>
      <w:jc w:val="center"/>
    </w:pPr>
    <w:rPr>
      <w:b/>
      <w:szCs w:val="21"/>
    </w:rPr>
  </w:style>
  <w:style w:type="paragraph" w:customStyle="1" w:styleId="325">
    <w:name w:val="xl38"/>
    <w:basedOn w:val="1"/>
    <w:qFormat/>
    <w:uiPriority w:val="0"/>
    <w:pPr>
      <w:widowControl/>
      <w:pBdr>
        <w:top w:val="single" w:color="auto" w:sz="4" w:space="0"/>
        <w:left w:val="single" w:color="auto" w:sz="12" w:space="0"/>
        <w:right w:val="single" w:color="auto" w:sz="4" w:space="0"/>
      </w:pBdr>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326">
    <w:name w:val="Char Char4 Char Char Char Char"/>
    <w:basedOn w:val="1"/>
    <w:qFormat/>
    <w:uiPriority w:val="0"/>
    <w:rPr>
      <w:sz w:val="24"/>
    </w:rPr>
  </w:style>
  <w:style w:type="paragraph" w:customStyle="1" w:styleId="327">
    <w:name w:val="font12"/>
    <w:basedOn w:val="1"/>
    <w:qFormat/>
    <w:uiPriority w:val="0"/>
    <w:pPr>
      <w:widowControl/>
      <w:spacing w:before="100" w:beforeAutospacing="1" w:after="100" w:afterAutospacing="1"/>
      <w:jc w:val="left"/>
    </w:pPr>
    <w:rPr>
      <w:rFonts w:hint="eastAsia" w:ascii="宋体" w:hAnsi="宋体"/>
      <w:color w:val="800080"/>
      <w:kern w:val="0"/>
      <w:szCs w:val="21"/>
    </w:rPr>
  </w:style>
  <w:style w:type="paragraph" w:customStyle="1" w:styleId="328">
    <w:name w:val="样式 样式 宋体 小四 段前: 6 磅 行距: 固定值 24 磅1 + 首行缩进:  2 字符"/>
    <w:basedOn w:val="299"/>
    <w:qFormat/>
    <w:uiPriority w:val="0"/>
  </w:style>
  <w:style w:type="paragraph" w:customStyle="1" w:styleId="329">
    <w:name w:val="样式3"/>
    <w:basedOn w:val="1"/>
    <w:qFormat/>
    <w:uiPriority w:val="0"/>
    <w:pPr>
      <w:spacing w:before="300" w:line="460" w:lineRule="exact"/>
      <w:outlineLvl w:val="2"/>
    </w:pPr>
    <w:rPr>
      <w:rFonts w:ascii="Arial" w:hAnsi="Arial"/>
      <w:b/>
      <w:color w:val="000000"/>
      <w:sz w:val="24"/>
      <w:szCs w:val="20"/>
    </w:rPr>
  </w:style>
  <w:style w:type="paragraph" w:customStyle="1" w:styleId="330">
    <w:name w:val="xl37"/>
    <w:basedOn w:val="1"/>
    <w:qFormat/>
    <w:uiPriority w:val="0"/>
    <w:pPr>
      <w:widowControl/>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331">
    <w:name w:val="纯文本1"/>
    <w:basedOn w:val="1"/>
    <w:qFormat/>
    <w:uiPriority w:val="0"/>
    <w:rPr>
      <w:rFonts w:ascii="宋体" w:hAnsi="Courier New" w:cs="Courier New"/>
      <w:szCs w:val="21"/>
    </w:rPr>
  </w:style>
  <w:style w:type="paragraph" w:customStyle="1" w:styleId="332">
    <w:name w:val="默认段落字体 Para Char Char Char Char"/>
    <w:basedOn w:val="1"/>
    <w:qFormat/>
    <w:uiPriority w:val="0"/>
  </w:style>
  <w:style w:type="paragraph" w:customStyle="1" w:styleId="333">
    <w:name w:val="xl44"/>
    <w:basedOn w:val="1"/>
    <w:qFormat/>
    <w:uiPriority w:val="0"/>
    <w:pPr>
      <w:widowControl/>
      <w:pBdr>
        <w:top w:val="single" w:color="auto" w:sz="4" w:space="0"/>
        <w:left w:val="single" w:color="auto" w:sz="4" w:space="24"/>
        <w:bottom w:val="single" w:color="auto" w:sz="12" w:space="0"/>
        <w:right w:val="single" w:color="auto" w:sz="4" w:space="0"/>
      </w:pBdr>
      <w:spacing w:before="100" w:beforeAutospacing="1" w:after="100" w:afterAutospacing="1"/>
      <w:ind w:firstLine="100" w:firstLineChars="100"/>
      <w:jc w:val="left"/>
      <w:textAlignment w:val="center"/>
    </w:pPr>
    <w:rPr>
      <w:rFonts w:hint="eastAsia" w:ascii="仿宋_GB2312" w:hAnsi="宋体" w:eastAsia="仿宋_GB2312"/>
      <w:kern w:val="0"/>
      <w:sz w:val="20"/>
      <w:szCs w:val="20"/>
    </w:rPr>
  </w:style>
  <w:style w:type="paragraph" w:customStyle="1" w:styleId="334">
    <w:name w:val="表"/>
    <w:basedOn w:val="1"/>
    <w:qFormat/>
    <w:uiPriority w:val="0"/>
    <w:pPr>
      <w:snapToGrid w:val="0"/>
      <w:jc w:val="center"/>
    </w:pPr>
    <w:rPr>
      <w:spacing w:val="2"/>
      <w:sz w:val="24"/>
      <w:szCs w:val="20"/>
    </w:rPr>
  </w:style>
  <w:style w:type="paragraph" w:customStyle="1" w:styleId="335">
    <w:name w:val="页眉1"/>
    <w:basedOn w:val="1"/>
    <w:qFormat/>
    <w:uiPriority w:val="0"/>
    <w:pPr>
      <w:pBdr>
        <w:bottom w:val="single" w:color="auto" w:sz="6" w:space="1"/>
      </w:pBdr>
      <w:tabs>
        <w:tab w:val="center" w:pos="4153"/>
        <w:tab w:val="right" w:pos="8306"/>
      </w:tabs>
      <w:autoSpaceDE w:val="0"/>
      <w:autoSpaceDN w:val="0"/>
      <w:adjustRightInd w:val="0"/>
      <w:snapToGrid w:val="0"/>
      <w:jc w:val="center"/>
      <w:textAlignment w:val="baseline"/>
    </w:pPr>
    <w:rPr>
      <w:kern w:val="0"/>
      <w:sz w:val="18"/>
      <w:szCs w:val="18"/>
    </w:rPr>
  </w:style>
  <w:style w:type="paragraph" w:customStyle="1" w:styleId="336">
    <w:name w:val="Char Char1 Char Char Char Char Char Char Char Char Char Char Char Char Char Char Char Char Char Char Char Char1 Char2"/>
    <w:basedOn w:val="1"/>
    <w:qFormat/>
    <w:uiPriority w:val="0"/>
    <w:pPr>
      <w:spacing w:line="360" w:lineRule="auto"/>
      <w:ind w:firstLine="200" w:firstLineChars="200"/>
    </w:pPr>
    <w:rPr>
      <w:rFonts w:ascii="宋体" w:hAnsi="宋体" w:cs="宋体"/>
      <w:sz w:val="24"/>
    </w:rPr>
  </w:style>
  <w:style w:type="paragraph" w:customStyle="1" w:styleId="337">
    <w:name w:val="标题002"/>
    <w:basedOn w:val="1"/>
    <w:qFormat/>
    <w:uiPriority w:val="0"/>
    <w:pPr>
      <w:spacing w:before="60" w:line="460" w:lineRule="exact"/>
      <w:outlineLvl w:val="1"/>
    </w:pPr>
    <w:rPr>
      <w:b/>
      <w:sz w:val="28"/>
      <w:szCs w:val="20"/>
    </w:rPr>
  </w:style>
  <w:style w:type="paragraph" w:customStyle="1" w:styleId="338">
    <w:name w:val="Char Char1 Char Char Char Char Char Char Char Char Char Char Char Char Char Char Char Char Char Char Char Char1 Char"/>
    <w:basedOn w:val="1"/>
    <w:qFormat/>
    <w:uiPriority w:val="0"/>
    <w:pPr>
      <w:spacing w:line="360" w:lineRule="auto"/>
      <w:ind w:firstLine="200" w:firstLineChars="200"/>
    </w:pPr>
    <w:rPr>
      <w:rFonts w:ascii="宋体" w:hAnsi="宋体" w:cs="宋体"/>
      <w:sz w:val="24"/>
    </w:rPr>
  </w:style>
  <w:style w:type="paragraph" w:customStyle="1" w:styleId="339">
    <w:name w:val="表格下方正文"/>
    <w:basedOn w:val="1"/>
    <w:qFormat/>
    <w:uiPriority w:val="0"/>
    <w:pPr>
      <w:spacing w:before="260" w:line="460" w:lineRule="exact"/>
      <w:ind w:firstLine="200" w:firstLineChars="200"/>
    </w:pPr>
    <w:rPr>
      <w:sz w:val="24"/>
      <w:szCs w:val="20"/>
    </w:rPr>
  </w:style>
  <w:style w:type="paragraph" w:customStyle="1" w:styleId="340">
    <w:name w:val="font14"/>
    <w:basedOn w:val="1"/>
    <w:qFormat/>
    <w:uiPriority w:val="0"/>
    <w:pPr>
      <w:widowControl/>
      <w:spacing w:before="100" w:beforeAutospacing="1" w:after="100" w:afterAutospacing="1"/>
      <w:jc w:val="left"/>
    </w:pPr>
    <w:rPr>
      <w:rFonts w:hint="eastAsia" w:ascii="宋体" w:hAnsi="宋体"/>
      <w:kern w:val="0"/>
      <w:szCs w:val="21"/>
    </w:rPr>
  </w:style>
  <w:style w:type="paragraph" w:customStyle="1" w:styleId="341">
    <w:name w:val="表格内容格式"/>
    <w:basedOn w:val="1"/>
    <w:qFormat/>
    <w:uiPriority w:val="0"/>
    <w:pPr>
      <w:adjustRightInd w:val="0"/>
      <w:snapToGrid w:val="0"/>
      <w:jc w:val="center"/>
      <w:textAlignment w:val="baseline"/>
    </w:pPr>
    <w:rPr>
      <w:kern w:val="0"/>
      <w:szCs w:val="21"/>
    </w:rPr>
  </w:style>
  <w:style w:type="paragraph" w:customStyle="1" w:styleId="342">
    <w:name w:val="xl32"/>
    <w:basedOn w:val="1"/>
    <w:qFormat/>
    <w:uiPriority w:val="0"/>
    <w:pPr>
      <w:widowControl/>
      <w:pBdr>
        <w:top w:val="single" w:color="auto" w:sz="4" w:space="0"/>
        <w:left w:val="single" w:color="auto" w:sz="4" w:space="0"/>
        <w:bottom w:val="single" w:color="auto" w:sz="4" w:space="0"/>
        <w:right w:val="single" w:color="auto" w:sz="12" w:space="0"/>
      </w:pBdr>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343">
    <w:name w:val="样式 样式 样式 样式 样式 正文缩进 + 仿宋_GB2312 行距: 1.5 倍行距 + 首行缩进:  2 字符1 + 首行缩..."/>
    <w:basedOn w:val="1"/>
    <w:qFormat/>
    <w:uiPriority w:val="0"/>
    <w:pPr>
      <w:widowControl/>
      <w:spacing w:line="360" w:lineRule="auto"/>
      <w:ind w:firstLine="200" w:firstLineChars="200"/>
      <w:jc w:val="left"/>
    </w:pPr>
    <w:rPr>
      <w:rFonts w:ascii="仿宋_GB2312" w:hAnsi="仿宋_GB2312" w:cs="宋体"/>
      <w:sz w:val="24"/>
      <w:szCs w:val="20"/>
    </w:rPr>
  </w:style>
  <w:style w:type="paragraph" w:customStyle="1" w:styleId="344">
    <w:name w:val="注释标题1"/>
    <w:basedOn w:val="1"/>
    <w:next w:val="1"/>
    <w:qFormat/>
    <w:uiPriority w:val="0"/>
    <w:pPr>
      <w:adjustRightInd w:val="0"/>
      <w:spacing w:line="360" w:lineRule="auto"/>
      <w:ind w:firstLine="480" w:firstLineChars="200"/>
      <w:jc w:val="center"/>
      <w:textAlignment w:val="baseline"/>
    </w:pPr>
    <w:rPr>
      <w:rFonts w:ascii="宋体"/>
      <w:sz w:val="24"/>
      <w:szCs w:val="20"/>
    </w:rPr>
  </w:style>
  <w:style w:type="paragraph" w:customStyle="1" w:styleId="345">
    <w:name w:val="2级标题"/>
    <w:basedOn w:val="1"/>
    <w:qFormat/>
    <w:uiPriority w:val="0"/>
    <w:pPr>
      <w:spacing w:before="60" w:line="460" w:lineRule="exact"/>
      <w:outlineLvl w:val="1"/>
    </w:pPr>
    <w:rPr>
      <w:b/>
      <w:sz w:val="28"/>
      <w:szCs w:val="20"/>
    </w:rPr>
  </w:style>
  <w:style w:type="paragraph" w:customStyle="1" w:styleId="346">
    <w:name w:val="一级标题"/>
    <w:basedOn w:val="1"/>
    <w:qFormat/>
    <w:uiPriority w:val="0"/>
    <w:pPr>
      <w:spacing w:before="60" w:line="460" w:lineRule="exact"/>
      <w:outlineLvl w:val="0"/>
    </w:pPr>
    <w:rPr>
      <w:b/>
      <w:sz w:val="32"/>
    </w:rPr>
  </w:style>
  <w:style w:type="paragraph" w:customStyle="1" w:styleId="347">
    <w:name w:val="Char Char Char Char Char Char 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cs="宋体"/>
      <w:sz w:val="24"/>
    </w:rPr>
  </w:style>
  <w:style w:type="paragraph" w:customStyle="1" w:styleId="348">
    <w:name w:val="样式 1级标题 + Arial"/>
    <w:basedOn w:val="1"/>
    <w:qFormat/>
    <w:uiPriority w:val="0"/>
    <w:pPr>
      <w:spacing w:before="60" w:line="460" w:lineRule="atLeast"/>
      <w:outlineLvl w:val="0"/>
    </w:pPr>
    <w:rPr>
      <w:rFonts w:ascii="Arial" w:hAnsi="Arial"/>
      <w:b/>
      <w:bCs/>
      <w:sz w:val="32"/>
    </w:rPr>
  </w:style>
  <w:style w:type="paragraph" w:customStyle="1" w:styleId="349">
    <w:name w:val="Char Char Char Char Char Char Char Char Char Char Char Char Char"/>
    <w:basedOn w:val="1"/>
    <w:qFormat/>
    <w:uiPriority w:val="0"/>
    <w:pPr>
      <w:spacing w:line="360" w:lineRule="auto"/>
      <w:ind w:firstLine="200" w:firstLineChars="200"/>
    </w:pPr>
    <w:rPr>
      <w:rFonts w:ascii="宋体" w:hAnsi="宋体" w:cs="宋体"/>
      <w:sz w:val="24"/>
    </w:rPr>
  </w:style>
  <w:style w:type="paragraph" w:customStyle="1" w:styleId="350">
    <w:name w:val="刘正文"/>
    <w:basedOn w:val="1"/>
    <w:qFormat/>
    <w:uiPriority w:val="0"/>
    <w:pPr>
      <w:spacing w:line="500" w:lineRule="exact"/>
      <w:ind w:firstLine="567"/>
    </w:pPr>
    <w:rPr>
      <w:rFonts w:eastAsia="仿宋_GB2312"/>
      <w:color w:val="000000"/>
      <w:sz w:val="28"/>
      <w:szCs w:val="20"/>
    </w:rPr>
  </w:style>
  <w:style w:type="paragraph" w:customStyle="1" w:styleId="351">
    <w:name w:val="Char Char Char Char Char Char Char Char Char Char Char Char Char Char Char Char"/>
    <w:basedOn w:val="1"/>
    <w:qFormat/>
    <w:uiPriority w:val="0"/>
    <w:pPr>
      <w:spacing w:line="360" w:lineRule="auto"/>
      <w:ind w:firstLine="200" w:firstLineChars="200"/>
    </w:pPr>
    <w:rPr>
      <w:rFonts w:ascii="宋体" w:hAnsi="宋体" w:cs="宋体"/>
      <w:sz w:val="24"/>
    </w:rPr>
  </w:style>
  <w:style w:type="paragraph" w:customStyle="1" w:styleId="352">
    <w:name w:val="xl30"/>
    <w:basedOn w:val="1"/>
    <w:qFormat/>
    <w:uiPriority w:val="0"/>
    <w:pPr>
      <w:widowControl/>
      <w:pBdr>
        <w:top w:val="single" w:color="auto" w:sz="4" w:space="0"/>
        <w:left w:val="single" w:color="auto" w:sz="12" w:space="0"/>
        <w:bottom w:val="single" w:color="auto" w:sz="4" w:space="0"/>
        <w:right w:val="single" w:color="auto" w:sz="4" w:space="0"/>
      </w:pBdr>
      <w:spacing w:before="100" w:beforeAutospacing="1" w:after="100" w:afterAutospacing="1"/>
      <w:jc w:val="center"/>
    </w:pPr>
    <w:rPr>
      <w:rFonts w:hint="eastAsia" w:ascii="仿宋_GB2312" w:hAnsi="宋体" w:eastAsia="仿宋_GB2312"/>
      <w:kern w:val="0"/>
      <w:sz w:val="20"/>
      <w:szCs w:val="20"/>
    </w:rPr>
  </w:style>
  <w:style w:type="paragraph" w:customStyle="1" w:styleId="353">
    <w:name w:val="章"/>
    <w:basedOn w:val="1"/>
    <w:qFormat/>
    <w:uiPriority w:val="0"/>
    <w:pPr>
      <w:adjustRightInd w:val="0"/>
      <w:spacing w:line="480" w:lineRule="atLeast"/>
      <w:textAlignment w:val="baseline"/>
    </w:pPr>
    <w:rPr>
      <w:rFonts w:ascii="Arial Rounded MT Bold"/>
      <w:spacing w:val="6"/>
      <w:kern w:val="0"/>
      <w:sz w:val="36"/>
      <w:szCs w:val="20"/>
    </w:rPr>
  </w:style>
  <w:style w:type="paragraph" w:customStyle="1" w:styleId="354">
    <w:name w:val="标题001"/>
    <w:basedOn w:val="1"/>
    <w:qFormat/>
    <w:uiPriority w:val="0"/>
    <w:pPr>
      <w:spacing w:before="60" w:line="460" w:lineRule="exact"/>
      <w:outlineLvl w:val="0"/>
    </w:pPr>
    <w:rPr>
      <w:b/>
      <w:sz w:val="32"/>
      <w:szCs w:val="20"/>
    </w:rPr>
  </w:style>
  <w:style w:type="paragraph" w:customStyle="1" w:styleId="355">
    <w:name w:val="提头"/>
    <w:basedOn w:val="1"/>
    <w:next w:val="1"/>
    <w:qFormat/>
    <w:uiPriority w:val="0"/>
    <w:pPr>
      <w:numPr>
        <w:ilvl w:val="4"/>
        <w:numId w:val="2"/>
      </w:numPr>
      <w:spacing w:line="360" w:lineRule="auto"/>
      <w:jc w:val="center"/>
    </w:pPr>
    <w:rPr>
      <w:b/>
      <w:sz w:val="24"/>
    </w:rPr>
  </w:style>
  <w:style w:type="paragraph" w:customStyle="1" w:styleId="356">
    <w:name w:val="表格内容"/>
    <w:basedOn w:val="1"/>
    <w:qFormat/>
    <w:uiPriority w:val="0"/>
    <w:pPr>
      <w:overflowPunct w:val="0"/>
      <w:adjustRightInd w:val="0"/>
      <w:spacing w:before="40" w:after="60" w:line="200" w:lineRule="atLeast"/>
      <w:textAlignment w:val="baseline"/>
    </w:pPr>
    <w:rPr>
      <w:rFonts w:ascii="Arial" w:hAnsi="Arial" w:eastAsia="仿宋_GB2312"/>
      <w:kern w:val="0"/>
      <w:sz w:val="24"/>
      <w:szCs w:val="20"/>
    </w:rPr>
  </w:style>
  <w:style w:type="paragraph" w:customStyle="1" w:styleId="357">
    <w:name w:val="标题3 Char Char Char Char"/>
    <w:basedOn w:val="1"/>
    <w:qFormat/>
    <w:uiPriority w:val="0"/>
    <w:pPr>
      <w:spacing w:afterLines="50" w:line="560" w:lineRule="exact"/>
    </w:pPr>
    <w:rPr>
      <w:rFonts w:eastAsia="黑体"/>
      <w:sz w:val="30"/>
      <w:szCs w:val="30"/>
    </w:rPr>
  </w:style>
  <w:style w:type="paragraph" w:customStyle="1" w:styleId="358">
    <w:name w:val="1标题3级"/>
    <w:basedOn w:val="1"/>
    <w:qFormat/>
    <w:uiPriority w:val="0"/>
    <w:pPr>
      <w:snapToGrid w:val="0"/>
      <w:spacing w:line="360" w:lineRule="auto"/>
      <w:outlineLvl w:val="2"/>
    </w:pPr>
    <w:rPr>
      <w:rFonts w:eastAsia="仿宋_GB2312"/>
      <w:b/>
      <w:sz w:val="30"/>
      <w:szCs w:val="20"/>
    </w:rPr>
  </w:style>
  <w:style w:type="paragraph" w:customStyle="1" w:styleId="359">
    <w:name w:val="font10"/>
    <w:basedOn w:val="1"/>
    <w:qFormat/>
    <w:uiPriority w:val="0"/>
    <w:pPr>
      <w:widowControl/>
      <w:spacing w:before="100" w:beforeAutospacing="1" w:after="100" w:afterAutospacing="1"/>
      <w:jc w:val="left"/>
    </w:pPr>
    <w:rPr>
      <w:color w:val="FF00FF"/>
      <w:kern w:val="0"/>
      <w:szCs w:val="21"/>
    </w:rPr>
  </w:style>
  <w:style w:type="paragraph" w:customStyle="1" w:styleId="360">
    <w:name w:val="Char"/>
    <w:basedOn w:val="1"/>
    <w:next w:val="1"/>
    <w:qFormat/>
    <w:uiPriority w:val="0"/>
  </w:style>
  <w:style w:type="paragraph" w:customStyle="1" w:styleId="361">
    <w:name w:val="正文(首行缩进)"/>
    <w:basedOn w:val="1"/>
    <w:qFormat/>
    <w:uiPriority w:val="0"/>
    <w:pPr>
      <w:spacing w:line="360" w:lineRule="auto"/>
      <w:ind w:firstLine="510"/>
    </w:pPr>
    <w:rPr>
      <w:rFonts w:ascii="宋体" w:hAnsi="宋体"/>
      <w:snapToGrid w:val="0"/>
      <w:kern w:val="0"/>
      <w:sz w:val="24"/>
    </w:rPr>
  </w:style>
  <w:style w:type="paragraph" w:customStyle="1" w:styleId="362">
    <w:name w:val="3"/>
    <w:basedOn w:val="1"/>
    <w:qFormat/>
    <w:uiPriority w:val="0"/>
    <w:pPr>
      <w:ind w:firstLine="420"/>
    </w:pPr>
    <w:rPr>
      <w:szCs w:val="20"/>
    </w:rPr>
  </w:style>
  <w:style w:type="paragraph" w:customStyle="1" w:styleId="363">
    <w:name w:val="一"/>
    <w:basedOn w:val="67"/>
    <w:qFormat/>
    <w:uiPriority w:val="0"/>
    <w:pPr>
      <w:topLinePunct w:val="0"/>
      <w:adjustRightInd/>
      <w:snapToGrid/>
      <w:ind w:firstLine="200" w:firstLineChars="200"/>
      <w:textAlignment w:val="auto"/>
    </w:pPr>
    <w:rPr>
      <w:rFonts w:eastAsia="仿宋_GB2312"/>
    </w:rPr>
  </w:style>
  <w:style w:type="paragraph" w:customStyle="1" w:styleId="364">
    <w:name w:val="索引 11"/>
    <w:basedOn w:val="1"/>
    <w:next w:val="1"/>
    <w:qFormat/>
    <w:uiPriority w:val="0"/>
  </w:style>
  <w:style w:type="paragraph" w:customStyle="1" w:styleId="365">
    <w:name w:val="xl33"/>
    <w:basedOn w:val="1"/>
    <w:qFormat/>
    <w:uiPriority w:val="0"/>
    <w:pPr>
      <w:widowControl/>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366">
    <w:name w:val="样式 标题 2节（2级）H22nd levelh2Header 2（一）第一章 标题 2Heading 2 Hi..."/>
    <w:basedOn w:val="4"/>
    <w:qFormat/>
    <w:uiPriority w:val="0"/>
    <w:pPr>
      <w:spacing w:before="0" w:after="0" w:line="480" w:lineRule="auto"/>
    </w:pPr>
    <w:rPr>
      <w:rFonts w:ascii="Times New Roman" w:hAnsi="Times New Roman" w:eastAsia="楷体_GB2312" w:cs="宋体"/>
      <w:color w:val="000000"/>
      <w:sz w:val="28"/>
      <w:szCs w:val="20"/>
    </w:rPr>
  </w:style>
  <w:style w:type="paragraph" w:customStyle="1" w:styleId="367">
    <w:name w:val="正文缩进2"/>
    <w:basedOn w:val="1"/>
    <w:qFormat/>
    <w:uiPriority w:val="0"/>
    <w:pPr>
      <w:autoSpaceDE w:val="0"/>
      <w:autoSpaceDN w:val="0"/>
      <w:adjustRightInd w:val="0"/>
      <w:ind w:firstLine="567"/>
      <w:textAlignment w:val="baseline"/>
    </w:pPr>
    <w:rPr>
      <w:sz w:val="28"/>
    </w:rPr>
  </w:style>
  <w:style w:type="paragraph" w:customStyle="1" w:styleId="368">
    <w:name w:val="Char5"/>
    <w:basedOn w:val="1"/>
    <w:qFormat/>
    <w:uiPriority w:val="0"/>
    <w:pPr>
      <w:spacing w:line="360" w:lineRule="auto"/>
      <w:ind w:firstLine="200" w:firstLineChars="200"/>
    </w:pPr>
    <w:rPr>
      <w:rFonts w:ascii="宋体" w:hAnsi="宋体" w:cs="宋体"/>
      <w:sz w:val="24"/>
    </w:rPr>
  </w:style>
  <w:style w:type="paragraph" w:customStyle="1" w:styleId="369">
    <w:name w:val="6"/>
    <w:basedOn w:val="1"/>
    <w:next w:val="30"/>
    <w:qFormat/>
    <w:uiPriority w:val="0"/>
    <w:rPr>
      <w:rFonts w:hint="eastAsia" w:ascii="宋体" w:hAnsi="Courier New"/>
      <w:szCs w:val="20"/>
    </w:rPr>
  </w:style>
  <w:style w:type="paragraph" w:customStyle="1" w:styleId="370">
    <w:name w:val="font0"/>
    <w:basedOn w:val="1"/>
    <w:qFormat/>
    <w:uiPriority w:val="0"/>
    <w:pPr>
      <w:widowControl/>
      <w:spacing w:before="100" w:beforeAutospacing="1" w:after="100" w:afterAutospacing="1"/>
      <w:jc w:val="left"/>
    </w:pPr>
    <w:rPr>
      <w:rFonts w:hint="eastAsia" w:ascii="宋体" w:hAnsi="宋体"/>
      <w:kern w:val="0"/>
      <w:sz w:val="24"/>
    </w:rPr>
  </w:style>
  <w:style w:type="paragraph" w:customStyle="1" w:styleId="371">
    <w:name w:val="Char Char Char Char Char Char3"/>
    <w:basedOn w:val="1"/>
    <w:qFormat/>
    <w:uiPriority w:val="0"/>
    <w:rPr>
      <w:sz w:val="24"/>
    </w:rPr>
  </w:style>
  <w:style w:type="paragraph" w:customStyle="1" w:styleId="372">
    <w:name w:val="Char Char Char1 Char Char Char Char"/>
    <w:basedOn w:val="1"/>
    <w:qFormat/>
    <w:uiPriority w:val="0"/>
    <w:pPr>
      <w:spacing w:line="360" w:lineRule="auto"/>
      <w:ind w:firstLine="200" w:firstLineChars="200"/>
    </w:pPr>
    <w:rPr>
      <w:rFonts w:ascii="宋体" w:hAnsi="宋体" w:cs="宋体"/>
      <w:sz w:val="24"/>
    </w:rPr>
  </w:style>
  <w:style w:type="paragraph" w:customStyle="1" w:styleId="373">
    <w:name w:val="表文"/>
    <w:basedOn w:val="1"/>
    <w:qFormat/>
    <w:uiPriority w:val="0"/>
    <w:pPr>
      <w:adjustRightInd w:val="0"/>
      <w:spacing w:line="360" w:lineRule="exact"/>
      <w:jc w:val="center"/>
      <w:textAlignment w:val="baseline"/>
    </w:pPr>
    <w:rPr>
      <w:spacing w:val="12"/>
      <w:kern w:val="0"/>
      <w:szCs w:val="21"/>
    </w:rPr>
  </w:style>
  <w:style w:type="paragraph" w:customStyle="1" w:styleId="374">
    <w:name w:val="标题11"/>
    <w:basedOn w:val="312"/>
    <w:qFormat/>
    <w:uiPriority w:val="0"/>
  </w:style>
  <w:style w:type="paragraph" w:customStyle="1" w:styleId="375">
    <w:name w:val="Char Char Char Char Char Char3 Char Char Char Char Char Char Char"/>
    <w:basedOn w:val="1"/>
    <w:next w:val="1"/>
    <w:qFormat/>
    <w:uiPriority w:val="0"/>
    <w:rPr>
      <w:rFonts w:eastAsia="黑体"/>
      <w:sz w:val="28"/>
    </w:rPr>
  </w:style>
  <w:style w:type="paragraph" w:customStyle="1" w:styleId="376">
    <w:name w:val="4"/>
    <w:basedOn w:val="1"/>
    <w:qFormat/>
    <w:uiPriority w:val="0"/>
    <w:pPr>
      <w:widowControl/>
      <w:spacing w:line="480" w:lineRule="exact"/>
      <w:ind w:firstLine="560" w:firstLineChars="200"/>
    </w:pPr>
    <w:rPr>
      <w:rFonts w:eastAsia="仿宋_GB2312"/>
      <w:color w:val="000000"/>
      <w:kern w:val="0"/>
      <w:sz w:val="28"/>
      <w:szCs w:val="28"/>
    </w:rPr>
  </w:style>
  <w:style w:type="paragraph" w:customStyle="1" w:styleId="377">
    <w:name w:val="font6"/>
    <w:basedOn w:val="1"/>
    <w:qFormat/>
    <w:uiPriority w:val="0"/>
    <w:pPr>
      <w:widowControl/>
      <w:spacing w:before="100" w:beforeAutospacing="1" w:after="100" w:afterAutospacing="1"/>
      <w:jc w:val="left"/>
    </w:pPr>
    <w:rPr>
      <w:rFonts w:hint="eastAsia" w:ascii="宋体" w:hAnsi="宋体"/>
      <w:kern w:val="0"/>
      <w:sz w:val="18"/>
      <w:szCs w:val="18"/>
    </w:rPr>
  </w:style>
  <w:style w:type="paragraph" w:customStyle="1" w:styleId="378">
    <w:name w:val="WW-普通文字"/>
    <w:basedOn w:val="1"/>
    <w:qFormat/>
    <w:uiPriority w:val="0"/>
    <w:pPr>
      <w:suppressAutoHyphens/>
    </w:pPr>
    <w:rPr>
      <w:rFonts w:ascii="宋体" w:hAnsi="宋体"/>
      <w:kern w:val="1"/>
      <w:sz w:val="24"/>
      <w:szCs w:val="20"/>
    </w:rPr>
  </w:style>
  <w:style w:type="paragraph" w:customStyle="1" w:styleId="379">
    <w:name w:val="p17"/>
    <w:basedOn w:val="1"/>
    <w:qFormat/>
    <w:uiPriority w:val="0"/>
    <w:pPr>
      <w:widowControl/>
      <w:jc w:val="left"/>
    </w:pPr>
    <w:rPr>
      <w:b/>
      <w:bCs/>
      <w:kern w:val="0"/>
      <w:sz w:val="28"/>
      <w:szCs w:val="28"/>
    </w:rPr>
  </w:style>
  <w:style w:type="paragraph" w:customStyle="1" w:styleId="380">
    <w:name w:val="正文样式"/>
    <w:basedOn w:val="1"/>
    <w:qFormat/>
    <w:uiPriority w:val="0"/>
    <w:pPr>
      <w:spacing w:line="360" w:lineRule="auto"/>
      <w:ind w:firstLine="480" w:firstLineChars="200"/>
    </w:pPr>
    <w:rPr>
      <w:sz w:val="24"/>
      <w:szCs w:val="20"/>
    </w:rPr>
  </w:style>
  <w:style w:type="paragraph" w:customStyle="1" w:styleId="381">
    <w:name w:val="样式 普通文字 + 首行缩进:  2 字符"/>
    <w:basedOn w:val="1"/>
    <w:qFormat/>
    <w:uiPriority w:val="0"/>
    <w:pPr>
      <w:spacing w:line="480" w:lineRule="exact"/>
      <w:ind w:firstLine="512" w:firstLineChars="200"/>
    </w:pPr>
    <w:rPr>
      <w:rFonts w:cs="宋体"/>
      <w:sz w:val="24"/>
      <w:szCs w:val="20"/>
    </w:rPr>
  </w:style>
  <w:style w:type="paragraph" w:customStyle="1" w:styleId="382">
    <w:name w:val="Char4"/>
    <w:basedOn w:val="1"/>
    <w:qFormat/>
    <w:uiPriority w:val="0"/>
    <w:pPr>
      <w:spacing w:line="360" w:lineRule="auto"/>
      <w:ind w:firstLine="200" w:firstLineChars="200"/>
    </w:pPr>
    <w:rPr>
      <w:rFonts w:ascii="宋体" w:hAnsi="宋体" w:cs="宋体"/>
      <w:sz w:val="24"/>
    </w:rPr>
  </w:style>
  <w:style w:type="paragraph" w:customStyle="1" w:styleId="383">
    <w:name w:val="xl22"/>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color w:val="0000FF"/>
      <w:kern w:val="0"/>
      <w:szCs w:val="21"/>
    </w:rPr>
  </w:style>
  <w:style w:type="paragraph" w:customStyle="1" w:styleId="384">
    <w:name w:val="样式1"/>
    <w:basedOn w:val="1"/>
    <w:qFormat/>
    <w:uiPriority w:val="0"/>
    <w:pPr>
      <w:spacing w:before="60" w:line="460" w:lineRule="exact"/>
      <w:outlineLvl w:val="0"/>
    </w:pPr>
    <w:rPr>
      <w:rFonts w:ascii="Arial" w:hAnsi="Arial"/>
      <w:b/>
      <w:color w:val="000000"/>
      <w:sz w:val="32"/>
      <w:szCs w:val="20"/>
    </w:rPr>
  </w:style>
  <w:style w:type="paragraph" w:customStyle="1" w:styleId="385">
    <w:name w:val="xl48"/>
    <w:basedOn w:val="1"/>
    <w:qFormat/>
    <w:uiPriority w:val="0"/>
    <w:pPr>
      <w:widowControl/>
      <w:pBdr>
        <w:bottom w:val="single" w:color="auto" w:sz="4" w:space="0"/>
        <w:right w:val="single" w:color="auto" w:sz="4" w:space="0"/>
      </w:pBdr>
      <w:spacing w:before="100" w:beforeAutospacing="1" w:after="100" w:afterAutospacing="1"/>
      <w:jc w:val="center"/>
    </w:pPr>
    <w:rPr>
      <w:color w:val="FF00FF"/>
      <w:kern w:val="0"/>
      <w:sz w:val="20"/>
      <w:szCs w:val="20"/>
    </w:rPr>
  </w:style>
  <w:style w:type="paragraph" w:customStyle="1" w:styleId="386">
    <w:name w:val="正文my"/>
    <w:basedOn w:val="159"/>
    <w:qFormat/>
    <w:uiPriority w:val="0"/>
    <w:pPr>
      <w:spacing w:line="480" w:lineRule="exact"/>
      <w:ind w:firstLine="200"/>
    </w:pPr>
  </w:style>
  <w:style w:type="paragraph" w:customStyle="1" w:styleId="387">
    <w:name w:val="Char Char1 Char Char Char Char Char Char Char Char Char Char Char Char Char Char Char Char Char Char"/>
    <w:basedOn w:val="1"/>
    <w:qFormat/>
    <w:uiPriority w:val="0"/>
    <w:pPr>
      <w:spacing w:line="360" w:lineRule="auto"/>
      <w:ind w:firstLine="200" w:firstLineChars="200"/>
    </w:pPr>
    <w:rPr>
      <w:rFonts w:ascii="宋体" w:hAnsi="宋体" w:cs="宋体"/>
      <w:sz w:val="24"/>
    </w:rPr>
  </w:style>
  <w:style w:type="paragraph" w:customStyle="1" w:styleId="388">
    <w:name w:val="我22"/>
    <w:basedOn w:val="374"/>
    <w:qFormat/>
    <w:uiPriority w:val="0"/>
    <w:rPr>
      <w:rFonts w:eastAsia="黑体"/>
      <w:sz w:val="32"/>
    </w:rPr>
  </w:style>
  <w:style w:type="paragraph" w:customStyle="1" w:styleId="389">
    <w:name w:val="xl24"/>
    <w:basedOn w:val="1"/>
    <w:qFormat/>
    <w:uiPriority w:val="0"/>
    <w:pPr>
      <w:widowControl/>
      <w:spacing w:before="100" w:after="100" w:line="360" w:lineRule="auto"/>
      <w:ind w:firstLine="200" w:firstLineChars="200"/>
      <w:jc w:val="center"/>
      <w:textAlignment w:val="center"/>
    </w:pPr>
    <w:rPr>
      <w:rFonts w:ascii="宋体" w:hAnsi="宋体"/>
      <w:kern w:val="0"/>
      <w:sz w:val="24"/>
    </w:rPr>
  </w:style>
  <w:style w:type="paragraph" w:customStyle="1" w:styleId="390">
    <w:name w:val="7"/>
    <w:basedOn w:val="1"/>
    <w:qFormat/>
    <w:uiPriority w:val="0"/>
  </w:style>
  <w:style w:type="paragraph" w:customStyle="1" w:styleId="391">
    <w:name w:val="样式8"/>
    <w:basedOn w:val="48"/>
    <w:qFormat/>
    <w:uiPriority w:val="0"/>
    <w:pPr>
      <w:pageBreakBefore w:val="0"/>
    </w:pPr>
    <w:rPr>
      <w:rFonts w:ascii="Arial" w:hAnsi="Arial" w:cs="Arial"/>
      <w:bCs/>
      <w:sz w:val="32"/>
      <w:szCs w:val="32"/>
    </w:rPr>
  </w:style>
  <w:style w:type="paragraph" w:customStyle="1" w:styleId="392">
    <w:name w:val="表格正文"/>
    <w:basedOn w:val="1"/>
    <w:qFormat/>
    <w:uiPriority w:val="0"/>
    <w:pPr>
      <w:spacing w:line="360" w:lineRule="exact"/>
      <w:jc w:val="center"/>
    </w:pPr>
  </w:style>
  <w:style w:type="paragraph" w:customStyle="1" w:styleId="393">
    <w:name w:val="注解"/>
    <w:basedOn w:val="288"/>
    <w:qFormat/>
    <w:uiPriority w:val="0"/>
    <w:pPr>
      <w:spacing w:line="360" w:lineRule="exact"/>
      <w:ind w:firstLine="200" w:firstLineChars="200"/>
      <w:jc w:val="both"/>
    </w:pPr>
    <w:rPr>
      <w:sz w:val="21"/>
    </w:rPr>
  </w:style>
  <w:style w:type="paragraph" w:customStyle="1" w:styleId="394">
    <w:name w:val="xl5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cs="宋体"/>
      <w:kern w:val="0"/>
      <w:sz w:val="18"/>
      <w:szCs w:val="18"/>
    </w:rPr>
  </w:style>
  <w:style w:type="paragraph" w:customStyle="1" w:styleId="395">
    <w:name w:val="样式11"/>
    <w:basedOn w:val="1"/>
    <w:qFormat/>
    <w:uiPriority w:val="0"/>
    <w:pPr>
      <w:spacing w:line="520" w:lineRule="exact"/>
      <w:ind w:firstLine="480" w:firstLineChars="200"/>
    </w:pPr>
    <w:rPr>
      <w:rFonts w:hAnsi="宋体"/>
      <w:color w:val="000000"/>
      <w:sz w:val="24"/>
    </w:rPr>
  </w:style>
  <w:style w:type="paragraph" w:customStyle="1" w:styleId="396">
    <w:name w:val="font16"/>
    <w:basedOn w:val="1"/>
    <w:qFormat/>
    <w:uiPriority w:val="0"/>
    <w:pPr>
      <w:widowControl/>
      <w:spacing w:before="100" w:beforeAutospacing="1" w:after="100" w:afterAutospacing="1"/>
      <w:jc w:val="left"/>
    </w:pPr>
    <w:rPr>
      <w:color w:val="800080"/>
      <w:kern w:val="0"/>
      <w:szCs w:val="21"/>
    </w:rPr>
  </w:style>
  <w:style w:type="paragraph" w:customStyle="1" w:styleId="397">
    <w:name w:val="列出段落1"/>
    <w:basedOn w:val="1"/>
    <w:qFormat/>
    <w:uiPriority w:val="0"/>
    <w:pPr>
      <w:ind w:firstLine="420" w:firstLineChars="200"/>
    </w:pPr>
    <w:rPr>
      <w:rFonts w:ascii="Calibri" w:hAnsi="Calibri"/>
      <w:szCs w:val="22"/>
    </w:rPr>
  </w:style>
  <w:style w:type="paragraph" w:customStyle="1" w:styleId="398">
    <w:name w:val="xl35"/>
    <w:basedOn w:val="1"/>
    <w:qFormat/>
    <w:uiPriority w:val="0"/>
    <w:pPr>
      <w:widowControl/>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399">
    <w:name w:val="xl46"/>
    <w:basedOn w:val="1"/>
    <w:qFormat/>
    <w:uiPriority w:val="0"/>
    <w:pPr>
      <w:widowControl/>
      <w:pBdr>
        <w:top w:val="single" w:color="auto" w:sz="4" w:space="0"/>
        <w:left w:val="single" w:color="auto" w:sz="4" w:space="0"/>
        <w:bottom w:val="single" w:color="auto" w:sz="12" w:space="0"/>
        <w:right w:val="single" w:color="auto" w:sz="12" w:space="0"/>
      </w:pBdr>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400">
    <w:name w:val="Char Char1 Char Char Char Char Char Char1"/>
    <w:basedOn w:val="1"/>
    <w:qFormat/>
    <w:uiPriority w:val="0"/>
    <w:pPr>
      <w:spacing w:line="360" w:lineRule="auto"/>
      <w:ind w:firstLine="200" w:firstLineChars="200"/>
    </w:pPr>
    <w:rPr>
      <w:rFonts w:ascii="宋体" w:hAnsi="宋体" w:cs="宋体"/>
      <w:sz w:val="24"/>
    </w:rPr>
  </w:style>
  <w:style w:type="paragraph" w:customStyle="1" w:styleId="401">
    <w:name w:val="font9"/>
    <w:basedOn w:val="1"/>
    <w:qFormat/>
    <w:uiPriority w:val="0"/>
    <w:pPr>
      <w:widowControl/>
      <w:spacing w:before="100" w:beforeAutospacing="1" w:after="100" w:afterAutospacing="1"/>
      <w:jc w:val="left"/>
    </w:pPr>
    <w:rPr>
      <w:rFonts w:hint="eastAsia" w:ascii="宋体" w:hAnsi="宋体"/>
      <w:color w:val="000080"/>
      <w:kern w:val="0"/>
      <w:sz w:val="24"/>
    </w:rPr>
  </w:style>
  <w:style w:type="paragraph" w:customStyle="1" w:styleId="402">
    <w:name w:val="样式9"/>
    <w:basedOn w:val="121"/>
    <w:qFormat/>
    <w:uiPriority w:val="0"/>
    <w:pPr>
      <w:spacing w:line="520" w:lineRule="exact"/>
    </w:pPr>
  </w:style>
  <w:style w:type="paragraph" w:customStyle="1" w:styleId="403">
    <w:name w:val="敬启者："/>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04">
    <w:name w:val="Default"/>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405">
    <w:name w:val="xl36"/>
    <w:basedOn w:val="1"/>
    <w:qFormat/>
    <w:uiPriority w:val="0"/>
    <w:pPr>
      <w:widowControl/>
      <w:pBdr>
        <w:top w:val="single" w:color="auto" w:sz="4" w:space="0"/>
        <w:left w:val="single" w:color="auto" w:sz="12" w:space="0"/>
        <w:bottom w:val="single" w:color="auto" w:sz="4" w:space="0"/>
        <w:right w:val="single" w:color="auto" w:sz="4" w:space="0"/>
      </w:pBdr>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406">
    <w:name w:val="xl34"/>
    <w:basedOn w:val="1"/>
    <w:qFormat/>
    <w:uiPriority w:val="0"/>
    <w:pPr>
      <w:widowControl/>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407">
    <w:name w:val="Char Char Char1 Char Char Char Char Char Char Char Char Char Char1"/>
    <w:basedOn w:val="1"/>
    <w:qFormat/>
    <w:uiPriority w:val="0"/>
    <w:rPr>
      <w:szCs w:val="21"/>
    </w:rPr>
  </w:style>
  <w:style w:type="paragraph" w:customStyle="1" w:styleId="408">
    <w:name w:val="Body Text 22"/>
    <w:basedOn w:val="1"/>
    <w:qFormat/>
    <w:uiPriority w:val="0"/>
    <w:pPr>
      <w:adjustRightInd w:val="0"/>
      <w:spacing w:line="440" w:lineRule="atLeast"/>
      <w:ind w:firstLine="480"/>
      <w:textAlignment w:val="baseline"/>
    </w:pPr>
    <w:rPr>
      <w:rFonts w:eastAsia="仿宋_GB2312"/>
      <w:sz w:val="24"/>
      <w:szCs w:val="20"/>
    </w:rPr>
  </w:style>
  <w:style w:type="paragraph" w:customStyle="1" w:styleId="409">
    <w:name w:val="Char Char Char Char Char Char Char Char Char"/>
    <w:basedOn w:val="1"/>
    <w:qFormat/>
    <w:uiPriority w:val="0"/>
    <w:pPr>
      <w:spacing w:line="360" w:lineRule="auto"/>
      <w:ind w:firstLine="200" w:firstLineChars="200"/>
    </w:pPr>
    <w:rPr>
      <w:rFonts w:ascii="宋体" w:hAnsi="宋体" w:cs="宋体"/>
      <w:sz w:val="24"/>
    </w:rPr>
  </w:style>
  <w:style w:type="paragraph" w:customStyle="1" w:styleId="410">
    <w:name w:val="列表 21"/>
    <w:basedOn w:val="1"/>
    <w:qFormat/>
    <w:uiPriority w:val="0"/>
    <w:pPr>
      <w:ind w:left="100" w:leftChars="200" w:hanging="200" w:hangingChars="200"/>
    </w:pPr>
    <w:rPr>
      <w:rFonts w:eastAsia="仿宋_GB2312"/>
      <w:sz w:val="28"/>
      <w:szCs w:val="20"/>
    </w:rPr>
  </w:style>
  <w:style w:type="paragraph" w:customStyle="1" w:styleId="411">
    <w:name w:val="表格001"/>
    <w:basedOn w:val="1"/>
    <w:qFormat/>
    <w:uiPriority w:val="0"/>
    <w:pPr>
      <w:spacing w:line="360" w:lineRule="exact"/>
      <w:jc w:val="center"/>
    </w:pPr>
    <w:rPr>
      <w:szCs w:val="20"/>
    </w:rPr>
  </w:style>
  <w:style w:type="paragraph" w:customStyle="1" w:styleId="412">
    <w:name w:val="1.4"/>
    <w:basedOn w:val="1"/>
    <w:qFormat/>
    <w:uiPriority w:val="0"/>
    <w:pPr>
      <w:widowControl/>
      <w:spacing w:line="288" w:lineRule="auto"/>
      <w:ind w:left="3" w:firstLine="503"/>
    </w:pPr>
    <w:rPr>
      <w:rFonts w:ascii="宋体" w:hAnsi="宋体"/>
      <w:kern w:val="0"/>
      <w:sz w:val="24"/>
      <w:szCs w:val="26"/>
    </w:rPr>
  </w:style>
  <w:style w:type="paragraph" w:customStyle="1" w:styleId="413">
    <w:name w:val="注释"/>
    <w:basedOn w:val="74"/>
    <w:qFormat/>
    <w:uiPriority w:val="0"/>
    <w:pPr>
      <w:spacing w:before="0" w:line="360" w:lineRule="exact"/>
    </w:pPr>
    <w:rPr>
      <w:sz w:val="21"/>
    </w:rPr>
  </w:style>
  <w:style w:type="paragraph" w:customStyle="1" w:styleId="414">
    <w:name w:val="xl49"/>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宋体" w:hAnsi="宋体"/>
      <w:color w:val="800080"/>
      <w:kern w:val="0"/>
      <w:szCs w:val="21"/>
    </w:rPr>
  </w:style>
  <w:style w:type="paragraph" w:customStyle="1" w:styleId="415">
    <w:name w:val="普通(网站)1"/>
    <w:basedOn w:val="1"/>
    <w:qFormat/>
    <w:uiPriority w:val="0"/>
    <w:pPr>
      <w:widowControl/>
      <w:spacing w:before="100" w:beforeAutospacing="1" w:after="100" w:afterAutospacing="1"/>
      <w:jc w:val="left"/>
    </w:pPr>
    <w:rPr>
      <w:rFonts w:ascii="宋体" w:hAnsi="宋体" w:cs="宋体"/>
      <w:color w:val="000000"/>
      <w:kern w:val="0"/>
      <w:sz w:val="24"/>
    </w:rPr>
  </w:style>
  <w:style w:type="paragraph" w:customStyle="1" w:styleId="416">
    <w:name w:val="小注"/>
    <w:basedOn w:val="8"/>
    <w:qFormat/>
    <w:uiPriority w:val="0"/>
    <w:pPr>
      <w:widowControl/>
      <w:autoSpaceDE/>
      <w:autoSpaceDN/>
      <w:snapToGrid w:val="0"/>
      <w:spacing w:before="50" w:after="100"/>
      <w:ind w:firstLine="539"/>
      <w:textAlignment w:val="auto"/>
    </w:pPr>
    <w:rPr>
      <w:rFonts w:ascii="宋体"/>
      <w:spacing w:val="4"/>
      <w:sz w:val="18"/>
    </w:rPr>
  </w:style>
  <w:style w:type="paragraph" w:customStyle="1" w:styleId="417">
    <w:name w:val="xl26"/>
    <w:basedOn w:val="1"/>
    <w:qFormat/>
    <w:uiPriority w:val="0"/>
    <w:pPr>
      <w:widowControl/>
      <w:spacing w:before="100" w:beforeAutospacing="1" w:after="100" w:afterAutospacing="1"/>
      <w:jc w:val="center"/>
      <w:textAlignment w:val="center"/>
    </w:pPr>
    <w:rPr>
      <w:rFonts w:hint="eastAsia" w:ascii="仿宋_GB2312" w:hAnsi="宋体" w:eastAsia="仿宋_GB2312"/>
      <w:kern w:val="0"/>
      <w:sz w:val="22"/>
      <w:szCs w:val="22"/>
    </w:rPr>
  </w:style>
  <w:style w:type="paragraph" w:customStyle="1" w:styleId="418">
    <w:name w:val="Char Char Char1 Char Char Char Char Char Char Char Char Char Char2"/>
    <w:basedOn w:val="1"/>
    <w:qFormat/>
    <w:uiPriority w:val="0"/>
    <w:rPr>
      <w:szCs w:val="21"/>
    </w:rPr>
  </w:style>
  <w:style w:type="paragraph" w:customStyle="1" w:styleId="419">
    <w:name w:val="样式 表格文字居中 + 五号"/>
    <w:basedOn w:val="98"/>
    <w:qFormat/>
    <w:uiPriority w:val="0"/>
    <w:pPr>
      <w:adjustRightInd/>
      <w:snapToGrid/>
      <w:spacing w:beforeLines="0" w:afterLines="0"/>
    </w:pPr>
    <w:rPr>
      <w:rFonts w:cs="宋体"/>
      <w:color w:val="76923C"/>
      <w:spacing w:val="-6"/>
      <w:sz w:val="21"/>
      <w:szCs w:val="21"/>
    </w:rPr>
  </w:style>
  <w:style w:type="paragraph" w:customStyle="1" w:styleId="420">
    <w:name w:val="样式 标题 3白鹤滩标题 3白鹤滩3条标题1.1.13h33rd levelH3l3CT小标题龙开口 3..."/>
    <w:basedOn w:val="5"/>
    <w:qFormat/>
    <w:uiPriority w:val="0"/>
    <w:pPr>
      <w:adjustRightInd w:val="0"/>
      <w:snapToGrid w:val="0"/>
      <w:spacing w:before="0" w:after="0" w:line="360" w:lineRule="auto"/>
    </w:pPr>
    <w:rPr>
      <w:rFonts w:ascii="黑体" w:eastAsia="黑体" w:cs="宋体"/>
      <w:bCs w:val="0"/>
      <w:sz w:val="24"/>
      <w:szCs w:val="20"/>
    </w:rPr>
  </w:style>
  <w:style w:type="paragraph" w:customStyle="1" w:styleId="421">
    <w:name w:val="1"/>
    <w:basedOn w:val="1"/>
    <w:next w:val="30"/>
    <w:qFormat/>
    <w:uiPriority w:val="0"/>
    <w:rPr>
      <w:rFonts w:ascii="宋体" w:hAnsi="Courier New"/>
      <w:szCs w:val="20"/>
    </w:rPr>
  </w:style>
  <w:style w:type="paragraph" w:customStyle="1" w:styleId="422">
    <w:name w:val="xl28"/>
    <w:basedOn w:val="1"/>
    <w:qFormat/>
    <w:uiPriority w:val="0"/>
    <w:pPr>
      <w:widowControl/>
      <w:pBdr>
        <w:top w:val="single" w:color="auto" w:sz="4" w:space="0"/>
        <w:left w:val="single" w:color="auto" w:sz="4" w:space="0"/>
        <w:bottom w:val="single" w:color="auto" w:sz="4" w:space="0"/>
        <w:right w:val="single" w:color="auto" w:sz="12" w:space="0"/>
      </w:pBdr>
      <w:spacing w:before="100" w:beforeAutospacing="1" w:after="100" w:afterAutospacing="1"/>
      <w:jc w:val="center"/>
      <w:textAlignment w:val="center"/>
    </w:pPr>
    <w:rPr>
      <w:rFonts w:hint="eastAsia" w:ascii="仿宋_GB2312" w:hAnsi="宋体" w:eastAsia="仿宋_GB2312"/>
      <w:kern w:val="0"/>
      <w:sz w:val="22"/>
      <w:szCs w:val="22"/>
    </w:rPr>
  </w:style>
  <w:style w:type="paragraph" w:customStyle="1" w:styleId="423">
    <w:name w:val="表格 Char Char Char"/>
    <w:basedOn w:val="1"/>
    <w:qFormat/>
    <w:uiPriority w:val="0"/>
    <w:pPr>
      <w:spacing w:line="240" w:lineRule="exact"/>
      <w:jc w:val="center"/>
    </w:pPr>
    <w:rPr>
      <w:rFonts w:ascii="宋体"/>
      <w:color w:val="0000FF"/>
      <w:szCs w:val="20"/>
    </w:rPr>
  </w:style>
  <w:style w:type="paragraph" w:customStyle="1" w:styleId="424">
    <w:name w:val="T表头"/>
    <w:next w:val="1"/>
    <w:qFormat/>
    <w:uiPriority w:val="0"/>
    <w:pPr>
      <w:jc w:val="center"/>
    </w:pPr>
    <w:rPr>
      <w:rFonts w:ascii="Times New Roman" w:hAnsi="Times New Roman" w:eastAsia="黑体" w:cs="Times New Roman"/>
      <w:sz w:val="28"/>
      <w:lang w:val="en-US" w:eastAsia="zh-CN" w:bidi="ar-SA"/>
    </w:rPr>
  </w:style>
  <w:style w:type="paragraph" w:customStyle="1" w:styleId="425">
    <w:name w:val="Char2"/>
    <w:basedOn w:val="1"/>
    <w:next w:val="5"/>
    <w:qFormat/>
    <w:uiPriority w:val="0"/>
    <w:rPr>
      <w:sz w:val="24"/>
      <w:szCs w:val="20"/>
    </w:rPr>
  </w:style>
  <w:style w:type="paragraph" w:customStyle="1" w:styleId="426">
    <w:name w:val="111"/>
    <w:basedOn w:val="3"/>
    <w:qFormat/>
    <w:uiPriority w:val="0"/>
    <w:pPr>
      <w:keepLines w:val="0"/>
      <w:tabs>
        <w:tab w:val="clear" w:pos="432"/>
      </w:tabs>
      <w:adjustRightInd/>
      <w:spacing w:before="240" w:after="240" w:line="480" w:lineRule="exact"/>
      <w:ind w:left="-134" w:leftChars="-64" w:firstLine="154" w:firstLineChars="64"/>
      <w:jc w:val="both"/>
      <w:textAlignment w:val="auto"/>
    </w:pPr>
    <w:rPr>
      <w:rFonts w:ascii="宋体" w:hAnsi="宋体" w:eastAsia="宋体"/>
      <w:b/>
      <w:kern w:val="2"/>
      <w:sz w:val="24"/>
      <w:szCs w:val="24"/>
      <w:u w:val="single" w:color="FFFFFF"/>
    </w:rPr>
  </w:style>
  <w:style w:type="paragraph" w:customStyle="1" w:styleId="427">
    <w:name w:val="正文文本 21"/>
    <w:basedOn w:val="1"/>
    <w:qFormat/>
    <w:uiPriority w:val="0"/>
    <w:pPr>
      <w:autoSpaceDE w:val="0"/>
      <w:autoSpaceDN w:val="0"/>
      <w:adjustRightInd w:val="0"/>
      <w:spacing w:after="120" w:line="480" w:lineRule="auto"/>
      <w:textAlignment w:val="baseline"/>
    </w:pPr>
    <w:rPr>
      <w:kern w:val="0"/>
      <w:sz w:val="28"/>
      <w:szCs w:val="20"/>
    </w:rPr>
  </w:style>
  <w:style w:type="paragraph" w:customStyle="1" w:styleId="428">
    <w:name w:val="我2"/>
    <w:basedOn w:val="121"/>
    <w:qFormat/>
    <w:uiPriority w:val="0"/>
  </w:style>
  <w:style w:type="paragraph" w:customStyle="1" w:styleId="429">
    <w:name w:val="xl31"/>
    <w:basedOn w:val="1"/>
    <w:qFormat/>
    <w:uiPriority w:val="0"/>
    <w:pPr>
      <w:widowControl/>
      <w:spacing w:before="100" w:beforeAutospacing="1" w:after="100" w:afterAutospacing="1"/>
      <w:ind w:firstLine="100" w:firstLineChars="100"/>
      <w:jc w:val="left"/>
      <w:textAlignment w:val="center"/>
    </w:pPr>
    <w:rPr>
      <w:rFonts w:hint="eastAsia" w:ascii="仿宋_GB2312" w:hAnsi="宋体" w:eastAsia="仿宋_GB2312"/>
      <w:kern w:val="0"/>
      <w:sz w:val="20"/>
      <w:szCs w:val="20"/>
    </w:rPr>
  </w:style>
  <w:style w:type="paragraph" w:customStyle="1" w:styleId="430">
    <w:name w:val="表格字体"/>
    <w:basedOn w:val="1"/>
    <w:qFormat/>
    <w:uiPriority w:val="0"/>
    <w:pPr>
      <w:spacing w:beforeLines="20" w:afterLines="20"/>
      <w:jc w:val="center"/>
    </w:pPr>
    <w:rPr>
      <w:kern w:val="0"/>
      <w:szCs w:val="21"/>
    </w:rPr>
  </w:style>
  <w:style w:type="paragraph" w:customStyle="1" w:styleId="431">
    <w:name w:val="Char Char Char Char2"/>
    <w:basedOn w:val="1"/>
    <w:qFormat/>
    <w:uiPriority w:val="0"/>
    <w:pPr>
      <w:spacing w:line="360" w:lineRule="auto"/>
      <w:ind w:firstLine="200" w:firstLineChars="200"/>
    </w:pPr>
    <w:rPr>
      <w:rFonts w:ascii="宋体" w:hAnsi="宋体" w:cs="宋体"/>
      <w:sz w:val="24"/>
    </w:rPr>
  </w:style>
  <w:style w:type="paragraph" w:customStyle="1" w:styleId="432">
    <w:name w:val="Char Char Char1 Char Char Char Char Char Char Char Char Char Char3"/>
    <w:basedOn w:val="1"/>
    <w:qFormat/>
    <w:uiPriority w:val="0"/>
    <w:rPr>
      <w:szCs w:val="21"/>
    </w:rPr>
  </w:style>
  <w:style w:type="paragraph" w:customStyle="1" w:styleId="433">
    <w:name w:val="font7"/>
    <w:basedOn w:val="1"/>
    <w:qFormat/>
    <w:uiPriority w:val="0"/>
    <w:pPr>
      <w:widowControl/>
      <w:spacing w:before="100" w:beforeAutospacing="1" w:after="100" w:afterAutospacing="1"/>
      <w:jc w:val="left"/>
    </w:pPr>
    <w:rPr>
      <w:rFonts w:hint="eastAsia" w:ascii="宋体" w:hAnsi="宋体" w:cs="Arial Unicode MS"/>
      <w:kern w:val="0"/>
      <w:sz w:val="20"/>
      <w:szCs w:val="20"/>
    </w:rPr>
  </w:style>
  <w:style w:type="paragraph" w:customStyle="1" w:styleId="434">
    <w:name w:val="表内容"/>
    <w:basedOn w:val="1"/>
    <w:next w:val="1"/>
    <w:qFormat/>
    <w:uiPriority w:val="0"/>
    <w:pPr>
      <w:spacing w:line="320" w:lineRule="exact"/>
      <w:jc w:val="center"/>
    </w:pPr>
    <w:rPr>
      <w:szCs w:val="20"/>
    </w:rPr>
  </w:style>
  <w:style w:type="paragraph" w:customStyle="1" w:styleId="435">
    <w:name w:val="xl52"/>
    <w:basedOn w:val="1"/>
    <w:qFormat/>
    <w:uiPriority w:val="0"/>
    <w:pPr>
      <w:widowControl/>
      <w:pBdr>
        <w:left w:val="single" w:color="auto" w:sz="8" w:space="0"/>
        <w:bottom w:val="single" w:color="auto" w:sz="8" w:space="0"/>
      </w:pBdr>
      <w:spacing w:before="100" w:beforeAutospacing="1" w:after="100" w:afterAutospacing="1"/>
      <w:jc w:val="center"/>
    </w:pPr>
    <w:rPr>
      <w:kern w:val="0"/>
      <w:sz w:val="18"/>
      <w:szCs w:val="18"/>
    </w:rPr>
  </w:style>
  <w:style w:type="paragraph" w:customStyle="1" w:styleId="436">
    <w:name w:val="TOC 标题11"/>
    <w:basedOn w:val="3"/>
    <w:next w:val="1"/>
    <w:qFormat/>
    <w:uiPriority w:val="0"/>
    <w:pPr>
      <w:widowControl/>
      <w:adjustRightInd/>
      <w:spacing w:before="480" w:after="0" w:line="276" w:lineRule="auto"/>
      <w:ind w:left="0" w:firstLine="0"/>
      <w:textAlignment w:val="auto"/>
      <w:outlineLvl w:val="9"/>
    </w:pPr>
    <w:rPr>
      <w:rFonts w:ascii="Cambria" w:hAnsi="Cambria" w:eastAsia="宋体"/>
      <w:bCs/>
      <w:color w:val="365F91"/>
      <w:sz w:val="28"/>
      <w:szCs w:val="28"/>
    </w:rPr>
  </w:style>
  <w:style w:type="paragraph" w:customStyle="1" w:styleId="437">
    <w:name w:val="我的标题三"/>
    <w:basedOn w:val="5"/>
    <w:qFormat/>
    <w:uiPriority w:val="0"/>
    <w:pPr>
      <w:spacing w:beforeLines="50" w:afterLines="50" w:line="360" w:lineRule="auto"/>
    </w:pPr>
    <w:rPr>
      <w:kern w:val="0"/>
      <w:sz w:val="24"/>
      <w:szCs w:val="24"/>
    </w:rPr>
  </w:style>
  <w:style w:type="paragraph" w:customStyle="1" w:styleId="438">
    <w:name w:val="p18"/>
    <w:basedOn w:val="1"/>
    <w:qFormat/>
    <w:uiPriority w:val="0"/>
    <w:pPr>
      <w:widowControl/>
      <w:spacing w:line="500" w:lineRule="atLeast"/>
      <w:ind w:firstLine="420"/>
    </w:pPr>
    <w:rPr>
      <w:kern w:val="0"/>
      <w:sz w:val="24"/>
    </w:rPr>
  </w:style>
  <w:style w:type="paragraph" w:customStyle="1" w:styleId="439">
    <w:name w:val="样式  首行缩进:"/>
    <w:basedOn w:val="1"/>
    <w:qFormat/>
    <w:uiPriority w:val="0"/>
    <w:pPr>
      <w:adjustRightInd w:val="0"/>
      <w:snapToGrid w:val="0"/>
      <w:spacing w:line="300" w:lineRule="auto"/>
      <w:ind w:firstLine="480"/>
    </w:pPr>
    <w:rPr>
      <w:rFonts w:ascii="宋体" w:hAnsi="宋体" w:cs="宋体"/>
      <w:sz w:val="24"/>
      <w:szCs w:val="22"/>
    </w:rPr>
  </w:style>
  <w:style w:type="paragraph" w:customStyle="1" w:styleId="440">
    <w:name w:val="正文文本 31"/>
    <w:basedOn w:val="1"/>
    <w:qFormat/>
    <w:uiPriority w:val="0"/>
    <w:pPr>
      <w:spacing w:after="120"/>
    </w:pPr>
    <w:rPr>
      <w:sz w:val="16"/>
      <w:szCs w:val="16"/>
    </w:rPr>
  </w:style>
  <w:style w:type="paragraph" w:customStyle="1" w:styleId="441">
    <w:name w:val="样式 报告书正文 + 首行缩进:  2 字符"/>
    <w:basedOn w:val="1"/>
    <w:qFormat/>
    <w:uiPriority w:val="0"/>
    <w:rPr>
      <w:szCs w:val="21"/>
    </w:rPr>
  </w:style>
  <w:style w:type="paragraph" w:customStyle="1" w:styleId="442">
    <w:name w:val="Char2 Char Char Char Char Char Char Char Char Char Char Char Char1"/>
    <w:basedOn w:val="1"/>
    <w:qFormat/>
    <w:uiPriority w:val="0"/>
    <w:pPr>
      <w:spacing w:line="560" w:lineRule="exact"/>
      <w:ind w:firstLine="200" w:firstLineChars="200"/>
    </w:pPr>
    <w:rPr>
      <w:rFonts w:ascii="宋体" w:hAnsi="宋体" w:cs="宋体"/>
      <w:sz w:val="28"/>
      <w:szCs w:val="28"/>
    </w:rPr>
  </w:style>
  <w:style w:type="paragraph" w:customStyle="1" w:styleId="443">
    <w:name w:val="小节"/>
    <w:basedOn w:val="1"/>
    <w:qFormat/>
    <w:uiPriority w:val="0"/>
    <w:rPr>
      <w:rFonts w:ascii="黑体" w:hAnsi="宋体" w:eastAsia="黑体"/>
      <w:sz w:val="28"/>
      <w:szCs w:val="28"/>
    </w:rPr>
  </w:style>
  <w:style w:type="paragraph" w:customStyle="1" w:styleId="444">
    <w:name w:val="表内文字"/>
    <w:basedOn w:val="1"/>
    <w:qFormat/>
    <w:uiPriority w:val="0"/>
    <w:pPr>
      <w:adjustRightInd w:val="0"/>
      <w:snapToGrid w:val="0"/>
      <w:spacing w:beforeLines="20" w:afterLines="20"/>
    </w:pPr>
    <w:rPr>
      <w:szCs w:val="21"/>
    </w:rPr>
  </w:style>
  <w:style w:type="paragraph" w:customStyle="1" w:styleId="445">
    <w:name w:val="Char Char Char"/>
    <w:basedOn w:val="1"/>
    <w:next w:val="1"/>
    <w:qFormat/>
    <w:uiPriority w:val="0"/>
  </w:style>
  <w:style w:type="paragraph" w:customStyle="1" w:styleId="446">
    <w:name w:val="xl29"/>
    <w:basedOn w:val="1"/>
    <w:qFormat/>
    <w:uiPriority w:val="0"/>
    <w:pPr>
      <w:widowControl/>
      <w:spacing w:before="100" w:beforeAutospacing="1" w:after="100" w:afterAutospacing="1"/>
      <w:jc w:val="left"/>
      <w:textAlignment w:val="center"/>
    </w:pPr>
    <w:rPr>
      <w:rFonts w:hint="eastAsia" w:ascii="仿宋_GB2312" w:hAnsi="宋体" w:eastAsia="仿宋_GB2312"/>
      <w:kern w:val="0"/>
      <w:sz w:val="24"/>
    </w:rPr>
  </w:style>
  <w:style w:type="paragraph" w:customStyle="1" w:styleId="447">
    <w:name w:val="修订1"/>
    <w:qFormat/>
    <w:uiPriority w:val="0"/>
    <w:rPr>
      <w:rFonts w:ascii="Times New Roman" w:hAnsi="Times New Roman" w:eastAsia="宋体" w:cs="Times New Roman"/>
      <w:kern w:val="2"/>
      <w:sz w:val="21"/>
      <w:szCs w:val="24"/>
      <w:lang w:val="en-US" w:eastAsia="zh-CN" w:bidi="ar-SA"/>
    </w:rPr>
  </w:style>
  <w:style w:type="paragraph" w:customStyle="1" w:styleId="448">
    <w:name w:val="样式 样式 正文首行缩进 + 首行缩进:  2 字符 + 首行缩进:  2 字符"/>
    <w:basedOn w:val="1"/>
    <w:qFormat/>
    <w:uiPriority w:val="0"/>
    <w:pPr>
      <w:topLinePunct/>
      <w:adjustRightInd w:val="0"/>
      <w:snapToGrid w:val="0"/>
      <w:spacing w:line="360" w:lineRule="auto"/>
      <w:ind w:firstLine="480"/>
      <w:textAlignment w:val="baseline"/>
    </w:pPr>
    <w:rPr>
      <w:rFonts w:hAnsi="宋体" w:eastAsia="Times New Roman"/>
      <w:kern w:val="0"/>
      <w:sz w:val="24"/>
      <w:szCs w:val="20"/>
    </w:rPr>
  </w:style>
  <w:style w:type="paragraph" w:customStyle="1" w:styleId="449">
    <w:name w:val="Char Char Char Char Char Char Char Char Char Char Char Char1 Char Char Char Char Char Char Char Char Char Char Char Char Char Char Char Char Char Char Char"/>
    <w:basedOn w:val="1"/>
    <w:qFormat/>
    <w:uiPriority w:val="0"/>
    <w:pPr>
      <w:spacing w:line="360" w:lineRule="auto"/>
      <w:ind w:firstLine="200" w:firstLineChars="200"/>
    </w:pPr>
    <w:rPr>
      <w:szCs w:val="20"/>
    </w:rPr>
  </w:style>
  <w:style w:type="paragraph" w:customStyle="1" w:styleId="450">
    <w:name w:val="Char Char Char Char Char Char1"/>
    <w:basedOn w:val="1"/>
    <w:next w:val="1"/>
    <w:qFormat/>
    <w:uiPriority w:val="0"/>
    <w:pPr>
      <w:spacing w:line="360" w:lineRule="auto"/>
    </w:pPr>
    <w:rPr>
      <w:b/>
      <w:sz w:val="28"/>
      <w:szCs w:val="28"/>
    </w:rPr>
  </w:style>
  <w:style w:type="paragraph" w:customStyle="1" w:styleId="451">
    <w:name w:val="正文首行缩进 21"/>
    <w:basedOn w:val="159"/>
    <w:qFormat/>
    <w:uiPriority w:val="0"/>
    <w:pPr>
      <w:autoSpaceDE w:val="0"/>
      <w:autoSpaceDN w:val="0"/>
      <w:adjustRightInd w:val="0"/>
      <w:spacing w:before="0" w:after="120" w:line="240" w:lineRule="auto"/>
      <w:ind w:left="420" w:leftChars="200" w:firstLine="420"/>
      <w:textAlignment w:val="baseline"/>
    </w:pPr>
    <w:rPr>
      <w:kern w:val="0"/>
      <w:sz w:val="28"/>
      <w:szCs w:val="20"/>
    </w:rPr>
  </w:style>
  <w:style w:type="paragraph" w:customStyle="1" w:styleId="452">
    <w:name w:val="样式4"/>
    <w:basedOn w:val="1"/>
    <w:qFormat/>
    <w:uiPriority w:val="0"/>
    <w:pPr>
      <w:spacing w:before="60" w:line="460" w:lineRule="exact"/>
      <w:ind w:firstLine="200" w:firstLineChars="200"/>
    </w:pPr>
    <w:rPr>
      <w:sz w:val="24"/>
    </w:rPr>
  </w:style>
  <w:style w:type="paragraph" w:customStyle="1" w:styleId="453">
    <w:name w:val="p0"/>
    <w:basedOn w:val="1"/>
    <w:qFormat/>
    <w:uiPriority w:val="0"/>
    <w:pPr>
      <w:widowControl/>
      <w:snapToGrid w:val="0"/>
    </w:pPr>
    <w:rPr>
      <w:kern w:val="0"/>
      <w:sz w:val="28"/>
      <w:szCs w:val="28"/>
    </w:rPr>
  </w:style>
  <w:style w:type="paragraph" w:customStyle="1" w:styleId="454">
    <w:name w:val="正文文字1"/>
    <w:basedOn w:val="1"/>
    <w:qFormat/>
    <w:uiPriority w:val="0"/>
    <w:pPr>
      <w:spacing w:line="360" w:lineRule="auto"/>
      <w:ind w:firstLine="200" w:firstLineChars="200"/>
    </w:pPr>
    <w:rPr>
      <w:rFonts w:eastAsia="仿宋_GB2312"/>
      <w:sz w:val="32"/>
    </w:rPr>
  </w:style>
  <w:style w:type="paragraph" w:customStyle="1" w:styleId="455">
    <w:name w:val="1.3"/>
    <w:basedOn w:val="1"/>
    <w:qFormat/>
    <w:uiPriority w:val="0"/>
    <w:pPr>
      <w:spacing w:line="500" w:lineRule="exact"/>
      <w:ind w:firstLine="560" w:firstLineChars="200"/>
    </w:pPr>
    <w:rPr>
      <w:rFonts w:eastAsia="仿宋_GB2312"/>
      <w:color w:val="000000"/>
      <w:kern w:val="0"/>
      <w:sz w:val="28"/>
      <w:szCs w:val="28"/>
    </w:rPr>
  </w:style>
  <w:style w:type="paragraph" w:customStyle="1" w:styleId="456">
    <w:name w:val="样式 加粗报告正文 + 首行缩进:  2 字符"/>
    <w:basedOn w:val="1"/>
    <w:qFormat/>
    <w:uiPriority w:val="0"/>
    <w:pPr>
      <w:adjustRightInd w:val="0"/>
      <w:snapToGrid w:val="0"/>
      <w:spacing w:line="480" w:lineRule="exact"/>
      <w:ind w:firstLine="482" w:firstLineChars="200"/>
    </w:pPr>
    <w:rPr>
      <w:b/>
      <w:sz w:val="24"/>
    </w:rPr>
  </w:style>
  <w:style w:type="paragraph" w:customStyle="1" w:styleId="457">
    <w:name w:val="我11"/>
    <w:qFormat/>
    <w:uiPriority w:val="0"/>
    <w:pPr>
      <w:spacing w:line="520" w:lineRule="exact"/>
    </w:pPr>
    <w:rPr>
      <w:rFonts w:ascii="宋体" w:hAnsi="宋体" w:eastAsia="Times New Roman" w:cs="Times New Roman"/>
      <w:b/>
      <w:bCs/>
      <w:kern w:val="2"/>
      <w:sz w:val="36"/>
      <w:szCs w:val="32"/>
      <w:lang w:val="en-US" w:eastAsia="zh-CN" w:bidi="ar-SA"/>
    </w:rPr>
  </w:style>
  <w:style w:type="paragraph" w:customStyle="1" w:styleId="458">
    <w:name w:val="表第一列"/>
    <w:basedOn w:val="34"/>
    <w:qFormat/>
    <w:uiPriority w:val="0"/>
    <w:pPr>
      <w:keepNext/>
      <w:keepLines/>
      <w:tabs>
        <w:tab w:val="left" w:pos="1727"/>
        <w:tab w:val="left" w:pos="1884"/>
        <w:tab w:val="left" w:pos="2940"/>
      </w:tabs>
      <w:adjustRightInd w:val="0"/>
      <w:snapToGrid w:val="0"/>
      <w:spacing w:after="0" w:line="0" w:lineRule="atLeast"/>
      <w:ind w:firstLine="0" w:firstLineChars="0"/>
      <w:jc w:val="center"/>
    </w:pPr>
    <w:rPr>
      <w:rFonts w:ascii="宋体" w:hAnsi="宋体"/>
      <w:color w:val="000000"/>
      <w:szCs w:val="21"/>
    </w:rPr>
  </w:style>
  <w:style w:type="paragraph" w:customStyle="1" w:styleId="459">
    <w:name w:val="xl27"/>
    <w:basedOn w:val="1"/>
    <w:qFormat/>
    <w:uiPriority w:val="0"/>
    <w:pPr>
      <w:widowControl/>
      <w:spacing w:before="100" w:beforeAutospacing="1" w:after="100" w:afterAutospacing="1"/>
      <w:jc w:val="center"/>
      <w:textAlignment w:val="center"/>
    </w:pPr>
    <w:rPr>
      <w:rFonts w:hint="eastAsia" w:ascii="仿宋_GB2312" w:hAnsi="宋体" w:eastAsia="仿宋_GB2312"/>
      <w:kern w:val="0"/>
      <w:sz w:val="20"/>
      <w:szCs w:val="20"/>
    </w:rPr>
  </w:style>
  <w:style w:type="paragraph" w:customStyle="1" w:styleId="460">
    <w:name w:val="关于:"/>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61">
    <w:name w:val="仿宋四号"/>
    <w:basedOn w:val="1"/>
    <w:qFormat/>
    <w:uiPriority w:val="0"/>
    <w:pPr>
      <w:ind w:firstLine="560" w:firstLineChars="200"/>
    </w:pPr>
    <w:rPr>
      <w:rFonts w:ascii="仿宋_GB2312" w:hAnsi="Arial" w:eastAsia="仿宋_GB2312"/>
      <w:sz w:val="28"/>
      <w:szCs w:val="20"/>
    </w:rPr>
  </w:style>
  <w:style w:type="paragraph" w:customStyle="1" w:styleId="462">
    <w:name w:val="xl47"/>
    <w:basedOn w:val="1"/>
    <w:qFormat/>
    <w:uiPriority w:val="0"/>
    <w:pPr>
      <w:widowControl/>
      <w:pBdr>
        <w:bottom w:val="single" w:color="auto" w:sz="4" w:space="0"/>
        <w:right w:val="single" w:color="auto" w:sz="4" w:space="0"/>
      </w:pBdr>
      <w:spacing w:before="100" w:beforeAutospacing="1" w:after="100" w:afterAutospacing="1"/>
      <w:jc w:val="center"/>
      <w:textAlignment w:val="top"/>
    </w:pPr>
    <w:rPr>
      <w:color w:val="FF00FF"/>
      <w:kern w:val="0"/>
      <w:szCs w:val="21"/>
    </w:rPr>
  </w:style>
  <w:style w:type="paragraph" w:customStyle="1" w:styleId="463">
    <w:name w:val="3 Char Char Char Char"/>
    <w:basedOn w:val="1"/>
    <w:next w:val="1"/>
    <w:qFormat/>
    <w:uiPriority w:val="0"/>
    <w:pPr>
      <w:spacing w:line="360" w:lineRule="auto"/>
      <w:ind w:firstLine="200" w:firstLineChars="200"/>
    </w:pPr>
    <w:rPr>
      <w:rFonts w:ascii="宋体" w:hAnsi="宋体" w:eastAsia="汉鼎简书宋" w:cs="宋体"/>
      <w:sz w:val="24"/>
    </w:rPr>
  </w:style>
  <w:style w:type="paragraph" w:customStyle="1" w:styleId="464">
    <w:name w:val="报告书三级标题"/>
    <w:basedOn w:val="5"/>
    <w:qFormat/>
    <w:uiPriority w:val="0"/>
    <w:pPr>
      <w:spacing w:before="0" w:after="0" w:line="300" w:lineRule="auto"/>
    </w:pPr>
    <w:rPr>
      <w:rFonts w:ascii="宋体" w:hAnsi="宋体"/>
      <w:bCs w:val="0"/>
      <w:sz w:val="24"/>
      <w:szCs w:val="24"/>
    </w:rPr>
  </w:style>
  <w:style w:type="paragraph" w:customStyle="1" w:styleId="465">
    <w:name w:val="Char3"/>
    <w:basedOn w:val="1"/>
    <w:qFormat/>
    <w:uiPriority w:val="0"/>
    <w:pPr>
      <w:tabs>
        <w:tab w:val="left" w:pos="1174"/>
      </w:tabs>
      <w:spacing w:before="60" w:line="460" w:lineRule="atLeast"/>
      <w:ind w:left="1174" w:hanging="720"/>
    </w:pPr>
    <w:rPr>
      <w:sz w:val="24"/>
    </w:rPr>
  </w:style>
  <w:style w:type="paragraph" w:customStyle="1" w:styleId="466">
    <w:name w:val="5"/>
    <w:basedOn w:val="1"/>
    <w:next w:val="41"/>
    <w:qFormat/>
    <w:uiPriority w:val="0"/>
    <w:pPr>
      <w:spacing w:line="500" w:lineRule="exact"/>
      <w:ind w:firstLine="540"/>
    </w:pPr>
    <w:rPr>
      <w:sz w:val="28"/>
      <w:szCs w:val="20"/>
    </w:rPr>
  </w:style>
  <w:style w:type="paragraph" w:customStyle="1" w:styleId="467">
    <w:name w:val="Char Char Char Char Char Char1 Char"/>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468">
    <w:name w:val="Char Char Char2 Char"/>
    <w:basedOn w:val="1"/>
    <w:qFormat/>
    <w:uiPriority w:val="0"/>
    <w:pPr>
      <w:tabs>
        <w:tab w:val="left" w:pos="360"/>
      </w:tabs>
      <w:ind w:left="360" w:hanging="360"/>
    </w:pPr>
  </w:style>
  <w:style w:type="paragraph" w:customStyle="1" w:styleId="469">
    <w:name w:val="Char Char Char Char Char Char"/>
    <w:basedOn w:val="1"/>
    <w:qFormat/>
    <w:uiPriority w:val="0"/>
    <w:rPr>
      <w:sz w:val="24"/>
    </w:rPr>
  </w:style>
  <w:style w:type="paragraph" w:customStyle="1" w:styleId="470">
    <w:name w:val="Char Char Char Char Char Char Char Char Char Char Char Char Char Char Char Char Char Char Char"/>
    <w:basedOn w:val="1"/>
    <w:qFormat/>
    <w:uiPriority w:val="0"/>
    <w:pPr>
      <w:spacing w:line="360" w:lineRule="auto"/>
      <w:ind w:firstLine="200" w:firstLineChars="200"/>
    </w:pPr>
    <w:rPr>
      <w:rFonts w:ascii="宋体" w:hAnsi="宋体" w:cs="宋体"/>
      <w:sz w:val="24"/>
    </w:rPr>
  </w:style>
  <w:style w:type="paragraph" w:customStyle="1" w:styleId="471">
    <w:name w:val="节"/>
    <w:qFormat/>
    <w:uiPriority w:val="0"/>
    <w:pPr>
      <w:widowControl w:val="0"/>
      <w:adjustRightInd w:val="0"/>
      <w:spacing w:line="600" w:lineRule="atLeast"/>
      <w:jc w:val="both"/>
      <w:textAlignment w:val="baseline"/>
    </w:pPr>
    <w:rPr>
      <w:rFonts w:ascii="Arial Rounded MT Bold" w:hAnsi="Times New Roman" w:eastAsia="黑体" w:cs="Times New Roman"/>
      <w:sz w:val="30"/>
      <w:lang w:val="en-US" w:eastAsia="zh-CN" w:bidi="ar-SA"/>
    </w:rPr>
  </w:style>
  <w:style w:type="table" w:customStyle="1" w:styleId="472">
    <w:name w:val="样式7"/>
    <w:basedOn w:val="51"/>
    <w:qFormat/>
    <w:uiPriority w:val="0"/>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473">
    <w:name w:val="浅色底纹1"/>
    <w:basedOn w:val="51"/>
    <w:qFormat/>
    <w:uiPriority w:val="60"/>
    <w:rPr>
      <w:color w:val="000000"/>
    </w:rPr>
    <w:tblPr>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cPr>
        <w:tcBorders>
          <w:top w:val="single" w:color="000000" w:sz="8" w:space="0"/>
          <w:left w:val="single" w:color="000000" w:sz="8" w:space="0"/>
          <w:bottom w:val="nil"/>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single" w:color="000000" w:sz="8" w:space="0"/>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paragraph" w:customStyle="1" w:styleId="474">
    <w:name w:val="样式 宋体 小四 红色 段前: 6 磅 行距: 固定值 24 磅"/>
    <w:basedOn w:val="1"/>
    <w:qFormat/>
    <w:uiPriority w:val="0"/>
    <w:pPr>
      <w:adjustRightInd w:val="0"/>
      <w:snapToGrid w:val="0"/>
      <w:spacing w:line="360" w:lineRule="auto"/>
      <w:ind w:firstLine="200" w:firstLineChars="200"/>
    </w:pPr>
    <w:rPr>
      <w:rFonts w:ascii="宋体" w:hAnsi="宋体" w:cs="宋体"/>
      <w:color w:val="FF0000"/>
      <w:sz w:val="24"/>
      <w:szCs w:val="20"/>
    </w:rPr>
  </w:style>
  <w:style w:type="paragraph" w:customStyle="1" w:styleId="475">
    <w:name w:val="111111正文"/>
    <w:basedOn w:val="1"/>
    <w:qFormat/>
    <w:uiPriority w:val="0"/>
    <w:pPr>
      <w:spacing w:line="360" w:lineRule="auto"/>
      <w:ind w:firstLine="200" w:firstLineChars="200"/>
    </w:pPr>
    <w:rPr>
      <w:kern w:val="0"/>
      <w:sz w:val="24"/>
    </w:rPr>
  </w:style>
  <w:style w:type="character" w:customStyle="1" w:styleId="476">
    <w:name w:val="radio-btn"/>
    <w:basedOn w:val="54"/>
    <w:qFormat/>
    <w:uiPriority w:val="0"/>
    <w:rPr>
      <w:sz w:val="24"/>
      <w:szCs w:val="24"/>
    </w:rPr>
  </w:style>
  <w:style w:type="character" w:customStyle="1" w:styleId="477">
    <w:name w:val="radio-btn1"/>
    <w:basedOn w:val="54"/>
    <w:qFormat/>
    <w:uiPriority w:val="0"/>
    <w:rPr>
      <w:sz w:val="21"/>
      <w:szCs w:val="21"/>
    </w:rPr>
  </w:style>
  <w:style w:type="character" w:customStyle="1" w:styleId="478">
    <w:name w:val="radio-btn2"/>
    <w:basedOn w:val="54"/>
    <w:qFormat/>
    <w:uiPriority w:val="0"/>
    <w:rPr>
      <w:sz w:val="24"/>
      <w:szCs w:val="24"/>
    </w:rPr>
  </w:style>
  <w:style w:type="character" w:customStyle="1" w:styleId="479">
    <w:name w:val="bsharetext"/>
    <w:basedOn w:val="54"/>
    <w:qFormat/>
    <w:uiPriority w:val="0"/>
    <w:rPr>
      <w:vanish/>
      <w:bdr w:val="single" w:color="1D78CD" w:sz="12" w:space="0"/>
      <w:shd w:val="clear" w:color="auto" w:fill="FFFFFF"/>
    </w:rPr>
  </w:style>
  <w:style w:type="character" w:customStyle="1" w:styleId="480">
    <w:name w:val="lable"/>
    <w:basedOn w:val="54"/>
    <w:qFormat/>
    <w:uiPriority w:val="0"/>
    <w:rPr>
      <w:sz w:val="24"/>
      <w:szCs w:val="24"/>
    </w:rPr>
  </w:style>
  <w:style w:type="character" w:customStyle="1" w:styleId="481">
    <w:name w:val="lishishuju"/>
    <w:basedOn w:val="54"/>
    <w:qFormat/>
    <w:uiPriority w:val="0"/>
    <w:rPr>
      <w:b/>
      <w:color w:val="000052"/>
      <w:sz w:val="24"/>
      <w:szCs w:val="24"/>
      <w:bdr w:val="single" w:color="E3E3E3" w:sz="6" w:space="0"/>
    </w:rPr>
  </w:style>
  <w:style w:type="character" w:customStyle="1" w:styleId="482">
    <w:name w:val="cur1"/>
    <w:basedOn w:val="54"/>
    <w:qFormat/>
    <w:uiPriority w:val="0"/>
    <w:rPr>
      <w:color w:val="FFFFFF"/>
      <w:shd w:val="clear" w:color="auto" w:fill="2F6B98"/>
    </w:rPr>
  </w:style>
  <w:style w:type="character" w:customStyle="1" w:styleId="483">
    <w:name w:val="znspantitle"/>
    <w:basedOn w:val="54"/>
    <w:qFormat/>
    <w:uiPriority w:val="0"/>
    <w:rPr>
      <w:b/>
      <w:color w:val="333333"/>
    </w:rPr>
  </w:style>
  <w:style w:type="character" w:customStyle="1" w:styleId="484">
    <w:name w:val="cur"/>
    <w:basedOn w:val="54"/>
    <w:qFormat/>
    <w:uiPriority w:val="0"/>
    <w:rPr>
      <w:color w:val="FFFFFF"/>
      <w:shd w:val="clear" w:color="auto" w:fill="2F6B98"/>
    </w:rPr>
  </w:style>
  <w:style w:type="paragraph" w:customStyle="1" w:styleId="485">
    <w:name w:val="图表标题"/>
    <w:basedOn w:val="17"/>
    <w:qFormat/>
    <w:uiPriority w:val="0"/>
    <w:pPr>
      <w:spacing w:line="600" w:lineRule="exact"/>
      <w:jc w:val="center"/>
    </w:pPr>
  </w:style>
  <w:style w:type="paragraph" w:customStyle="1" w:styleId="486">
    <w:name w:val="aa正文"/>
    <w:basedOn w:val="1"/>
    <w:qFormat/>
    <w:uiPriority w:val="0"/>
    <w:pPr>
      <w:spacing w:line="360" w:lineRule="auto"/>
      <w:ind w:firstLine="200" w:firstLineChars="200"/>
    </w:pPr>
    <w:rPr>
      <w:sz w:val="24"/>
    </w:rPr>
  </w:style>
  <w:style w:type="paragraph" w:customStyle="1" w:styleId="487">
    <w:name w:val="三级"/>
    <w:qFormat/>
    <w:uiPriority w:val="0"/>
    <w:pPr>
      <w:widowControl w:val="0"/>
      <w:adjustRightInd w:val="0"/>
      <w:snapToGrid w:val="0"/>
      <w:spacing w:line="500" w:lineRule="exact"/>
      <w:jc w:val="both"/>
      <w:outlineLvl w:val="2"/>
    </w:pPr>
    <w:rPr>
      <w:rFonts w:ascii="Times New Roman" w:hAnsi="Times New Roman" w:eastAsia="宋体" w:cs="Times New Roman"/>
      <w:b/>
      <w:kern w:val="2"/>
      <w:sz w:val="24"/>
      <w:szCs w:val="24"/>
      <w:lang w:val="en-US" w:eastAsia="zh-CN" w:bidi="ar-SA"/>
    </w:rPr>
  </w:style>
  <w:style w:type="character" w:customStyle="1" w:styleId="488">
    <w:name w:val="font21"/>
    <w:qFormat/>
    <w:uiPriority w:val="0"/>
    <w:rPr>
      <w:rFonts w:hint="eastAsia" w:ascii="宋体" w:hAnsi="宋体" w:eastAsia="宋体" w:cs="宋体"/>
      <w:color w:val="000000"/>
      <w:sz w:val="22"/>
      <w:szCs w:val="22"/>
      <w:u w:val="none"/>
    </w:rPr>
  </w:style>
  <w:style w:type="character" w:customStyle="1" w:styleId="489">
    <w:name w:val="font41"/>
    <w:qFormat/>
    <w:uiPriority w:val="0"/>
    <w:rPr>
      <w:rFonts w:hint="default" w:ascii="Times New Roman" w:hAnsi="Times New Roman" w:cs="Times New Roman"/>
      <w:color w:val="000000"/>
      <w:sz w:val="22"/>
      <w:szCs w:val="22"/>
      <w:u w:val="none"/>
    </w:rPr>
  </w:style>
  <w:style w:type="character" w:customStyle="1" w:styleId="490">
    <w:name w:val="font31"/>
    <w:qFormat/>
    <w:uiPriority w:val="0"/>
    <w:rPr>
      <w:rFonts w:hint="default" w:ascii="Wingdings 2" w:hAnsi="Wingdings 2" w:eastAsia="Wingdings 2" w:cs="Wingdings 2"/>
      <w:color w:val="000000"/>
      <w:sz w:val="24"/>
      <w:szCs w:val="24"/>
      <w:u w:val="none"/>
    </w:rPr>
  </w:style>
  <w:style w:type="character" w:customStyle="1" w:styleId="491">
    <w:name w:val="font01"/>
    <w:qFormat/>
    <w:uiPriority w:val="0"/>
    <w:rPr>
      <w:rFonts w:hint="eastAsia" w:ascii="宋体" w:hAnsi="宋体" w:eastAsia="宋体" w:cs="宋体"/>
      <w:color w:val="000000"/>
      <w:sz w:val="22"/>
      <w:szCs w:val="22"/>
      <w:u w:val="none"/>
      <w:vertAlign w:val="subscript"/>
    </w:rPr>
  </w:style>
  <w:style w:type="character" w:customStyle="1" w:styleId="492">
    <w:name w:val="NormalCharacter"/>
    <w:qFormat/>
    <w:uiPriority w:val="0"/>
    <w:rPr>
      <w:kern w:val="2"/>
      <w:sz w:val="21"/>
      <w:szCs w:val="22"/>
      <w:lang w:val="en-US" w:eastAsia="zh-CN" w:bidi="ar-SA"/>
    </w:rPr>
  </w:style>
  <w:style w:type="paragraph" w:customStyle="1" w:styleId="493">
    <w:name w:val="表格内容居中"/>
    <w:next w:val="1"/>
    <w:qFormat/>
    <w:uiPriority w:val="0"/>
    <w:pPr>
      <w:adjustRightInd w:val="0"/>
      <w:snapToGrid w:val="0"/>
      <w:jc w:val="center"/>
    </w:pPr>
    <w:rPr>
      <w:rFonts w:ascii="Times New Roman" w:hAnsi="Times New Roman" w:eastAsia="宋体" w:cs="Times New Roman"/>
      <w:snapToGrid w:val="0"/>
      <w:kern w:val="2"/>
      <w:sz w:val="21"/>
      <w:szCs w:val="22"/>
      <w:lang w:val="en-US" w:eastAsia="zh-CN" w:bidi="ar-SA"/>
    </w:rPr>
  </w:style>
  <w:style w:type="paragraph" w:customStyle="1" w:styleId="494">
    <w:name w:val="我正文"/>
    <w:basedOn w:val="1"/>
    <w:qFormat/>
    <w:uiPriority w:val="0"/>
    <w:pPr>
      <w:spacing w:line="360" w:lineRule="auto"/>
      <w:ind w:firstLine="480" w:firstLineChars="200"/>
    </w:pPr>
    <w:rPr>
      <w:sz w:val="24"/>
      <w:szCs w:val="20"/>
    </w:rPr>
  </w:style>
  <w:style w:type="paragraph" w:customStyle="1" w:styleId="495">
    <w:name w:val="正文小四"/>
    <w:unhideWhenUsed/>
    <w:qFormat/>
    <w:uiPriority w:val="99"/>
    <w:pPr>
      <w:spacing w:line="360" w:lineRule="auto"/>
      <w:ind w:firstLine="480" w:firstLineChars="200"/>
      <w:jc w:val="both"/>
    </w:pPr>
    <w:rPr>
      <w:rFonts w:ascii="Times New Roman" w:hAnsi="Times New Roman" w:eastAsia="宋体" w:cs="Times New Roman"/>
      <w:kern w:val="2"/>
      <w:sz w:val="24"/>
      <w:szCs w:val="24"/>
      <w:lang w:val="en-US" w:eastAsia="zh-CN" w:bidi="ar-SA"/>
    </w:rPr>
  </w:style>
  <w:style w:type="paragraph" w:customStyle="1" w:styleId="496">
    <w:name w:val="表标题格式"/>
    <w:unhideWhenUsed/>
    <w:qFormat/>
    <w:uiPriority w:val="0"/>
    <w:pPr>
      <w:jc w:val="center"/>
    </w:pPr>
    <w:rPr>
      <w:rFonts w:ascii="Times New Roman" w:hAnsi="Times New Roman" w:eastAsia="宋体" w:cs="Times New Roman"/>
      <w:b/>
      <w:kern w:val="2"/>
      <w:sz w:val="24"/>
      <w:szCs w:val="21"/>
      <w:lang w:val="en-US" w:eastAsia="zh-CN" w:bidi="ar-SA"/>
    </w:rPr>
  </w:style>
  <w:style w:type="paragraph" w:customStyle="1" w:styleId="497">
    <w:name w:val="样式 正文 +1"/>
    <w:basedOn w:val="1"/>
    <w:unhideWhenUsed/>
    <w:qFormat/>
    <w:uiPriority w:val="0"/>
    <w:rPr>
      <w:rFonts w:cs="宋体"/>
      <w:sz w:val="24"/>
      <w:szCs w:val="20"/>
    </w:rPr>
  </w:style>
  <w:style w:type="paragraph" w:customStyle="1" w:styleId="498">
    <w:name w:val="表中"/>
    <w:basedOn w:val="1"/>
    <w:unhideWhenUsed/>
    <w:qFormat/>
    <w:uiPriority w:val="0"/>
    <w:pPr>
      <w:adjustRightInd w:val="0"/>
      <w:spacing w:line="360" w:lineRule="atLeast"/>
      <w:jc w:val="center"/>
      <w:textAlignment w:val="baseline"/>
    </w:pPr>
    <w:rPr>
      <w:kern w:val="0"/>
    </w:rPr>
  </w:style>
  <w:style w:type="paragraph" w:customStyle="1" w:styleId="499">
    <w:name w:val="报告书表格"/>
    <w:basedOn w:val="1"/>
    <w:unhideWhenUsed/>
    <w:qFormat/>
    <w:uiPriority w:val="0"/>
    <w:pPr>
      <w:adjustRightInd w:val="0"/>
      <w:spacing w:before="60" w:after="60" w:line="240" w:lineRule="atLeast"/>
      <w:jc w:val="center"/>
      <w:textAlignment w:val="baseline"/>
    </w:pPr>
    <w:rPr>
      <w:kern w:val="0"/>
    </w:rPr>
  </w:style>
  <w:style w:type="paragraph" w:customStyle="1" w:styleId="500">
    <w:name w:val="正文C表格"/>
    <w:basedOn w:val="501"/>
    <w:unhideWhenUsed/>
    <w:qFormat/>
    <w:uiPriority w:val="0"/>
    <w:pPr>
      <w:spacing w:line="360" w:lineRule="auto"/>
    </w:pPr>
    <w:rPr>
      <w:sz w:val="24"/>
    </w:rPr>
  </w:style>
  <w:style w:type="paragraph" w:customStyle="1" w:styleId="501">
    <w:name w:val="正文B图片"/>
    <w:basedOn w:val="502"/>
    <w:unhideWhenUsed/>
    <w:qFormat/>
    <w:uiPriority w:val="1"/>
    <w:pPr>
      <w:keepNext/>
      <w:ind w:firstLine="0" w:firstLineChars="0"/>
      <w:jc w:val="center"/>
    </w:pPr>
  </w:style>
  <w:style w:type="paragraph" w:customStyle="1" w:styleId="502">
    <w:name w:val="正文A缩进"/>
    <w:basedOn w:val="1"/>
    <w:unhideWhenUsed/>
    <w:qFormat/>
    <w:uiPriority w:val="1"/>
    <w:pPr>
      <w:ind w:firstLine="200" w:firstLineChars="200"/>
    </w:pPr>
    <w:rPr>
      <w:rFonts w:eastAsia="仿宋_GB2312"/>
      <w:sz w:val="28"/>
    </w:rPr>
  </w:style>
  <w:style w:type="paragraph" w:customStyle="1" w:styleId="503">
    <w:name w:val="正文D注释"/>
    <w:basedOn w:val="500"/>
    <w:unhideWhenUsed/>
    <w:qFormat/>
    <w:uiPriority w:val="1"/>
    <w:pPr>
      <w:jc w:val="left"/>
    </w:pPr>
    <w:rPr>
      <w:b/>
    </w:rPr>
  </w:style>
  <w:style w:type="paragraph" w:styleId="504">
    <w:name w:val="List Paragraph"/>
    <w:basedOn w:val="1"/>
    <w:unhideWhenUsed/>
    <w:qFormat/>
    <w:uiPriority w:val="0"/>
    <w:pPr>
      <w:ind w:firstLine="420" w:firstLineChars="200"/>
    </w:pPr>
  </w:style>
  <w:style w:type="paragraph" w:customStyle="1" w:styleId="505">
    <w:name w:val="表文字"/>
    <w:basedOn w:val="1"/>
    <w:unhideWhenUsed/>
    <w:qFormat/>
    <w:uiPriority w:val="0"/>
    <w:pPr>
      <w:spacing w:line="240" w:lineRule="atLeast"/>
      <w:jc w:val="center"/>
    </w:pPr>
    <w:rPr>
      <w:rFonts w:hint="eastAsia" w:ascii="宋体" w:hAnsi="宋体"/>
    </w:rPr>
  </w:style>
  <w:style w:type="paragraph" w:customStyle="1" w:styleId="506">
    <w:name w:val="表内字体"/>
    <w:basedOn w:val="1"/>
    <w:unhideWhenUsed/>
    <w:qFormat/>
    <w:uiPriority w:val="0"/>
    <w:pPr>
      <w:tabs>
        <w:tab w:val="left" w:pos="0"/>
      </w:tabs>
      <w:snapToGrid w:val="0"/>
      <w:spacing w:beforeLines="10"/>
      <w:jc w:val="center"/>
    </w:pPr>
    <w:rPr>
      <w:rFonts w:hint="eastAsia" w:ascii="宋体" w:hAnsi="宋体"/>
      <w:kern w:val="0"/>
      <w:sz w:val="18"/>
      <w:szCs w:val="20"/>
    </w:rPr>
  </w:style>
  <w:style w:type="paragraph" w:customStyle="1" w:styleId="507">
    <w:name w:val="正文文本 New New"/>
    <w:basedOn w:val="1"/>
    <w:unhideWhenUsed/>
    <w:qFormat/>
    <w:uiPriority w:val="0"/>
    <w:pPr>
      <w:widowControl/>
      <w:spacing w:line="400" w:lineRule="exact"/>
      <w:jc w:val="center"/>
    </w:pPr>
    <w:rPr>
      <w:rFonts w:hint="eastAsia" w:ascii="宋体" w:hAnsi="宋体"/>
      <w:kern w:val="0"/>
      <w:sz w:val="24"/>
      <w:szCs w:val="20"/>
    </w:rPr>
  </w:style>
  <w:style w:type="paragraph" w:customStyle="1" w:styleId="508">
    <w:name w:val="表格内文字"/>
    <w:basedOn w:val="1"/>
    <w:unhideWhenUsed/>
    <w:qFormat/>
    <w:uiPriority w:val="0"/>
    <w:pPr>
      <w:adjustRightInd w:val="0"/>
      <w:snapToGrid w:val="0"/>
      <w:spacing w:line="320" w:lineRule="exact"/>
      <w:ind w:firstLine="200" w:firstLineChars="200"/>
      <w:jc w:val="center"/>
    </w:pPr>
    <w:rPr>
      <w:spacing w:val="10"/>
      <w:sz w:val="24"/>
      <w:szCs w:val="20"/>
    </w:rPr>
  </w:style>
  <w:style w:type="paragraph" w:customStyle="1" w:styleId="509">
    <w:name w:val="正文文本 New New New"/>
    <w:basedOn w:val="1"/>
    <w:unhideWhenUsed/>
    <w:qFormat/>
    <w:uiPriority w:val="0"/>
    <w:pPr>
      <w:spacing w:line="360" w:lineRule="auto"/>
      <w:jc w:val="left"/>
    </w:pPr>
    <w:rPr>
      <w:rFonts w:hint="eastAsia" w:ascii="宋体" w:hAnsi="宋体"/>
      <w:sz w:val="24"/>
    </w:rPr>
  </w:style>
  <w:style w:type="paragraph" w:customStyle="1" w:styleId="510">
    <w:name w:val="样式32"/>
    <w:basedOn w:val="1"/>
    <w:unhideWhenUsed/>
    <w:qFormat/>
    <w:uiPriority w:val="0"/>
    <w:pPr>
      <w:widowControl/>
      <w:spacing w:line="360" w:lineRule="auto"/>
      <w:ind w:firstLine="480" w:firstLineChars="200"/>
      <w:jc w:val="left"/>
    </w:pPr>
    <w:rPr>
      <w:rFonts w:hint="eastAsia" w:ascii="宋体" w:hAnsi="宋体"/>
      <w:sz w:val="24"/>
    </w:rPr>
  </w:style>
  <w:style w:type="paragraph" w:customStyle="1" w:styleId="511">
    <w:name w:val="列出段落3"/>
    <w:qFormat/>
    <w:uiPriority w:val="0"/>
    <w:pPr>
      <w:widowControl w:val="0"/>
      <w:spacing w:line="360" w:lineRule="auto"/>
      <w:ind w:firstLine="420" w:firstLineChars="200"/>
      <w:jc w:val="both"/>
    </w:pPr>
    <w:rPr>
      <w:rFonts w:ascii="Calibri" w:hAnsi="Calibri" w:eastAsia="宋体" w:cs="Times New Roman"/>
      <w:kern w:val="2"/>
      <w:sz w:val="21"/>
      <w:szCs w:val="22"/>
      <w:lang w:val="en-US" w:eastAsia="zh-CN" w:bidi="ar-SA"/>
    </w:rPr>
  </w:style>
  <w:style w:type="character" w:customStyle="1" w:styleId="512">
    <w:name w:val="15"/>
    <w:basedOn w:val="54"/>
    <w:qFormat/>
    <w:uiPriority w:val="0"/>
    <w:rPr>
      <w:rFonts w:hint="default" w:ascii="Times New Roman" w:hAnsi="Times New Roman" w:cs="Times New Roman"/>
    </w:rPr>
  </w:style>
  <w:style w:type="character" w:customStyle="1" w:styleId="513">
    <w:name w:val="10"/>
    <w:basedOn w:val="54"/>
    <w:qFormat/>
    <w:uiPriority w:val="0"/>
    <w:rPr>
      <w:rFonts w:hint="default" w:ascii="Times New Roman" w:hAnsi="Times New Roman" w:cs="Times New Roman"/>
    </w:rPr>
  </w:style>
  <w:style w:type="paragraph" w:customStyle="1" w:styleId="514">
    <w:name w:val="表格标题-LYJ"/>
    <w:basedOn w:val="1"/>
    <w:next w:val="1"/>
    <w:qFormat/>
    <w:uiPriority w:val="0"/>
    <w:pPr>
      <w:spacing w:line="320" w:lineRule="exact"/>
      <w:jc w:val="center"/>
    </w:pPr>
    <w:rPr>
      <w:rFonts w:ascii="Times New Roman" w:hAnsi="Times New Roman" w:eastAsia="宋体" w:cs="Times New Roman"/>
      <w:b/>
      <w:kern w:val="0"/>
      <w:szCs w:val="24"/>
      <w:lang w:val="zh-CN"/>
    </w:rPr>
  </w:style>
  <w:style w:type="paragraph" w:customStyle="1" w:styleId="515">
    <w:name w:val="表格内部-LYJ"/>
    <w:basedOn w:val="1"/>
    <w:qFormat/>
    <w:uiPriority w:val="0"/>
    <w:pPr>
      <w:jc w:val="center"/>
    </w:pPr>
    <w:rPr>
      <w:rFonts w:ascii="Times New Roman" w:hAnsi="Times New Roman" w:eastAsia="宋体" w:cs="Times New Roman"/>
      <w:kern w:val="24"/>
      <w:szCs w:val="18"/>
    </w:rPr>
  </w:style>
  <w:style w:type="paragraph" w:customStyle="1" w:styleId="516">
    <w:name w:val="正文样式1"/>
    <w:basedOn w:val="1"/>
    <w:qFormat/>
    <w:uiPriority w:val="99"/>
    <w:pPr>
      <w:adjustRightInd w:val="0"/>
      <w:spacing w:line="360" w:lineRule="auto"/>
      <w:ind w:firstLine="510"/>
      <w:textAlignment w:val="baseline"/>
    </w:pPr>
    <w:rPr>
      <w:spacing w:val="8"/>
      <w:kern w:val="0"/>
      <w:sz w:val="24"/>
      <w:szCs w:val="20"/>
    </w:rPr>
  </w:style>
  <w:style w:type="paragraph" w:customStyle="1" w:styleId="517">
    <w:name w:val="俺的正文"/>
    <w:basedOn w:val="1"/>
    <w:qFormat/>
    <w:uiPriority w:val="0"/>
    <w:pPr>
      <w:spacing w:line="460" w:lineRule="exact"/>
      <w:ind w:firstLine="200" w:firstLineChars="200"/>
    </w:pPr>
    <w:rPr>
      <w:sz w:val="24"/>
    </w:rPr>
  </w:style>
  <w:style w:type="paragraph" w:customStyle="1" w:styleId="518">
    <w:name w:val="标题二"/>
    <w:qFormat/>
    <w:uiPriority w:val="0"/>
    <w:pPr>
      <w:spacing w:line="360" w:lineRule="auto"/>
    </w:pPr>
    <w:rPr>
      <w:rFonts w:ascii="Calibri" w:hAnsi="Calibri" w:eastAsia="宋体" w:cs="Times New Roman"/>
      <w:b/>
      <w:kern w:val="2"/>
      <w:sz w:val="24"/>
      <w:szCs w:val="24"/>
      <w:lang w:val="en-US" w:eastAsia="zh-CN" w:bidi="ar-SA"/>
    </w:rPr>
  </w:style>
  <w:style w:type="paragraph" w:customStyle="1" w:styleId="519">
    <w:name w:val="样式 宋体 小四 行距: 1.5 倍行距"/>
    <w:basedOn w:val="1"/>
    <w:qFormat/>
    <w:uiPriority w:val="0"/>
    <w:pPr>
      <w:spacing w:line="360" w:lineRule="auto"/>
      <w:ind w:firstLine="480" w:firstLineChars="200"/>
    </w:pPr>
    <w:rPr>
      <w:rFonts w:ascii="宋体" w:hAnsi="宋体" w:cs="宋体"/>
      <w:kern w:val="0"/>
      <w:sz w:val="24"/>
      <w:szCs w:val="20"/>
    </w:rPr>
  </w:style>
  <w:style w:type="paragraph" w:customStyle="1" w:styleId="520">
    <w:name w:val="文本"/>
    <w:qFormat/>
    <w:uiPriority w:val="0"/>
    <w:pPr>
      <w:widowControl w:val="0"/>
      <w:spacing w:line="360" w:lineRule="auto"/>
      <w:ind w:firstLine="480" w:firstLineChars="200"/>
      <w:jc w:val="both"/>
    </w:pPr>
    <w:rPr>
      <w:rFonts w:ascii="Calibri" w:hAnsi="Calibri" w:eastAsia="宋体" w:cs="宋体"/>
      <w:snapToGrid w:val="0"/>
      <w:color w:val="000000"/>
      <w:sz w:val="24"/>
      <w:lang w:val="en-US" w:eastAsia="zh-CN" w:bidi="ar-SA"/>
    </w:rPr>
  </w:style>
  <w:style w:type="paragraph" w:customStyle="1" w:styleId="521">
    <w:name w:val="表、图标题名"/>
    <w:basedOn w:val="1"/>
    <w:qFormat/>
    <w:uiPriority w:val="0"/>
    <w:pPr>
      <w:widowControl/>
      <w:adjustRightInd/>
      <w:snapToGrid/>
      <w:spacing w:beforeLines="50" w:line="240" w:lineRule="auto"/>
      <w:ind w:firstLine="0" w:firstLineChars="0"/>
      <w:jc w:val="center"/>
    </w:pPr>
    <w:rPr>
      <w:b/>
      <w:bCs/>
      <w:kern w:val="0"/>
      <w:szCs w:val="21"/>
    </w:rPr>
  </w:style>
  <w:style w:type="paragraph" w:customStyle="1" w:styleId="522">
    <w:name w:val="￥正文"/>
    <w:basedOn w:val="1"/>
    <w:qFormat/>
    <w:uiPriority w:val="0"/>
    <w:pPr>
      <w:spacing w:after="120" w:line="440" w:lineRule="atLeast"/>
      <w:ind w:firstLine="560" w:firstLineChars="200"/>
    </w:pPr>
    <w:rPr>
      <w:rFonts w:ascii="宋体" w:hAnsi="宋体" w:eastAsia="仿宋_GB2312"/>
      <w:sz w:val="24"/>
      <w:szCs w:val="28"/>
    </w:rPr>
  </w:style>
  <w:style w:type="paragraph" w:customStyle="1" w:styleId="523">
    <w:name w:val="正文A"/>
    <w:basedOn w:val="30"/>
    <w:qFormat/>
    <w:uiPriority w:val="0"/>
    <w:pPr>
      <w:snapToGrid w:val="0"/>
      <w:spacing w:line="360" w:lineRule="auto"/>
      <w:ind w:firstLine="201" w:firstLineChars="201"/>
    </w:pPr>
    <w:rPr>
      <w:rFonts w:ascii="Times New Roman" w:hAnsi="Times New Roman"/>
      <w:sz w:val="24"/>
      <w:szCs w:val="21"/>
    </w:rPr>
  </w:style>
  <w:style w:type="paragraph" w:customStyle="1" w:styleId="524">
    <w:name w:val="表名"/>
    <w:basedOn w:val="1"/>
    <w:next w:val="525"/>
    <w:qFormat/>
    <w:uiPriority w:val="0"/>
    <w:pPr>
      <w:keepNext/>
      <w:spacing w:before="120" w:line="240" w:lineRule="auto"/>
      <w:ind w:firstLine="0" w:firstLineChars="0"/>
      <w:jc w:val="center"/>
    </w:pPr>
    <w:rPr>
      <w:b/>
    </w:rPr>
  </w:style>
  <w:style w:type="paragraph" w:customStyle="1" w:styleId="525">
    <w:name w:val="表头，alt+D"/>
    <w:basedOn w:val="1"/>
    <w:qFormat/>
    <w:uiPriority w:val="0"/>
    <w:pPr>
      <w:spacing w:before="60" w:after="60" w:line="240" w:lineRule="atLeast"/>
      <w:ind w:left="-113" w:right="-113"/>
      <w:jc w:val="center"/>
      <w:textAlignment w:val="center"/>
    </w:pPr>
    <w:rPr>
      <w:color w:val="808000"/>
      <w:sz w:val="24"/>
    </w:rPr>
  </w:style>
  <w:style w:type="paragraph" w:customStyle="1" w:styleId="526">
    <w:name w:val="Table Paragraph"/>
    <w:basedOn w:val="1"/>
    <w:qFormat/>
    <w:uiPriority w:val="0"/>
    <w:pPr>
      <w:jc w:val="center"/>
    </w:pPr>
    <w:rPr>
      <w:rFonts w:eastAsia="Times New Roman"/>
    </w:rPr>
  </w:style>
  <w:style w:type="paragraph" w:customStyle="1" w:styleId="527">
    <w:name w:val="环评表格正文"/>
    <w:basedOn w:val="1"/>
    <w:unhideWhenUsed/>
    <w:qFormat/>
    <w:uiPriority w:val="0"/>
    <w:pPr>
      <w:jc w:val="center"/>
    </w:pPr>
    <w:rPr>
      <w:rFonts w:hint="eastAsia"/>
      <w:sz w:val="21"/>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62.wmf"/><Relationship Id="rId98" Type="http://schemas.openxmlformats.org/officeDocument/2006/relationships/image" Target="media/image61.jpeg"/><Relationship Id="rId97" Type="http://schemas.openxmlformats.org/officeDocument/2006/relationships/image" Target="media/image60.png"/><Relationship Id="rId96" Type="http://schemas.openxmlformats.org/officeDocument/2006/relationships/image" Target="media/image59.png"/><Relationship Id="rId95" Type="http://schemas.openxmlformats.org/officeDocument/2006/relationships/image" Target="media/image58.png"/><Relationship Id="rId94" Type="http://schemas.openxmlformats.org/officeDocument/2006/relationships/image" Target="media/image57.png"/><Relationship Id="rId93" Type="http://schemas.openxmlformats.org/officeDocument/2006/relationships/image" Target="media/image56.png"/><Relationship Id="rId92" Type="http://schemas.openxmlformats.org/officeDocument/2006/relationships/image" Target="media/image55.jpeg"/><Relationship Id="rId91" Type="http://schemas.openxmlformats.org/officeDocument/2006/relationships/image" Target="media/image54.png"/><Relationship Id="rId90" Type="http://schemas.openxmlformats.org/officeDocument/2006/relationships/image" Target="media/image53.png"/><Relationship Id="rId9" Type="http://schemas.openxmlformats.org/officeDocument/2006/relationships/header" Target="header3.xml"/><Relationship Id="rId89" Type="http://schemas.openxmlformats.org/officeDocument/2006/relationships/image" Target="media/image52.png"/><Relationship Id="rId88" Type="http://schemas.openxmlformats.org/officeDocument/2006/relationships/image" Target="media/image51.png"/><Relationship Id="rId87" Type="http://schemas.openxmlformats.org/officeDocument/2006/relationships/image" Target="media/image50.png"/><Relationship Id="rId86" Type="http://schemas.openxmlformats.org/officeDocument/2006/relationships/image" Target="media/image49.png"/><Relationship Id="rId85" Type="http://schemas.openxmlformats.org/officeDocument/2006/relationships/image" Target="media/image48.jpeg"/><Relationship Id="rId84" Type="http://schemas.openxmlformats.org/officeDocument/2006/relationships/image" Target="media/image47.png"/><Relationship Id="rId83" Type="http://schemas.openxmlformats.org/officeDocument/2006/relationships/image" Target="media/image46.png"/><Relationship Id="rId82" Type="http://schemas.openxmlformats.org/officeDocument/2006/relationships/image" Target="media/image45.png"/><Relationship Id="rId81" Type="http://schemas.openxmlformats.org/officeDocument/2006/relationships/image" Target="media/image44.png"/><Relationship Id="rId80" Type="http://schemas.openxmlformats.org/officeDocument/2006/relationships/image" Target="media/image43.png"/><Relationship Id="rId8" Type="http://schemas.openxmlformats.org/officeDocument/2006/relationships/footer" Target="footer4.xml"/><Relationship Id="rId79" Type="http://schemas.openxmlformats.org/officeDocument/2006/relationships/image" Target="media/image42.png"/><Relationship Id="rId78" Type="http://schemas.openxmlformats.org/officeDocument/2006/relationships/image" Target="media/image41.wmf"/><Relationship Id="rId77" Type="http://schemas.openxmlformats.org/officeDocument/2006/relationships/oleObject" Target="embeddings/oleObject19.bin"/><Relationship Id="rId76" Type="http://schemas.openxmlformats.org/officeDocument/2006/relationships/image" Target="media/image40.wmf"/><Relationship Id="rId75" Type="http://schemas.openxmlformats.org/officeDocument/2006/relationships/oleObject" Target="embeddings/oleObject18.bin"/><Relationship Id="rId74" Type="http://schemas.openxmlformats.org/officeDocument/2006/relationships/image" Target="media/image39.wmf"/><Relationship Id="rId73" Type="http://schemas.openxmlformats.org/officeDocument/2006/relationships/oleObject" Target="embeddings/oleObject17.bin"/><Relationship Id="rId72" Type="http://schemas.openxmlformats.org/officeDocument/2006/relationships/image" Target="media/image38.jpeg"/><Relationship Id="rId71" Type="http://schemas.openxmlformats.org/officeDocument/2006/relationships/image" Target="media/image37.jpeg"/><Relationship Id="rId70" Type="http://schemas.openxmlformats.org/officeDocument/2006/relationships/image" Target="media/image36.jpeg"/><Relationship Id="rId7" Type="http://schemas.openxmlformats.org/officeDocument/2006/relationships/header" Target="header2.xml"/><Relationship Id="rId69" Type="http://schemas.openxmlformats.org/officeDocument/2006/relationships/image" Target="media/image35.wmf"/><Relationship Id="rId68" Type="http://schemas.openxmlformats.org/officeDocument/2006/relationships/oleObject" Target="embeddings/oleObject16.bin"/><Relationship Id="rId67" Type="http://schemas.openxmlformats.org/officeDocument/2006/relationships/image" Target="media/image34.wmf"/><Relationship Id="rId66" Type="http://schemas.openxmlformats.org/officeDocument/2006/relationships/oleObject" Target="embeddings/oleObject15.bin"/><Relationship Id="rId65" Type="http://schemas.openxmlformats.org/officeDocument/2006/relationships/image" Target="media/image33.wmf"/><Relationship Id="rId64" Type="http://schemas.openxmlformats.org/officeDocument/2006/relationships/oleObject" Target="embeddings/oleObject14.bin"/><Relationship Id="rId63" Type="http://schemas.openxmlformats.org/officeDocument/2006/relationships/image" Target="media/image32.wmf"/><Relationship Id="rId62" Type="http://schemas.openxmlformats.org/officeDocument/2006/relationships/oleObject" Target="embeddings/oleObject13.bin"/><Relationship Id="rId61" Type="http://schemas.openxmlformats.org/officeDocument/2006/relationships/image" Target="media/image31.wmf"/><Relationship Id="rId60" Type="http://schemas.openxmlformats.org/officeDocument/2006/relationships/oleObject" Target="embeddings/oleObject12.bin"/><Relationship Id="rId6" Type="http://schemas.openxmlformats.org/officeDocument/2006/relationships/footer" Target="footer3.xml"/><Relationship Id="rId59" Type="http://schemas.openxmlformats.org/officeDocument/2006/relationships/image" Target="media/image30.wmf"/><Relationship Id="rId58" Type="http://schemas.openxmlformats.org/officeDocument/2006/relationships/oleObject" Target="embeddings/oleObject11.bin"/><Relationship Id="rId57" Type="http://schemas.openxmlformats.org/officeDocument/2006/relationships/oleObject" Target="embeddings/oleObject10.bin"/><Relationship Id="rId56" Type="http://schemas.openxmlformats.org/officeDocument/2006/relationships/image" Target="media/image29.wmf"/><Relationship Id="rId55" Type="http://schemas.openxmlformats.org/officeDocument/2006/relationships/oleObject" Target="embeddings/oleObject9.bin"/><Relationship Id="rId54" Type="http://schemas.openxmlformats.org/officeDocument/2006/relationships/image" Target="media/image28.wmf"/><Relationship Id="rId53" Type="http://schemas.openxmlformats.org/officeDocument/2006/relationships/oleObject" Target="embeddings/oleObject8.bin"/><Relationship Id="rId52" Type="http://schemas.openxmlformats.org/officeDocument/2006/relationships/image" Target="media/image27.wmf"/><Relationship Id="rId51" Type="http://schemas.openxmlformats.org/officeDocument/2006/relationships/oleObject" Target="embeddings/oleObject7.bin"/><Relationship Id="rId50" Type="http://schemas.openxmlformats.org/officeDocument/2006/relationships/image" Target="media/image26.png"/><Relationship Id="rId5" Type="http://schemas.openxmlformats.org/officeDocument/2006/relationships/header" Target="header1.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wmf"/><Relationship Id="rId46" Type="http://schemas.openxmlformats.org/officeDocument/2006/relationships/oleObject" Target="embeddings/oleObject6.bin"/><Relationship Id="rId45" Type="http://schemas.openxmlformats.org/officeDocument/2006/relationships/image" Target="media/image22.wmf"/><Relationship Id="rId44" Type="http://schemas.openxmlformats.org/officeDocument/2006/relationships/oleObject" Target="embeddings/oleObject5.bin"/><Relationship Id="rId43" Type="http://schemas.openxmlformats.org/officeDocument/2006/relationships/image" Target="media/image21.png"/><Relationship Id="rId42" Type="http://schemas.openxmlformats.org/officeDocument/2006/relationships/image" Target="media/image20.png"/><Relationship Id="rId41" Type="http://schemas.openxmlformats.org/officeDocument/2006/relationships/image" Target="media/image19.png"/><Relationship Id="rId40" Type="http://schemas.openxmlformats.org/officeDocument/2006/relationships/image" Target="media/image18.png"/><Relationship Id="rId4" Type="http://schemas.openxmlformats.org/officeDocument/2006/relationships/footer" Target="footer2.xml"/><Relationship Id="rId39" Type="http://schemas.openxmlformats.org/officeDocument/2006/relationships/image" Target="media/image17.png"/><Relationship Id="rId38" Type="http://schemas.openxmlformats.org/officeDocument/2006/relationships/image" Target="media/image16.png"/><Relationship Id="rId37" Type="http://schemas.openxmlformats.org/officeDocument/2006/relationships/image" Target="media/image15.png"/><Relationship Id="rId36" Type="http://schemas.openxmlformats.org/officeDocument/2006/relationships/image" Target="media/image14.jpeg"/><Relationship Id="rId35" Type="http://schemas.openxmlformats.org/officeDocument/2006/relationships/image" Target="media/image13.png"/><Relationship Id="rId34" Type="http://schemas.openxmlformats.org/officeDocument/2006/relationships/image" Target="media/image12.wmf"/><Relationship Id="rId33" Type="http://schemas.openxmlformats.org/officeDocument/2006/relationships/oleObject" Target="embeddings/oleObject4.bin"/><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footer" Target="footer1.xml"/><Relationship Id="rId29" Type="http://schemas.openxmlformats.org/officeDocument/2006/relationships/image" Target="media/image8.png"/><Relationship Id="rId28" Type="http://schemas.openxmlformats.org/officeDocument/2006/relationships/image" Target="media/image7.png"/><Relationship Id="rId27" Type="http://schemas.openxmlformats.org/officeDocument/2006/relationships/image" Target="media/image6.png"/><Relationship Id="rId26" Type="http://schemas.openxmlformats.org/officeDocument/2006/relationships/image" Target="media/image5.png"/><Relationship Id="rId25" Type="http://schemas.openxmlformats.org/officeDocument/2006/relationships/image" Target="media/image4.png"/><Relationship Id="rId24" Type="http://schemas.openxmlformats.org/officeDocument/2006/relationships/image" Target="media/image3.wmf"/><Relationship Id="rId23" Type="http://schemas.openxmlformats.org/officeDocument/2006/relationships/oleObject" Target="embeddings/oleObject3.bin"/><Relationship Id="rId22" Type="http://schemas.openxmlformats.org/officeDocument/2006/relationships/image" Target="media/image2.wmf"/><Relationship Id="rId21" Type="http://schemas.openxmlformats.org/officeDocument/2006/relationships/oleObject" Target="embeddings/oleObject2.bin"/><Relationship Id="rId20" Type="http://schemas.openxmlformats.org/officeDocument/2006/relationships/image" Target="media/image1.e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theme" Target="theme/theme1.xml"/><Relationship Id="rId17" Type="http://schemas.openxmlformats.org/officeDocument/2006/relationships/header" Target="header6.xml"/><Relationship Id="rId16" Type="http://schemas.openxmlformats.org/officeDocument/2006/relationships/footer" Target="footer9.xml"/><Relationship Id="rId159" Type="http://schemas.openxmlformats.org/officeDocument/2006/relationships/fontTable" Target="fontTable.xml"/><Relationship Id="rId158" Type="http://schemas.openxmlformats.org/officeDocument/2006/relationships/customXml" Target="../customXml/item2.xml"/><Relationship Id="rId157" Type="http://schemas.openxmlformats.org/officeDocument/2006/relationships/numbering" Target="numbering.xml"/><Relationship Id="rId156" Type="http://schemas.openxmlformats.org/officeDocument/2006/relationships/customXml" Target="../customXml/item1.xml"/><Relationship Id="rId155" Type="http://schemas.openxmlformats.org/officeDocument/2006/relationships/image" Target="media/image115.jpeg"/><Relationship Id="rId154" Type="http://schemas.openxmlformats.org/officeDocument/2006/relationships/image" Target="media/image114.jpeg"/><Relationship Id="rId153" Type="http://schemas.openxmlformats.org/officeDocument/2006/relationships/image" Target="media/image113.jpeg"/><Relationship Id="rId152" Type="http://schemas.openxmlformats.org/officeDocument/2006/relationships/image" Target="media/image112.png"/><Relationship Id="rId151" Type="http://schemas.openxmlformats.org/officeDocument/2006/relationships/image" Target="media/image111.png"/><Relationship Id="rId150" Type="http://schemas.openxmlformats.org/officeDocument/2006/relationships/image" Target="media/image110.png"/><Relationship Id="rId15" Type="http://schemas.openxmlformats.org/officeDocument/2006/relationships/header" Target="header5.xml"/><Relationship Id="rId149" Type="http://schemas.openxmlformats.org/officeDocument/2006/relationships/image" Target="media/image109.png"/><Relationship Id="rId148" Type="http://schemas.openxmlformats.org/officeDocument/2006/relationships/image" Target="media/image108.png"/><Relationship Id="rId147" Type="http://schemas.openxmlformats.org/officeDocument/2006/relationships/image" Target="media/image107.png"/><Relationship Id="rId146" Type="http://schemas.openxmlformats.org/officeDocument/2006/relationships/image" Target="media/image106.png"/><Relationship Id="rId145" Type="http://schemas.openxmlformats.org/officeDocument/2006/relationships/image" Target="media/image105.png"/><Relationship Id="rId144" Type="http://schemas.openxmlformats.org/officeDocument/2006/relationships/image" Target="media/image104.png"/><Relationship Id="rId143" Type="http://schemas.openxmlformats.org/officeDocument/2006/relationships/image" Target="media/image103.png"/><Relationship Id="rId142" Type="http://schemas.openxmlformats.org/officeDocument/2006/relationships/image" Target="media/image102.png"/><Relationship Id="rId141" Type="http://schemas.openxmlformats.org/officeDocument/2006/relationships/image" Target="media/image101.png"/><Relationship Id="rId140" Type="http://schemas.openxmlformats.org/officeDocument/2006/relationships/image" Target="media/image100.png"/><Relationship Id="rId14" Type="http://schemas.openxmlformats.org/officeDocument/2006/relationships/footer" Target="footer8.xml"/><Relationship Id="rId139" Type="http://schemas.openxmlformats.org/officeDocument/2006/relationships/image" Target="media/image99.png"/><Relationship Id="rId138" Type="http://schemas.openxmlformats.org/officeDocument/2006/relationships/image" Target="media/image98.png"/><Relationship Id="rId137" Type="http://schemas.openxmlformats.org/officeDocument/2006/relationships/image" Target="media/image97.png"/><Relationship Id="rId136" Type="http://schemas.openxmlformats.org/officeDocument/2006/relationships/image" Target="media/image96.png"/><Relationship Id="rId135" Type="http://schemas.openxmlformats.org/officeDocument/2006/relationships/image" Target="media/image95.png"/><Relationship Id="rId134" Type="http://schemas.openxmlformats.org/officeDocument/2006/relationships/image" Target="media/image94.png"/><Relationship Id="rId133" Type="http://schemas.openxmlformats.org/officeDocument/2006/relationships/image" Target="media/image93.png"/><Relationship Id="rId132" Type="http://schemas.openxmlformats.org/officeDocument/2006/relationships/image" Target="media/image92.png"/><Relationship Id="rId131" Type="http://schemas.openxmlformats.org/officeDocument/2006/relationships/image" Target="media/image91.png"/><Relationship Id="rId130" Type="http://schemas.openxmlformats.org/officeDocument/2006/relationships/image" Target="media/image90.png"/><Relationship Id="rId13" Type="http://schemas.openxmlformats.org/officeDocument/2006/relationships/footer" Target="footer7.xml"/><Relationship Id="rId129" Type="http://schemas.openxmlformats.org/officeDocument/2006/relationships/image" Target="media/image89.png"/><Relationship Id="rId128" Type="http://schemas.openxmlformats.org/officeDocument/2006/relationships/image" Target="media/image88.png"/><Relationship Id="rId127" Type="http://schemas.openxmlformats.org/officeDocument/2006/relationships/image" Target="media/image87.png"/><Relationship Id="rId126" Type="http://schemas.openxmlformats.org/officeDocument/2006/relationships/image" Target="media/image86.png"/><Relationship Id="rId125" Type="http://schemas.openxmlformats.org/officeDocument/2006/relationships/image" Target="media/image85.jpeg"/><Relationship Id="rId124" Type="http://schemas.openxmlformats.org/officeDocument/2006/relationships/image" Target="media/image84.jpeg"/><Relationship Id="rId123" Type="http://schemas.openxmlformats.org/officeDocument/2006/relationships/image" Target="media/image83.jpeg"/><Relationship Id="rId122" Type="http://schemas.openxmlformats.org/officeDocument/2006/relationships/image" Target="media/image82.jpeg"/><Relationship Id="rId121" Type="http://schemas.openxmlformats.org/officeDocument/2006/relationships/image" Target="media/image81.jpeg"/><Relationship Id="rId120" Type="http://schemas.openxmlformats.org/officeDocument/2006/relationships/image" Target="media/image80.jpeg"/><Relationship Id="rId12" Type="http://schemas.openxmlformats.org/officeDocument/2006/relationships/footer" Target="footer6.xml"/><Relationship Id="rId119" Type="http://schemas.openxmlformats.org/officeDocument/2006/relationships/image" Target="media/image79.png"/><Relationship Id="rId118" Type="http://schemas.openxmlformats.org/officeDocument/2006/relationships/image" Target="media/image78.png"/><Relationship Id="rId117" Type="http://schemas.openxmlformats.org/officeDocument/2006/relationships/image" Target="media/image77.png"/><Relationship Id="rId116" Type="http://schemas.openxmlformats.org/officeDocument/2006/relationships/image" Target="media/image76.png"/><Relationship Id="rId115" Type="http://schemas.openxmlformats.org/officeDocument/2006/relationships/image" Target="media/image75.png"/><Relationship Id="rId114" Type="http://schemas.openxmlformats.org/officeDocument/2006/relationships/image" Target="media/image74.png"/><Relationship Id="rId113" Type="http://schemas.openxmlformats.org/officeDocument/2006/relationships/image" Target="media/image73.wmf"/><Relationship Id="rId112" Type="http://schemas.openxmlformats.org/officeDocument/2006/relationships/oleObject" Target="embeddings/oleObject22.bin"/><Relationship Id="rId111" Type="http://schemas.openxmlformats.org/officeDocument/2006/relationships/image" Target="media/image72.png"/><Relationship Id="rId110" Type="http://schemas.openxmlformats.org/officeDocument/2006/relationships/image" Target="media/image71.png"/><Relationship Id="rId11" Type="http://schemas.openxmlformats.org/officeDocument/2006/relationships/header" Target="header4.xml"/><Relationship Id="rId109" Type="http://schemas.openxmlformats.org/officeDocument/2006/relationships/image" Target="media/image70.png"/><Relationship Id="rId108" Type="http://schemas.openxmlformats.org/officeDocument/2006/relationships/image" Target="media/image69.emf"/><Relationship Id="rId107" Type="http://schemas.openxmlformats.org/officeDocument/2006/relationships/image" Target="media/image68.png"/><Relationship Id="rId106" Type="http://schemas.openxmlformats.org/officeDocument/2006/relationships/image" Target="media/image67.wmf"/><Relationship Id="rId105" Type="http://schemas.openxmlformats.org/officeDocument/2006/relationships/image" Target="media/image66.wmf"/><Relationship Id="rId104" Type="http://schemas.openxmlformats.org/officeDocument/2006/relationships/image" Target="media/image65.png"/><Relationship Id="rId103" Type="http://schemas.openxmlformats.org/officeDocument/2006/relationships/image" Target="media/image64.wmf"/><Relationship Id="rId102" Type="http://schemas.openxmlformats.org/officeDocument/2006/relationships/oleObject" Target="embeddings/oleObject21.bin"/><Relationship Id="rId101" Type="http://schemas.openxmlformats.org/officeDocument/2006/relationships/image" Target="media/image63.wmf"/><Relationship Id="rId100" Type="http://schemas.openxmlformats.org/officeDocument/2006/relationships/oleObject" Target="embeddings/oleObject20.bin"/><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73"/>
    <customShpInfo spid="_x0000_s3074"/>
    <customShpInfo spid="_x0000_s3075"/>
    <customShpInfo spid="_x0000_s3077"/>
    <customShpInfo spid="_x0000_s3078" textRotate="1"/>
    <customShpInfo spid="_x0000_s3079"/>
    <customShpInfo spid="_x0000_s2050"/>
    <customShpInfo spid="_x0000_s2052"/>
    <customShpInfo spid="_x0000_s2054"/>
    <customShpInfo spid="_x0000_s2055"/>
    <customShpInfo spid="_x0000_s2056"/>
    <customShpInfo spid="_x0000_s2053"/>
    <customShpInfo spid="_x0000_s2051"/>
    <customShpInfo spid="_x0000_s2840"/>
    <customShpInfo spid="_x0000_s2855"/>
    <customShpInfo spid="_x0000_s2854"/>
    <customShpInfo spid="_x0000_s2853"/>
    <customShpInfo spid="_x0000_s2852"/>
    <customShpInfo spid="_x0000_s2851"/>
    <customShpInfo spid="_x0000_s2850"/>
    <customShpInfo spid="_x0000_s2849"/>
    <customShpInfo spid="_x0000_s2848"/>
    <customShpInfo spid="_x0000_s2847"/>
    <customShpInfo spid="_x0000_s2846"/>
    <customShpInfo spid="_x0000_s2844"/>
    <customShpInfo spid="_x0000_s2845"/>
    <customShpInfo spid="_x0000_s2079"/>
    <customShpInfo spid="_x0000_s2836"/>
    <customShpInfo spid="_x0000_s2842"/>
    <customShpInfo spid="_x0000_s2838"/>
    <customShpInfo spid="_x0000_s2067"/>
    <customShpInfo spid="_x0000_s2082"/>
    <customShpInfo spid="_x0000_s2843"/>
    <customShpInfo spid="_x0000_s2841"/>
    <customShpInfo spid="_x0000_s2839"/>
    <customShpInfo spid="_x0000_s2837"/>
    <customShpInfo spid="_x0000_s2835"/>
    <customShpInfo spid="_x0000_s2834"/>
    <customShpInfo spid="_x0000_s2833"/>
    <customShpInfo spid="_x0000_s2057"/>
    <customShpInfo spid="_x0000_s2084"/>
    <customShpInfo spid="_x0000_s2832"/>
    <customShpInfo spid="_x0000_s2102"/>
    <customShpInfo spid="_x0000_s2831"/>
    <customShpInfo spid="_x0000_s2101"/>
    <customShpInfo spid="_x0000_s2981"/>
    <customShpInfo spid="_x0000_s2971"/>
    <customShpInfo spid="_x0000_s2984"/>
    <customShpInfo spid="_x0000_s2985"/>
    <customShpInfo spid="_x0000_s2982"/>
    <customShpInfo spid="_x0000_s2983"/>
    <customShpInfo spid="_x0000_s2980"/>
    <customShpInfo spid="_x0000_s2977"/>
    <customShpInfo spid="_x0000_s2978"/>
    <customShpInfo spid="_x0000_s2986"/>
    <customShpInfo spid="_x0000_s2987"/>
    <customShpInfo spid="_x0000_s2973"/>
    <customShpInfo spid="_x0000_s2976"/>
    <customShpInfo spid="_x0000_s2975"/>
    <customShpInfo spid="_x0000_s2972"/>
    <customShpInfo spid="_x0000_s2858"/>
    <customShpInfo spid="_x0000_s2857"/>
    <customShpInfo spid="_x0000_s2861"/>
    <customShpInfo spid="_x0000_s2859"/>
    <customShpInfo spid="_x0000_s2106"/>
    <customShpInfo spid="_x0000_s2860"/>
    <customShpInfo spid="_x0000_s2856"/>
    <customShpInfo spid="_x0000_s3007"/>
    <customShpInfo spid="_x0000_s3000"/>
    <customShpInfo spid="_x0000_s2996"/>
    <customShpInfo spid="_x0000_s2995"/>
    <customShpInfo spid="_x0000_s3006"/>
    <customShpInfo spid="_x0000_s3004"/>
    <customShpInfo spid="_x0000_s3005"/>
    <customShpInfo spid="_x0000_s3003"/>
    <customShpInfo spid="_x0000_s3002"/>
    <customShpInfo spid="_x0000_s3001"/>
    <customShpInfo spid="_x0000_s2999"/>
    <customShpInfo spid="_x0000_s2994"/>
    <customShpInfo spid="_x0000_s2927"/>
    <customShpInfo spid="_x0000_s2926"/>
    <customShpInfo spid="_x0000_s2925"/>
    <customShpInfo spid="_x0000_s2924"/>
    <customShpInfo spid="_x0000_s2923"/>
    <customShpInfo spid="_x0000_s2928"/>
    <customShpInfo spid="_x0000_s2929"/>
    <customShpInfo spid="_x0000_s2930"/>
    <customShpInfo spid="_x0000_s2931"/>
    <customShpInfo spid="_x0000_s2932"/>
    <customShpInfo spid="_x0000_s2933"/>
    <customShpInfo spid="_x0000_s2934"/>
    <customShpInfo spid="_x0000_s2935"/>
    <customShpInfo spid="_x0000_s2945"/>
    <customShpInfo spid="_x0000_s2946"/>
    <customShpInfo spid="_x0000_s2956"/>
    <customShpInfo spid="_x0000_s2957"/>
    <customShpInfo spid="_x0000_s2958"/>
    <customShpInfo spid="_x0000_s2883"/>
    <customShpInfo spid="_x0000_s2878"/>
    <customShpInfo spid="_x0000_s2879"/>
    <customShpInfo spid="_x0000_s2880"/>
    <customShpInfo spid="_x0000_s2881"/>
    <customShpInfo spid="_x0000_s2882"/>
    <customShpInfo spid="_x0000_s2862"/>
    <customShpInfo spid="_x0000_s2871"/>
    <customShpInfo spid="_x0000_s2863"/>
    <customShpInfo spid="_x0000_s2869"/>
    <customShpInfo spid="_x0000_s2868"/>
    <customShpInfo spid="_x0000_s2870"/>
    <customShpInfo spid="_x0000_s2864"/>
    <customShpInfo spid="_x0000_s2865"/>
    <customShpInfo spid="_x0000_s2866"/>
    <customShpInfo spid="_x0000_s2867"/>
    <customShpInfo spid="_x0000_s2873"/>
    <customShpInfo spid="_x0000_s2874"/>
    <customShpInfo spid="_x0000_s2875"/>
    <customShpInfo spid="_x0000_s2876"/>
    <customShpInfo spid="_x0000_s2877"/>
    <customShpInfo spid="_x0000_s2872"/>
    <customShpInfo spid="_x0000_s2912"/>
    <customShpInfo spid="_x0000_s2913"/>
    <customShpInfo spid="_x0000_s2911"/>
    <customShpInfo spid="_x0000_s2910"/>
    <customShpInfo spid="_x0000_s2909"/>
    <customShpInfo spid="_x0000_s2908"/>
    <customShpInfo spid="_x0000_s2907"/>
    <customShpInfo spid="_x0000_s2906"/>
    <customShpInfo spid="_x0000_s2905"/>
    <customShpInfo spid="_x0000_s2904"/>
    <customShpInfo spid="_x0000_s2903"/>
    <customShpInfo spid="_x0000_s2902"/>
    <customShpInfo spid="_x0000_s2901"/>
    <customShpInfo spid="_x0000_s2900"/>
    <customShpInfo spid="_x0000_s2899"/>
    <customShpInfo spid="_x0000_s2898"/>
    <customShpInfo spid="_x0000_s2897"/>
    <customShpInfo spid="_x0000_s2896"/>
    <customShpInfo spid="_x0000_s2895"/>
    <customShpInfo spid="_x0000_s2894"/>
    <customShpInfo spid="_x0000_s2893"/>
    <customShpInfo spid="_x0000_s2892"/>
    <customShpInfo spid="_x0000_s2888"/>
    <customShpInfo spid="_x0000_s2891"/>
    <customShpInfo spid="_x0000_s2890"/>
    <customShpInfo spid="_x0000_s2889"/>
    <customShpInfo spid="_x0000_s2887"/>
    <customShpInfo spid="_x0000_s2886"/>
    <customShpInfo spid="_x0000_s2885"/>
    <customShpInfo spid="_x0000_s2884"/>
    <customShpInfo spid="_x0000_s2058"/>
    <customShpInfo spid="_x0000_s2059"/>
    <customShpInfo spid="_x0000_s2060"/>
    <customShpInfo spid="_x0000_s2061"/>
    <customShpInfo spid="_x0000_s2062"/>
    <customShpInfo spid="_x0000_s2063"/>
    <customShpInfo spid="_x0000_s2064"/>
    <customShpInfo spid="_x0000_s2065"/>
    <customShpInfo spid="_x0000_s2066"/>
    <customShpInfo spid="_x0000_s2068"/>
    <customShpInfo spid="_x0000_s2069"/>
    <customShpInfo spid="_x0000_s2070"/>
    <customShpInfo spid="_x0000_s2071"/>
    <customShpInfo spid="_x0000_s2072"/>
    <customShpInfo spid="_x0000_s2073"/>
    <customShpInfo spid="_x0000_s2074"/>
    <customShpInfo spid="_x0000_s2075"/>
    <customShpInfo spid="_x0000_s2076"/>
    <customShpInfo spid="_x0000_s2077"/>
    <customShpInfo spid="_x0000_s2080"/>
    <customShpInfo spid="_x0000_s2081"/>
    <customShpInfo spid="_x0000_s2083"/>
    <customShpInfo spid="_x0000_s2078"/>
    <customShpInfo spid="_x0000_s2085"/>
    <customShpInfo spid="_x0000_s2086"/>
    <customShpInfo spid="_x0000_s2087"/>
    <customShpInfo spid="_x0000_s2088"/>
    <customShpInfo spid="_x0000_s2089"/>
    <customShpInfo spid="_x0000_s2090"/>
    <customShpInfo spid="_x0000_s2091"/>
    <customShpInfo spid="_x0000_s2093"/>
    <customShpInfo spid="_x0000_s2094"/>
    <customShpInfo spid="_x0000_s2095"/>
    <customShpInfo spid="_x0000_s2092"/>
    <customShpInfo spid="_x0000_s2097"/>
    <customShpInfo spid="_x0000_s2098"/>
    <customShpInfo spid="_x0000_s2099"/>
    <customShpInfo spid="_x0000_s2100"/>
    <customShpInfo spid="_x0000_s2096"/>
    <customShpInfo spid="_x0000_s2103"/>
    <customShpInfo spid="_x0000_s2104"/>
    <customShpInfo spid="_x0000_s2105"/>
    <customShpInfo spid="_x0000_s2107"/>
    <customShpInfo spid="_x0000_s2108"/>
    <customShpInfo spid="_x0000_s2109"/>
    <customShpInfo spid="_x0000_s2110"/>
    <customShpInfo spid="_x0000_s2111"/>
    <customShpInfo spid="_x0000_s2112"/>
    <customShpInfo spid="_x0000_s2113"/>
    <customShpInfo spid="_x0000_s2114"/>
    <customShpInfo spid="_x0000_s2115"/>
    <customShpInfo spid="_x0000_s2116"/>
    <customShpInfo spid="_x0000_s2117"/>
    <customShpInfo spid="_x0000_s2118"/>
    <customShpInfo spid="_x0000_s2119"/>
    <customShpInfo spid="_x0000_s2120"/>
    <customShpInfo spid="_x0000_s2121"/>
    <customShpInfo spid="_x0000_s2122"/>
    <customShpInfo spid="_x0000_s2123"/>
    <customShpInfo spid="_x0000_s2124"/>
    <customShpInfo spid="_x0000_s2125"/>
    <customShpInfo spid="_x0000_s2126"/>
    <customShpInfo spid="_x0000_s2127"/>
    <customShpInfo spid="_x0000_s2128"/>
    <customShpInfo spid="_x0000_s2129"/>
    <customShpInfo spid="_x0000_s2130"/>
    <customShpInfo spid="_x0000_s2131"/>
    <customShpInfo spid="_x0000_s2132"/>
    <customShpInfo spid="_x0000_s2133"/>
    <customShpInfo spid="_x0000_s2134"/>
    <customShpInfo spid="_x0000_s2490"/>
    <customShpInfo spid="_x0000_s2489"/>
    <customShpInfo spid="_x0000_s2815"/>
    <customShpInfo spid="_x0000_s2491"/>
    <customShpInfo spid="_x0000_s2492"/>
    <customShpInfo spid="_x0000_s2760"/>
    <customShpInfo spid="_x0000_s2759"/>
    <customShpInfo spid="_x0000_s2494"/>
    <customShpInfo spid="_x0000_s2495"/>
    <customShpInfo spid="_x0000_s2496"/>
    <customShpInfo spid="_x0000_s2970"/>
    <customShpInfo spid="_x0000_s2965"/>
    <customShpInfo spid="_x0000_s2969"/>
    <customShpInfo spid="_x0000_s2968"/>
    <customShpInfo spid="_x0000_s2964"/>
    <customShpInfo spid="_x0000_s2967"/>
    <customShpInfo spid="_x0000_s2966"/>
    <customShpInfo spid="_x0000_s2499"/>
    <customShpInfo spid="_x0000_s2963"/>
    <customShpInfo spid="_x0000_s2962"/>
    <customShpInfo spid="_x0000_s2599"/>
    <customShpInfo spid="_x0000_s2961"/>
    <customShpInfo spid="_x0000_s2601"/>
    <customShpInfo spid="_x0000_s2960"/>
    <customShpInfo spid="_x0000_s2819"/>
    <customShpInfo spid="_x0000_s2818"/>
    <customShpInfo spid="_x0000_s2751"/>
    <customShpInfo spid="_x0000_s2609"/>
    <customShpInfo spid="_x0000_s2608"/>
    <customShpInfo spid="_x0000_s2606"/>
    <customShpInfo spid="_x0000_s2816"/>
    <customShpInfo spid="_x0000_s2598"/>
    <customShpInfo spid="_x0000_s2600"/>
    <customShpInfo spid="_x0000_s2500"/>
    <customShpInfo spid="_x0000_s2501"/>
    <customShpInfo spid="_x0000_s2502"/>
    <customShpInfo spid="_x0000_s2761"/>
    <customShpInfo spid="_x0000_s2762"/>
    <customShpInfo spid="_x0000_s2711"/>
    <customShpInfo spid="_x0000_s2712"/>
    <customShpInfo spid="_x0000_s2713"/>
    <customShpInfo spid="_x0000_s2714"/>
    <customShpInfo spid="_x0000_s2710"/>
    <customShpInfo spid="_x0000_s2709"/>
    <customShpInfo spid="_x0000_s2708"/>
    <customShpInfo spid="_x0000_s2707"/>
    <customShpInfo spid="_x0000_s2706"/>
    <customShpInfo spid="_x0000_s2705"/>
    <customShpInfo spid="_x0000_s2704"/>
    <customShpInfo spid="_x0000_s2703"/>
    <customShpInfo spid="_x0000_s2702"/>
    <customShpInfo spid="_x0000_s2701"/>
    <customShpInfo spid="_x0000_s2822"/>
    <customShpInfo spid="_x0000_s2823"/>
    <customShpInfo spid="_x0000_s2821"/>
    <customShpInfo spid="_x0000_s2824"/>
    <customShpInfo spid="_x0000_s2820"/>
    <customShpInfo spid="_x0000_s28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174F785-35B0-4EDB-B3E1-CD6262647C19}">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335</Pages>
  <Words>120711</Words>
  <Characters>148987</Characters>
  <Lines>1</Lines>
  <Paragraphs>1</Paragraphs>
  <TotalTime>9</TotalTime>
  <ScaleCrop>false</ScaleCrop>
  <LinksUpToDate>false</LinksUpToDate>
  <CharactersWithSpaces>159028</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2017-07-04T02:26:00Z</dcterms:created>
  <dc:creator>ff</dc:creator>
  <cp:lastModifiedBy>Administrator</cp:lastModifiedBy>
  <cp:lastPrinted>2021-06-12T22:13:00Z</cp:lastPrinted>
  <dcterms:modified xsi:type="dcterms:W3CDTF">2021-12-10T05:16:50Z</dcterms:modified>
  <dc:title>1 总论</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339D1F182426430F9AA3FFB970D4BC57</vt:lpwstr>
  </property>
</Properties>
</file>