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kern w:val="0"/>
          <w:sz w:val="32"/>
          <w:szCs w:val="32"/>
        </w:rPr>
        <w:t>附件1</w:t>
      </w:r>
    </w:p>
    <w:p>
      <w:pPr>
        <w:jc w:val="center"/>
        <w:rPr>
          <w:rFonts w:ascii="方正小标宋简体" w:hAnsi="华文仿宋" w:eastAsia="方正小标宋简体" w:cs="华文仿宋"/>
          <w:sz w:val="44"/>
          <w:szCs w:val="44"/>
        </w:rPr>
      </w:pPr>
      <w:r>
        <w:rPr>
          <w:rFonts w:hint="eastAsia" w:ascii="方正小标宋简体" w:hAnsi="华文仿宋" w:eastAsia="方正小标宋简体" w:cs="华文仿宋"/>
          <w:sz w:val="44"/>
          <w:szCs w:val="44"/>
        </w:rPr>
        <w:t>即办件办理流程图</w:t>
      </w:r>
    </w:p>
    <w:p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74310" cy="6981825"/>
            <wp:effectExtent l="0" t="0" r="0" b="0"/>
            <wp:docPr id="6" name="ECB019B1-382A-4266-B25C-5B523AA43C14-1" descr="C:/Users/Lenovo/AppData/Local/Temp/wps.fRTHls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CB019B1-382A-4266-B25C-5B523AA43C14-1" descr="C:/Users/Lenovo/AppData/Local/Temp/wps.fRTHlswps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8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附件2</w:t>
      </w:r>
    </w:p>
    <w:p>
      <w:pPr>
        <w:jc w:val="center"/>
        <w:rPr>
          <w:rFonts w:ascii="方正小标宋简体" w:hAnsi="华文仿宋" w:eastAsia="方正小标宋简体" w:cs="华文仿宋"/>
          <w:sz w:val="44"/>
          <w:szCs w:val="44"/>
        </w:rPr>
      </w:pPr>
      <w:r>
        <w:rPr>
          <w:rFonts w:hint="eastAsia" w:ascii="方正小标宋简体" w:hAnsi="华文仿宋" w:eastAsia="方正小标宋简体" w:cs="华文仿宋"/>
          <w:sz w:val="44"/>
          <w:szCs w:val="44"/>
        </w:rPr>
        <w:t>备案件办理流程图</w:t>
      </w:r>
    </w:p>
    <w:p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4986655" cy="7096125"/>
            <wp:effectExtent l="0" t="0" r="0" b="0"/>
            <wp:docPr id="2" name="ECB019B1-382A-4266-B25C-5B523AA43C14-4" descr="C:/Users/Lenovo/AppData/Local/Temp/wps.aIlvRk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CB019B1-382A-4266-B25C-5B523AA43C14-4" descr="C:/Users/Lenovo/AppData/Local/Temp/wps.aIlvRkwps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85898" cy="7094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附件3</w:t>
      </w:r>
    </w:p>
    <w:p>
      <w:pPr>
        <w:jc w:val="center"/>
        <w:rPr>
          <w:rFonts w:ascii="方正小标宋简体" w:hAnsi="华文仿宋" w:eastAsia="方正小标宋简体" w:cs="华文仿宋"/>
          <w:sz w:val="44"/>
          <w:szCs w:val="44"/>
        </w:rPr>
      </w:pPr>
      <w:r>
        <w:rPr>
          <w:rFonts w:hint="eastAsia" w:ascii="方正小标宋简体" w:hAnsi="华文仿宋" w:eastAsia="方正小标宋简体" w:cs="华文仿宋"/>
          <w:sz w:val="44"/>
          <w:szCs w:val="44"/>
        </w:rPr>
        <w:t>一般承诺件审批流程图</w:t>
      </w:r>
    </w:p>
    <w:p>
      <w:pPr>
        <w:jc w:val="center"/>
      </w:pPr>
      <w:r>
        <w:drawing>
          <wp:inline distT="0" distB="0" distL="114300" distR="114300">
            <wp:extent cx="5088890" cy="7010400"/>
            <wp:effectExtent l="0" t="0" r="0" b="0"/>
            <wp:docPr id="4" name="ECB019B1-382A-4266-B25C-5B523AA43C14-1" descr="C:/Users/Lenovo/AppData/Local/Temp/wps.CHttqS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CB019B1-382A-4266-B25C-5B523AA43C14-1" descr="C:/Users/Lenovo/AppData/Local/Temp/wps.CHttqSwps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89832" cy="701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附件4</w:t>
      </w:r>
    </w:p>
    <w:p>
      <w:pPr>
        <w:jc w:val="center"/>
        <w:rPr>
          <w:rFonts w:ascii="方正小标宋简体" w:hAnsi="华文仿宋" w:eastAsia="方正小标宋简体" w:cs="华文仿宋"/>
          <w:sz w:val="44"/>
          <w:szCs w:val="44"/>
        </w:rPr>
      </w:pPr>
      <w:r>
        <w:rPr>
          <w:rFonts w:hint="eastAsia" w:ascii="方正小标宋简体" w:hAnsi="华文仿宋" w:eastAsia="方正小标宋简体" w:cs="华文仿宋"/>
          <w:sz w:val="44"/>
          <w:szCs w:val="44"/>
        </w:rPr>
        <w:t>特殊承诺件审批流程图</w:t>
      </w:r>
    </w:p>
    <w:p>
      <w:pPr>
        <w:jc w:val="center"/>
        <w:rPr>
          <w:rFonts w:hint="eastAsia" w:eastAsia="仿宋_GB2312"/>
          <w:sz w:val="28"/>
          <w:szCs w:val="28"/>
        </w:rPr>
      </w:pPr>
      <w:r>
        <w:rPr>
          <w:rFonts w:hint="eastAsia"/>
        </w:rPr>
        <w:drawing>
          <wp:inline distT="0" distB="0" distL="114300" distR="114300">
            <wp:extent cx="4954905" cy="6619875"/>
            <wp:effectExtent l="0" t="0" r="0" b="0"/>
            <wp:docPr id="9" name="ECB019B1-382A-4266-B25C-5B523AA43C14-1" descr="C:/Users/Lenovo/AppData/Local/Temp/wps.ZOHtVM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ECB019B1-382A-4266-B25C-5B523AA43C14-1" descr="C:/Users/Lenovo/AppData/Local/Temp/wps.ZOHtVMwps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3575" cy="6617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exact"/>
        <w:jc w:val="left"/>
        <w:rPr>
          <w:rFonts w:eastAsia="仿宋_GB2312"/>
          <w:sz w:val="28"/>
          <w:szCs w:val="28"/>
        </w:rPr>
        <w:sectPr>
          <w:footerReference r:id="rId3" w:type="default"/>
          <w:footerReference r:id="rId4" w:type="even"/>
          <w:pgSz w:w="11906" w:h="16838"/>
          <w:pgMar w:top="2098" w:right="1588" w:bottom="1871" w:left="1701" w:header="851" w:footer="992" w:gutter="0"/>
          <w:pgNumType w:fmt="numberInDash"/>
          <w:cols w:space="425" w:num="1"/>
          <w:docGrid w:type="linesAndChars" w:linePitch="312" w:charSpace="0"/>
        </w:sectPr>
      </w:pPr>
      <w:r>
        <w:rPr>
          <w:rFonts w:eastAsia="仿宋_GB2312"/>
          <w:sz w:val="28"/>
          <w:szCs w:val="28"/>
        </w:rPr>
        <w:drawing>
          <wp:inline distT="0" distB="0" distL="114300" distR="114300">
            <wp:extent cx="5275580" cy="7753350"/>
            <wp:effectExtent l="0" t="0" r="0" b="0"/>
            <wp:docPr id="3" name="ECB019B1-382A-4266-B25C-5B523AA43C14-1" descr="C:/Users/Lenovo/AppData/Local/Temp/wps.CHttqS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CB019B1-382A-4266-B25C-5B523AA43C14-1" descr="C:/Users/Lenovo/AppData/Local/Temp/wps.CHttqSwps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805" cy="775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附件5</w:t>
      </w:r>
    </w:p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1103"/>
        <w:gridCol w:w="1276"/>
        <w:gridCol w:w="4504"/>
        <w:gridCol w:w="5633"/>
        <w:gridCol w:w="95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52"/>
                <w:szCs w:val="5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52"/>
                <w:szCs w:val="52"/>
              </w:rPr>
              <w:t>交通运输分中心事项目录表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4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38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项目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类型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项目名称以及相关流程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4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主项</w:t>
            </w:r>
          </w:p>
        </w:tc>
        <w:tc>
          <w:tcPr>
            <w:tcW w:w="15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具体项目</w:t>
            </w:r>
          </w:p>
        </w:tc>
        <w:tc>
          <w:tcPr>
            <w:tcW w:w="19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业务流程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3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45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道路旅客运输经营许可</w:t>
            </w:r>
          </w:p>
        </w:tc>
        <w:tc>
          <w:tcPr>
            <w:tcW w:w="15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1.道路旅客运输经营许可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（含班车、包车、旅游）</w:t>
            </w:r>
          </w:p>
        </w:tc>
        <w:tc>
          <w:tcPr>
            <w:tcW w:w="1987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企业申请→窗口受理审核材料出具《交通行政许可申请受理通知书》或《交通行政许可不予受理决定书》→将材料发送到指调中心→指调中心通知客运大队对企业进行现场勘验、核实，在规定时间填写现场勘验意见书→提交意见书到行政审批专班例会讨论通过→局党组办公会研究决定→中心负责人审批→ 材料归档→信息录入→制证</w:t>
            </w:r>
          </w:p>
        </w:tc>
        <w:tc>
          <w:tcPr>
            <w:tcW w:w="336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承诺件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2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2.道路客运班线许可（含新增）</w:t>
            </w:r>
          </w:p>
        </w:tc>
        <w:tc>
          <w:tcPr>
            <w:tcW w:w="198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3.《道路运输证》核发、换发、补发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、注销</w:t>
            </w:r>
          </w:p>
        </w:tc>
        <w:tc>
          <w:tcPr>
            <w:tcW w:w="19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申请人提出申请→窗口受理→材料齐全即刻办理或不予办理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即办件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2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3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道路货运经营许可</w:t>
            </w:r>
          </w:p>
        </w:tc>
        <w:tc>
          <w:tcPr>
            <w:tcW w:w="15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1.道路货物运输经营许可（含普通货运、专用运输、大件运输）</w:t>
            </w:r>
          </w:p>
        </w:tc>
        <w:tc>
          <w:tcPr>
            <w:tcW w:w="19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企业申请→窗口受理审核材料并出具《交通行政许可申请受理通知书》或《交通行政许可不予受理决定书》→将材料发送到指调中心→指调中心通知货运大队对企业进行现场勘验和核实，填写现场勘验意见书→提交上行政审批专班例会讨论通过→中心负责人审批→材料归档→信息录入→制证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承诺件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2.道路普通货运车辆道路运输证核发、换发、补发、审验、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注销</w:t>
            </w:r>
          </w:p>
        </w:tc>
        <w:tc>
          <w:tcPr>
            <w:tcW w:w="19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申请人提出申请→窗口受理→材料齐全即刻办理或不予办理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即办件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3、网络平台道路货物运输</w:t>
            </w:r>
          </w:p>
        </w:tc>
        <w:tc>
          <w:tcPr>
            <w:tcW w:w="19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申请人提出申请→窗口受理材料→协调省相关部门线上能力认定→会同当地交通管理部门现场勘验及考核→省监测平台开户并启动数据对接→整理档案拟提交上行政审批专班例会讨论通过→中心负责人审批→归档保存→信息录入→制证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承诺件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38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45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出租汽车经营许可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1.巡游客运出租汽车经营许可</w:t>
            </w:r>
          </w:p>
        </w:tc>
        <w:tc>
          <w:tcPr>
            <w:tcW w:w="198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企业申请→窗口受理审核材料并出具《交通行政许可申请受理通知书》或《交通行政许可不予受理决定书》→将材料发送到指调中心→指调中心通知出租大队对企业进行现场勘验、核实，在规定时间填写现场勘验意见书→提交上会材料→行政审批专班例会讨论通过→局党组办公会研究决定→中心负责人审批→材料归档→信息录入→制证</w:t>
            </w:r>
          </w:p>
        </w:tc>
        <w:tc>
          <w:tcPr>
            <w:tcW w:w="33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承诺件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2.网络预约客运出租汽车经营许可</w:t>
            </w:r>
          </w:p>
        </w:tc>
        <w:tc>
          <w:tcPr>
            <w:tcW w:w="19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危险货物运输经营许可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1.道路危险货物运输经营许可设立、变更、延续、注销</w:t>
            </w:r>
          </w:p>
        </w:tc>
        <w:tc>
          <w:tcPr>
            <w:tcW w:w="198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申请人提出申请→窗口受理初审材料并出具《交通行政许可申请受理通知书》或《交通行政许可不予受理决定书》→将资料发送到指调中心→指调中心通知货运大队对企业进行现场勘验、核实，在规定时间填写现场勘验意见书→提交材料上行政审批专班例会讨论通过→局党组办公会研究决定→材料归档→信息录入→中心负责人审批→制证</w:t>
            </w:r>
          </w:p>
        </w:tc>
        <w:tc>
          <w:tcPr>
            <w:tcW w:w="33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承诺件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2.非经营性道路危险货物运输许可设立、变更、延续、注销</w:t>
            </w:r>
          </w:p>
        </w:tc>
        <w:tc>
          <w:tcPr>
            <w:tcW w:w="19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3.危险货物运输道路运输证核发、换发、补发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、注销（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含非经营性）</w:t>
            </w:r>
          </w:p>
        </w:tc>
        <w:tc>
          <w:tcPr>
            <w:tcW w:w="19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申请人提出申请→货运窗口受理→材料齐全即刻办理或不予办理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即办件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放射性物品道路运输经营许可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1.放射性物品道路运输许可设立、变更、延续、注销</w:t>
            </w:r>
          </w:p>
        </w:tc>
        <w:tc>
          <w:tcPr>
            <w:tcW w:w="198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企业申请→窗口受理初审材料并出具《交通行政许可申请受理通知书》或《交通行政许可不予受理决定书》→将资料发送到指调中心→指调中心通知货运大队对企业进行现场勘验、核实，在规定时间填写现场勘验意见书→提交材料上行政审批专班例会讨论通过→局党组办公会研究决定→材料归档→信息录入→制证</w:t>
            </w:r>
          </w:p>
        </w:tc>
        <w:tc>
          <w:tcPr>
            <w:tcW w:w="33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承诺件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13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2.非经营性放射性物品道路运输许可设立、变更、延续、注销</w:t>
            </w:r>
          </w:p>
        </w:tc>
        <w:tc>
          <w:tcPr>
            <w:tcW w:w="19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14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3.放射性物品道路运输证核发、换发、补发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、注销</w:t>
            </w:r>
          </w:p>
        </w:tc>
        <w:tc>
          <w:tcPr>
            <w:tcW w:w="19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申请人提出申请→窗口受理→材料齐全即刻办理或不予办理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即办件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车辆运输证核发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1.巡游客运出租汽车道路运输证核发、换发、补发、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注销</w:t>
            </w:r>
          </w:p>
        </w:tc>
        <w:tc>
          <w:tcPr>
            <w:tcW w:w="198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申请人提出申请→窗口受理→材料齐全即刻办理或不予办理</w:t>
            </w:r>
          </w:p>
        </w:tc>
        <w:tc>
          <w:tcPr>
            <w:tcW w:w="33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即办件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16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2.网络预约客运出租汽车道路运输证核发、换发、补发、注销</w:t>
            </w:r>
          </w:p>
        </w:tc>
        <w:tc>
          <w:tcPr>
            <w:tcW w:w="19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17</w:t>
            </w:r>
          </w:p>
        </w:tc>
        <w:tc>
          <w:tcPr>
            <w:tcW w:w="38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经营性道路旅客运输驾驶员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从业资格证核发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98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申请人申请→窗口受理审核→确认参考资格→组织资格考试→信息采集→审核考试成绩→制证；</w:t>
            </w:r>
          </w:p>
        </w:tc>
        <w:tc>
          <w:tcPr>
            <w:tcW w:w="33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承诺件、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18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经营性道路货物运输驾驶员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从业资格证核发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9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19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出租汽车驾驶员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从业资格证核发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9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放射性物品道路运输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从业人员资格证核发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9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21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危险货物道路运输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从业人员资格证核发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9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22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公路超限运输许可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公路超限运输许可-省内公路（总重100吨以下）超限运输许可</w:t>
            </w:r>
          </w:p>
        </w:tc>
        <w:tc>
          <w:tcPr>
            <w:tcW w:w="19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申请人网上申请→网上受理并初审→治超科组织复核→专班例会讨论通过后→分管治超领导审批→制证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即办件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23</w:t>
            </w:r>
          </w:p>
        </w:tc>
        <w:tc>
          <w:tcPr>
            <w:tcW w:w="3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船员适任证书核发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9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申请人申请→窗口受理初审→发送指调中心→运政科复核→专班例会讨论通过→中心负责人审批→材料归档→制证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承诺件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24</w:t>
            </w:r>
          </w:p>
        </w:tc>
        <w:tc>
          <w:tcPr>
            <w:tcW w:w="38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行政确认</w:t>
            </w: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船舶最低安全配员证书签发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98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申请人申请→窗口受理初审→运政科复核→窗口负责人审批→材料归档</w:t>
            </w:r>
          </w:p>
        </w:tc>
        <w:tc>
          <w:tcPr>
            <w:tcW w:w="33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即办件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25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船舶登记（含所有权、变更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抵押权、注销、光船租赁、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废钢船）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9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26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船舶名称核准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9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27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出租汽车驾驶员从业资格注册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1.巡游客运出租汽车驾驶员从业资格注册</w:t>
            </w:r>
          </w:p>
        </w:tc>
        <w:tc>
          <w:tcPr>
            <w:tcW w:w="198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 xml:space="preserve">申请人申请→窗口受理→数据录入    </w:t>
            </w:r>
          </w:p>
        </w:tc>
        <w:tc>
          <w:tcPr>
            <w:tcW w:w="33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即办件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28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2.网约客运出租汽车驾驶员从业资格注册</w:t>
            </w:r>
          </w:p>
        </w:tc>
        <w:tc>
          <w:tcPr>
            <w:tcW w:w="19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29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道路运输达标车辆核查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9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申请人申请→窗口受理并实车核查→系统录入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即办件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30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公路施工作业验收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公路施工作业验收-高速公路</w:t>
            </w:r>
          </w:p>
        </w:tc>
        <w:tc>
          <w:tcPr>
            <w:tcW w:w="19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申请人申请→窗口受理初审材料→发送指调中心→通知路政科组织相关大队现场勘验形成意见→行政审批专班例会讨论通过→各路政业务大队验收→材料归档</w:t>
            </w:r>
          </w:p>
        </w:tc>
        <w:tc>
          <w:tcPr>
            <w:tcW w:w="3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承诺件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31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其他行政权力</w:t>
            </w: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道路运输企业设立分公司备案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9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申请人申请→窗口受理初审→发送指调中心→货运大队复核并实施监管。</w:t>
            </w:r>
          </w:p>
        </w:tc>
        <w:tc>
          <w:tcPr>
            <w:tcW w:w="3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即办件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32</w:t>
            </w:r>
          </w:p>
        </w:tc>
        <w:tc>
          <w:tcPr>
            <w:tcW w:w="38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其他行政权力</w:t>
            </w: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汽车租赁经营备案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98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企业申请→窗口受理→发送指调中心→相关业务大队复核并实施监管</w:t>
            </w:r>
          </w:p>
        </w:tc>
        <w:tc>
          <w:tcPr>
            <w:tcW w:w="33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即办件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33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机动车维修备案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9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34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普通机动车驾驶员培训经营变更备案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9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35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道路运输驾驶员从业资格</w:t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培训经营变更备案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9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36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危险货物运输经营变更备案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1.道路危险货物运输企业设立分公司</w:t>
            </w:r>
          </w:p>
        </w:tc>
        <w:tc>
          <w:tcPr>
            <w:tcW w:w="198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申请人提出申请→窗口受理→发送指调中心→执调中心通知货运大队对企业进行现场勘验、核实，填写现场勘验意见书→提交上行政审批专班例会讨论通过→中心负责人审批→材料归档→信息录入→下发&lt;准予备案通知书&gt;</w:t>
            </w:r>
          </w:p>
        </w:tc>
        <w:tc>
          <w:tcPr>
            <w:tcW w:w="33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承诺件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37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2.危险货物运输经营变更备案（变更法定代表人、名称、地址）</w:t>
            </w:r>
          </w:p>
        </w:tc>
        <w:tc>
          <w:tcPr>
            <w:tcW w:w="19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38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机动车驾驶员培训备案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1.普通机动车驾驶员培训经营备案</w:t>
            </w:r>
          </w:p>
        </w:tc>
        <w:tc>
          <w:tcPr>
            <w:tcW w:w="198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企业申请→窗口受理→发送指调中心→驾培大队复核并实施监管</w:t>
            </w:r>
          </w:p>
        </w:tc>
        <w:tc>
          <w:tcPr>
            <w:tcW w:w="33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即办件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39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2.机动车驾驶员培训教练场经营备案</w:t>
            </w:r>
          </w:p>
        </w:tc>
        <w:tc>
          <w:tcPr>
            <w:tcW w:w="19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40</w:t>
            </w:r>
          </w:p>
        </w:tc>
        <w:tc>
          <w:tcPr>
            <w:tcW w:w="38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5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3.道路运输驾驶员从业资格培训经营备案</w:t>
            </w:r>
          </w:p>
        </w:tc>
        <w:tc>
          <w:tcPr>
            <w:tcW w:w="19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>
      <w:pPr>
        <w:spacing w:line="360" w:lineRule="auto"/>
        <w:rPr>
          <w:rFonts w:ascii="仿宋_GB2312" w:hAnsi="仿宋" w:eastAsia="仿宋_GB2312"/>
          <w:color w:val="000000" w:themeColor="text1"/>
          <w:sz w:val="32"/>
          <w:szCs w:val="32"/>
        </w:rPr>
      </w:pPr>
    </w:p>
    <w:p>
      <w:pPr>
        <w:spacing w:line="360" w:lineRule="auto"/>
        <w:rPr>
          <w:rFonts w:ascii="仿宋_GB2312" w:hAnsi="仿宋" w:eastAsia="仿宋_GB2312"/>
          <w:color w:val="000000" w:themeColor="text1"/>
          <w:sz w:val="32"/>
          <w:szCs w:val="32"/>
        </w:rPr>
      </w:pPr>
    </w:p>
    <w:p>
      <w:pPr>
        <w:spacing w:line="360" w:lineRule="auto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附件6</w:t>
      </w:r>
    </w:p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1134"/>
        <w:gridCol w:w="2410"/>
        <w:gridCol w:w="5247"/>
        <w:gridCol w:w="3337"/>
        <w:gridCol w:w="123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5000" w:type="pct"/>
            <w:gridSpan w:val="6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52"/>
                <w:szCs w:val="5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52"/>
                <w:szCs w:val="52"/>
              </w:rPr>
              <w:t>市政务服务中心事项目录表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8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40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项目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类型</w:t>
            </w:r>
          </w:p>
        </w:tc>
        <w:tc>
          <w:tcPr>
            <w:tcW w:w="270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11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3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8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40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主项</w:t>
            </w:r>
          </w:p>
        </w:tc>
        <w:tc>
          <w:tcPr>
            <w:tcW w:w="18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具体项目</w:t>
            </w:r>
          </w:p>
        </w:tc>
        <w:tc>
          <w:tcPr>
            <w:tcW w:w="11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业务流程</w:t>
            </w:r>
          </w:p>
        </w:tc>
        <w:tc>
          <w:tcPr>
            <w:tcW w:w="4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2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40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占用、挖掘公路、公路用地或者使公路改线审批</w:t>
            </w:r>
          </w:p>
        </w:tc>
        <w:tc>
          <w:tcPr>
            <w:tcW w:w="18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占用、挖掘公路、公路用地或者使公路改线审批—（高速公路和国省干线重大工程除外）</w:t>
            </w:r>
          </w:p>
        </w:tc>
        <w:tc>
          <w:tcPr>
            <w:tcW w:w="1175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申请人提出申请→营商局交通窗口受理材料并出具《交通行政许可申请受理通知书》或《交通行政不予许可受理决定书》→发送指调中心→通知路政科组织各大队进行现场勘验和核实，提交现场勘验意见书→提交上行政审批专班例会讨论通过→材料归档保存→制证</w:t>
            </w:r>
          </w:p>
        </w:tc>
        <w:tc>
          <w:tcPr>
            <w:tcW w:w="437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承诺件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40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在公路增设或改造平面交叉道口审批</w:t>
            </w:r>
          </w:p>
        </w:tc>
        <w:tc>
          <w:tcPr>
            <w:tcW w:w="18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1.重大涉路施工项目</w:t>
            </w:r>
          </w:p>
        </w:tc>
        <w:tc>
          <w:tcPr>
            <w:tcW w:w="1175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40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2.重大涉路施工项目外的其他项目</w:t>
            </w:r>
          </w:p>
        </w:tc>
        <w:tc>
          <w:tcPr>
            <w:tcW w:w="1175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40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设置非公路标志审批</w:t>
            </w:r>
          </w:p>
        </w:tc>
        <w:tc>
          <w:tcPr>
            <w:tcW w:w="18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1.设置非公路标志审批—普通公路</w:t>
            </w:r>
          </w:p>
        </w:tc>
        <w:tc>
          <w:tcPr>
            <w:tcW w:w="1175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40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2.设置非公路标志审批—高速公路</w:t>
            </w:r>
          </w:p>
        </w:tc>
        <w:tc>
          <w:tcPr>
            <w:tcW w:w="1175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</w:trPr>
        <w:tc>
          <w:tcPr>
            <w:tcW w:w="2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40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跨越、穿越公路及在公路用地范围内架设、埋设管线、电缆等设施，或者利用公路桥梁、公路隧道、涵洞铺设电缆等设施许可</w:t>
            </w:r>
          </w:p>
        </w:tc>
        <w:tc>
          <w:tcPr>
            <w:tcW w:w="18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跨越、穿越公路及在公路用地范围内架设、埋设管线、电缆等设施，或者利用公路桥梁、公路隧道、涵洞铺设电缆等设施许可-（高速公路及国省干线管径2米以上除外）</w:t>
            </w:r>
          </w:p>
        </w:tc>
        <w:tc>
          <w:tcPr>
            <w:tcW w:w="1175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40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公路建筑控制区内埋设管线、电缆等设施许可</w:t>
            </w:r>
          </w:p>
        </w:tc>
        <w:tc>
          <w:tcPr>
            <w:tcW w:w="18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1.公路建筑控制区内埋设管线、电缆等设施许可-普通公路</w:t>
            </w:r>
          </w:p>
        </w:tc>
        <w:tc>
          <w:tcPr>
            <w:tcW w:w="1175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2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40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18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2.公路建筑控制区内埋设管线、电缆等设施许可-高速公路</w:t>
            </w:r>
          </w:p>
        </w:tc>
        <w:tc>
          <w:tcPr>
            <w:tcW w:w="1175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2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行政确认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客运站站级核定</w:t>
            </w:r>
          </w:p>
        </w:tc>
        <w:tc>
          <w:tcPr>
            <w:tcW w:w="18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企业申请→营商局交通窗口受理初审材料→发送指调中心→客运大队对企业进行现场勘验、核实，填写现场勘验意见书→提交行政审批专班例会讨论通过→材料归档保存并联系省中心备案</w:t>
            </w:r>
          </w:p>
        </w:tc>
        <w:tc>
          <w:tcPr>
            <w:tcW w:w="43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承诺件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2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行政裁决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裁决客运经营者发车时间安排纠纷</w:t>
            </w:r>
          </w:p>
        </w:tc>
        <w:tc>
          <w:tcPr>
            <w:tcW w:w="18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申请人申请→营商局交通窗口受理→发送指调中心→通知客运大队调查核实并出具意见书→营商局交通窗口答复</w:t>
            </w:r>
          </w:p>
        </w:tc>
        <w:tc>
          <w:tcPr>
            <w:tcW w:w="4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承诺件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40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其他行政权力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拟从事省内道路运输车辆动态监控服务社会化服务商的备案</w:t>
            </w:r>
          </w:p>
        </w:tc>
        <w:tc>
          <w:tcPr>
            <w:tcW w:w="18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5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企业申请→营商局交通窗口受理材料→指调中心组织相关专家进行评审并出具评审报告→提交行政审批专班例会讨论通过→材料归档</w:t>
            </w:r>
          </w:p>
        </w:tc>
        <w:tc>
          <w:tcPr>
            <w:tcW w:w="437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  <w:szCs w:val="20"/>
              </w:rPr>
              <w:t>承诺件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12</w:t>
            </w:r>
          </w:p>
        </w:tc>
        <w:tc>
          <w:tcPr>
            <w:tcW w:w="40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网络预约出租汽车经营线上服务能力认定</w:t>
            </w:r>
          </w:p>
        </w:tc>
        <w:tc>
          <w:tcPr>
            <w:tcW w:w="18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5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13</w:t>
            </w:r>
          </w:p>
        </w:tc>
        <w:tc>
          <w:tcPr>
            <w:tcW w:w="40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机动车维修企业维修工时定额和工时单价标准备案</w:t>
            </w:r>
          </w:p>
        </w:tc>
        <w:tc>
          <w:tcPr>
            <w:tcW w:w="18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企业申请→营商局交通窗口受理审核→材料传递至技修大队</w:t>
            </w:r>
          </w:p>
        </w:tc>
        <w:tc>
          <w:tcPr>
            <w:tcW w:w="43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即办件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14</w:t>
            </w:r>
          </w:p>
        </w:tc>
        <w:tc>
          <w:tcPr>
            <w:tcW w:w="40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8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更新采伐护路林申报</w:t>
            </w:r>
          </w:p>
        </w:tc>
        <w:tc>
          <w:tcPr>
            <w:tcW w:w="18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交通运输事务服务中心实施</w:t>
            </w:r>
          </w:p>
        </w:tc>
        <w:tc>
          <w:tcPr>
            <w:tcW w:w="43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40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公路建设项目施工许可</w:t>
            </w:r>
          </w:p>
        </w:tc>
        <w:tc>
          <w:tcPr>
            <w:tcW w:w="18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7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3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2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16</w:t>
            </w:r>
          </w:p>
        </w:tc>
        <w:tc>
          <w:tcPr>
            <w:tcW w:w="40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公路水运工程建设项目设计文件审批</w:t>
            </w:r>
          </w:p>
        </w:tc>
        <w:tc>
          <w:tcPr>
            <w:tcW w:w="18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公路工程建设项目设计文件审批</w:t>
            </w:r>
          </w:p>
        </w:tc>
        <w:tc>
          <w:tcPr>
            <w:tcW w:w="1177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3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2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17</w:t>
            </w:r>
          </w:p>
        </w:tc>
        <w:tc>
          <w:tcPr>
            <w:tcW w:w="40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公路建设项目竣工验收</w:t>
            </w:r>
          </w:p>
        </w:tc>
        <w:tc>
          <w:tcPr>
            <w:tcW w:w="18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7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35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28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18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行政确认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公路工程交工验收向交通主管部门备案</w:t>
            </w:r>
          </w:p>
        </w:tc>
        <w:tc>
          <w:tcPr>
            <w:tcW w:w="18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43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</w:tbl>
    <w:p>
      <w:pPr>
        <w:widowControl/>
        <w:jc w:val="center"/>
        <w:rPr>
          <w:rFonts w:ascii="仿宋_GB2312" w:hAnsi="宋体" w:eastAsia="仿宋_GB2312" w:cs="宋体"/>
          <w:kern w:val="0"/>
          <w:sz w:val="20"/>
          <w:szCs w:val="20"/>
        </w:rPr>
      </w:pPr>
    </w:p>
    <w:p>
      <w:pPr>
        <w:jc w:val="left"/>
        <w:rPr>
          <w:rFonts w:eastAsia="仿宋_GB2312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3431785"/>
      <w:docPartObj>
        <w:docPartGallery w:val="AutoText"/>
      </w:docPartObj>
    </w:sdtPr>
    <w:sdtContent>
      <w:p>
        <w:pPr>
          <w:pStyle w:val="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sz w:val="28"/>
            <w:szCs w:val="28"/>
            <w:lang w:val="zh-CN"/>
          </w:rPr>
          <w:t>-</w:t>
        </w:r>
        <w:r>
          <w:rPr>
            <w:sz w:val="28"/>
            <w:szCs w:val="28"/>
          </w:rPr>
          <w:t xml:space="preserve"> 24 -</w:t>
        </w:r>
        <w:r>
          <w:rPr>
            <w:sz w:val="28"/>
            <w:szCs w:val="28"/>
          </w:rPr>
          <w:fldChar w:fldCharType="end"/>
        </w:r>
      </w:p>
    </w:sdtContent>
  </w:sdt>
  <w:p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right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>
    <w:pPr>
      <w:pStyle w:val="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hmMzNmYTgwNWNkODc3ZjQ5YjJhYTM5OWZmNmYyZmIifQ=="/>
  </w:docVars>
  <w:rsids>
    <w:rsidRoot w:val="00FA36A9"/>
    <w:rsid w:val="000208D9"/>
    <w:rsid w:val="0002759C"/>
    <w:rsid w:val="00045FE1"/>
    <w:rsid w:val="000624BA"/>
    <w:rsid w:val="00085860"/>
    <w:rsid w:val="0009062D"/>
    <w:rsid w:val="000A4E12"/>
    <w:rsid w:val="000B1FB3"/>
    <w:rsid w:val="000B73D5"/>
    <w:rsid w:val="000C723C"/>
    <w:rsid w:val="000D6E41"/>
    <w:rsid w:val="000E0E49"/>
    <w:rsid w:val="000E1AB7"/>
    <w:rsid w:val="000E6089"/>
    <w:rsid w:val="000F4896"/>
    <w:rsid w:val="000F54A5"/>
    <w:rsid w:val="001058BF"/>
    <w:rsid w:val="00120B2C"/>
    <w:rsid w:val="00142418"/>
    <w:rsid w:val="00145AF3"/>
    <w:rsid w:val="00147EF6"/>
    <w:rsid w:val="00151F85"/>
    <w:rsid w:val="00155A2A"/>
    <w:rsid w:val="00161E02"/>
    <w:rsid w:val="001664E5"/>
    <w:rsid w:val="00166598"/>
    <w:rsid w:val="001810FB"/>
    <w:rsid w:val="00182432"/>
    <w:rsid w:val="00192574"/>
    <w:rsid w:val="001A7487"/>
    <w:rsid w:val="001C4226"/>
    <w:rsid w:val="001C5A9D"/>
    <w:rsid w:val="001C7A58"/>
    <w:rsid w:val="001D7427"/>
    <w:rsid w:val="001F02E0"/>
    <w:rsid w:val="001F15C4"/>
    <w:rsid w:val="001F3386"/>
    <w:rsid w:val="002065A1"/>
    <w:rsid w:val="0021528D"/>
    <w:rsid w:val="00221234"/>
    <w:rsid w:val="00241220"/>
    <w:rsid w:val="00253D85"/>
    <w:rsid w:val="002607BE"/>
    <w:rsid w:val="00281AB1"/>
    <w:rsid w:val="00294C7E"/>
    <w:rsid w:val="002C7F95"/>
    <w:rsid w:val="002D0F61"/>
    <w:rsid w:val="002E2565"/>
    <w:rsid w:val="002F562B"/>
    <w:rsid w:val="00303D8B"/>
    <w:rsid w:val="00311B8B"/>
    <w:rsid w:val="00322AA7"/>
    <w:rsid w:val="00343B4D"/>
    <w:rsid w:val="00353EE2"/>
    <w:rsid w:val="0035729C"/>
    <w:rsid w:val="00360170"/>
    <w:rsid w:val="0037205B"/>
    <w:rsid w:val="00373317"/>
    <w:rsid w:val="00380E02"/>
    <w:rsid w:val="00397F87"/>
    <w:rsid w:val="003B1B29"/>
    <w:rsid w:val="003B2DA9"/>
    <w:rsid w:val="003B51B1"/>
    <w:rsid w:val="003C346A"/>
    <w:rsid w:val="003D7720"/>
    <w:rsid w:val="00404D28"/>
    <w:rsid w:val="00405928"/>
    <w:rsid w:val="004145E8"/>
    <w:rsid w:val="00421118"/>
    <w:rsid w:val="0043244E"/>
    <w:rsid w:val="00440013"/>
    <w:rsid w:val="004579F5"/>
    <w:rsid w:val="004602A3"/>
    <w:rsid w:val="0048269C"/>
    <w:rsid w:val="00486DE8"/>
    <w:rsid w:val="0049389A"/>
    <w:rsid w:val="004A19BF"/>
    <w:rsid w:val="004B5C40"/>
    <w:rsid w:val="004D3EE1"/>
    <w:rsid w:val="004D49D7"/>
    <w:rsid w:val="004D5BD4"/>
    <w:rsid w:val="004F6A80"/>
    <w:rsid w:val="00501693"/>
    <w:rsid w:val="00504A8D"/>
    <w:rsid w:val="00513F52"/>
    <w:rsid w:val="0052038F"/>
    <w:rsid w:val="00532863"/>
    <w:rsid w:val="0054570A"/>
    <w:rsid w:val="00567B41"/>
    <w:rsid w:val="005901F4"/>
    <w:rsid w:val="00594A32"/>
    <w:rsid w:val="00595A07"/>
    <w:rsid w:val="0059640E"/>
    <w:rsid w:val="005971E3"/>
    <w:rsid w:val="005A298E"/>
    <w:rsid w:val="005B3849"/>
    <w:rsid w:val="005B75A2"/>
    <w:rsid w:val="005D2028"/>
    <w:rsid w:val="005E219B"/>
    <w:rsid w:val="005F3554"/>
    <w:rsid w:val="005F592D"/>
    <w:rsid w:val="00605071"/>
    <w:rsid w:val="00607DC2"/>
    <w:rsid w:val="00614BCE"/>
    <w:rsid w:val="0062110E"/>
    <w:rsid w:val="00627DCE"/>
    <w:rsid w:val="00633119"/>
    <w:rsid w:val="00634DB7"/>
    <w:rsid w:val="006372FC"/>
    <w:rsid w:val="00645889"/>
    <w:rsid w:val="00672E85"/>
    <w:rsid w:val="00683B21"/>
    <w:rsid w:val="006876B6"/>
    <w:rsid w:val="00690D17"/>
    <w:rsid w:val="006A2749"/>
    <w:rsid w:val="006A78CA"/>
    <w:rsid w:val="006D42D2"/>
    <w:rsid w:val="006E0821"/>
    <w:rsid w:val="00715D95"/>
    <w:rsid w:val="007216A6"/>
    <w:rsid w:val="00722386"/>
    <w:rsid w:val="0072666F"/>
    <w:rsid w:val="00733A34"/>
    <w:rsid w:val="007429E6"/>
    <w:rsid w:val="007529BC"/>
    <w:rsid w:val="00756E9D"/>
    <w:rsid w:val="007771B4"/>
    <w:rsid w:val="007849BD"/>
    <w:rsid w:val="00787D2B"/>
    <w:rsid w:val="007A4D4F"/>
    <w:rsid w:val="007A5F07"/>
    <w:rsid w:val="007B2CBD"/>
    <w:rsid w:val="007B5763"/>
    <w:rsid w:val="007B7536"/>
    <w:rsid w:val="007C13FF"/>
    <w:rsid w:val="007C7776"/>
    <w:rsid w:val="007D44BF"/>
    <w:rsid w:val="007F15E5"/>
    <w:rsid w:val="00813937"/>
    <w:rsid w:val="00883A98"/>
    <w:rsid w:val="00885A28"/>
    <w:rsid w:val="00887CE9"/>
    <w:rsid w:val="008B1824"/>
    <w:rsid w:val="008B3488"/>
    <w:rsid w:val="008C1B1B"/>
    <w:rsid w:val="008C22A1"/>
    <w:rsid w:val="008E4BAF"/>
    <w:rsid w:val="008E60E1"/>
    <w:rsid w:val="00900DC3"/>
    <w:rsid w:val="00902470"/>
    <w:rsid w:val="00903E0F"/>
    <w:rsid w:val="00910615"/>
    <w:rsid w:val="00922E48"/>
    <w:rsid w:val="00926148"/>
    <w:rsid w:val="00930C9E"/>
    <w:rsid w:val="00933AF4"/>
    <w:rsid w:val="00933D99"/>
    <w:rsid w:val="00956BE6"/>
    <w:rsid w:val="00961EB5"/>
    <w:rsid w:val="00980703"/>
    <w:rsid w:val="00994CA0"/>
    <w:rsid w:val="00996587"/>
    <w:rsid w:val="009A24FE"/>
    <w:rsid w:val="009A3F36"/>
    <w:rsid w:val="009B40E0"/>
    <w:rsid w:val="009C4DFB"/>
    <w:rsid w:val="009C7619"/>
    <w:rsid w:val="009E71A6"/>
    <w:rsid w:val="00A04D39"/>
    <w:rsid w:val="00A12971"/>
    <w:rsid w:val="00A333D4"/>
    <w:rsid w:val="00A44455"/>
    <w:rsid w:val="00A504A7"/>
    <w:rsid w:val="00A507BB"/>
    <w:rsid w:val="00A607F3"/>
    <w:rsid w:val="00A63F82"/>
    <w:rsid w:val="00A66942"/>
    <w:rsid w:val="00A67CBB"/>
    <w:rsid w:val="00A70AB0"/>
    <w:rsid w:val="00A81CE1"/>
    <w:rsid w:val="00A82303"/>
    <w:rsid w:val="00AA5645"/>
    <w:rsid w:val="00AC74FB"/>
    <w:rsid w:val="00AE3C3B"/>
    <w:rsid w:val="00B03AB0"/>
    <w:rsid w:val="00B04D4B"/>
    <w:rsid w:val="00B2694E"/>
    <w:rsid w:val="00B47FAC"/>
    <w:rsid w:val="00B548D9"/>
    <w:rsid w:val="00B71326"/>
    <w:rsid w:val="00B81E04"/>
    <w:rsid w:val="00B976BE"/>
    <w:rsid w:val="00BA02A3"/>
    <w:rsid w:val="00BA4EB8"/>
    <w:rsid w:val="00BB1D5A"/>
    <w:rsid w:val="00BB405C"/>
    <w:rsid w:val="00BC0A78"/>
    <w:rsid w:val="00BC0C5D"/>
    <w:rsid w:val="00BC132F"/>
    <w:rsid w:val="00BC73A3"/>
    <w:rsid w:val="00BD4D11"/>
    <w:rsid w:val="00BD5523"/>
    <w:rsid w:val="00BD69F3"/>
    <w:rsid w:val="00BD7437"/>
    <w:rsid w:val="00BF49E7"/>
    <w:rsid w:val="00C32BDE"/>
    <w:rsid w:val="00C33B1F"/>
    <w:rsid w:val="00C54A56"/>
    <w:rsid w:val="00C551A7"/>
    <w:rsid w:val="00C5783D"/>
    <w:rsid w:val="00C60B42"/>
    <w:rsid w:val="00C8675D"/>
    <w:rsid w:val="00C93951"/>
    <w:rsid w:val="00CA3189"/>
    <w:rsid w:val="00CA3C26"/>
    <w:rsid w:val="00CB1127"/>
    <w:rsid w:val="00CB466B"/>
    <w:rsid w:val="00CC573D"/>
    <w:rsid w:val="00CD2D6C"/>
    <w:rsid w:val="00CE1EF8"/>
    <w:rsid w:val="00CE37F5"/>
    <w:rsid w:val="00CE43EE"/>
    <w:rsid w:val="00CF3B51"/>
    <w:rsid w:val="00CF6F41"/>
    <w:rsid w:val="00D076C8"/>
    <w:rsid w:val="00D07767"/>
    <w:rsid w:val="00D22162"/>
    <w:rsid w:val="00D54C14"/>
    <w:rsid w:val="00D63BA8"/>
    <w:rsid w:val="00D713C1"/>
    <w:rsid w:val="00D92136"/>
    <w:rsid w:val="00D93A60"/>
    <w:rsid w:val="00DB1E56"/>
    <w:rsid w:val="00DB6FEA"/>
    <w:rsid w:val="00DD7B7C"/>
    <w:rsid w:val="00DE0C56"/>
    <w:rsid w:val="00DE251D"/>
    <w:rsid w:val="00DE7582"/>
    <w:rsid w:val="00DF3F44"/>
    <w:rsid w:val="00E105B8"/>
    <w:rsid w:val="00E2053C"/>
    <w:rsid w:val="00E23A3F"/>
    <w:rsid w:val="00E36234"/>
    <w:rsid w:val="00E5364E"/>
    <w:rsid w:val="00E7593E"/>
    <w:rsid w:val="00E776A0"/>
    <w:rsid w:val="00E869F1"/>
    <w:rsid w:val="00E93B4F"/>
    <w:rsid w:val="00EA2043"/>
    <w:rsid w:val="00F05E01"/>
    <w:rsid w:val="00F22F58"/>
    <w:rsid w:val="00F61D83"/>
    <w:rsid w:val="00F6214C"/>
    <w:rsid w:val="00F80696"/>
    <w:rsid w:val="00F84B2D"/>
    <w:rsid w:val="00FA03AB"/>
    <w:rsid w:val="00FA22CD"/>
    <w:rsid w:val="00FA36A9"/>
    <w:rsid w:val="00FA75A3"/>
    <w:rsid w:val="00FB424E"/>
    <w:rsid w:val="00FB6C9D"/>
    <w:rsid w:val="00FC0B85"/>
    <w:rsid w:val="00FC5BBA"/>
    <w:rsid w:val="0418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rFonts w:asciiTheme="minorHAnsi" w:hAnsiTheme="minorHAnsi" w:eastAsiaTheme="minorEastAsia" w:cstheme="minorBidi"/>
      <w:b/>
      <w:bCs/>
      <w:kern w:val="44"/>
      <w:sz w:val="44"/>
      <w:szCs w:val="44"/>
      <w:lang w:eastAsia="en-US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uiPriority w:val="0"/>
    <w:pPr>
      <w:ind w:left="100" w:leftChars="2500"/>
    </w:pPr>
  </w:style>
  <w:style w:type="paragraph" w:styleId="4">
    <w:name w:val="Balloon Text"/>
    <w:basedOn w:val="1"/>
    <w:semiHidden/>
    <w:uiPriority w:val="0"/>
    <w:rPr>
      <w:sz w:val="18"/>
      <w:szCs w:val="18"/>
    </w:rPr>
  </w:style>
  <w:style w:type="paragraph" w:styleId="5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uppressAutoHyphens/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table" w:styleId="9">
    <w:name w:val="Table Grid"/>
    <w:basedOn w:val="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uiPriority w:val="0"/>
  </w:style>
  <w:style w:type="character" w:styleId="12">
    <w:name w:val="Hyperlink"/>
    <w:basedOn w:val="10"/>
    <w:unhideWhenUsed/>
    <w:uiPriority w:val="99"/>
    <w:rPr>
      <w:color w:val="0000FF"/>
      <w:u w:val="none"/>
    </w:rPr>
  </w:style>
  <w:style w:type="character" w:customStyle="1" w:styleId="13">
    <w:name w:val="font31"/>
    <w:basedOn w:val="10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4">
    <w:name w:val="font21"/>
    <w:basedOn w:val="10"/>
    <w:uiPriority w:val="0"/>
    <w:rPr>
      <w:rFonts w:hint="eastAsia" w:ascii="仿宋_GB2312" w:eastAsia="仿宋_GB2312"/>
      <w:color w:val="000000"/>
      <w:sz w:val="22"/>
      <w:szCs w:val="22"/>
      <w:u w:val="none"/>
    </w:rPr>
  </w:style>
  <w:style w:type="paragraph" w:customStyle="1" w:styleId="15">
    <w:name w:val="Char"/>
    <w:basedOn w:val="1"/>
    <w:uiPriority w:val="0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16">
    <w:name w:val="正文 New New New New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17">
    <w:name w:val="Char1 Char Char Char Char Char Char"/>
    <w:basedOn w:val="1"/>
    <w:uiPriority w:val="0"/>
    <w:rPr>
      <w:rFonts w:ascii="Tahoma" w:hAnsi="Tahoma"/>
      <w:sz w:val="24"/>
      <w:szCs w:val="20"/>
    </w:rPr>
  </w:style>
  <w:style w:type="character" w:customStyle="1" w:styleId="18">
    <w:name w:val="标题 1 Char"/>
    <w:basedOn w:val="10"/>
    <w:link w:val="2"/>
    <w:qFormat/>
    <w:uiPriority w:val="9"/>
    <w:rPr>
      <w:rFonts w:asciiTheme="minorHAnsi" w:hAnsiTheme="minorHAnsi" w:eastAsiaTheme="minorEastAsia" w:cstheme="minorBidi"/>
      <w:b/>
      <w:bCs/>
      <w:kern w:val="44"/>
      <w:sz w:val="44"/>
      <w:szCs w:val="44"/>
      <w:lang w:eastAsia="en-US"/>
    </w:rPr>
  </w:style>
  <w:style w:type="character" w:customStyle="1" w:styleId="19">
    <w:name w:val="页脚 Char"/>
    <w:basedOn w:val="10"/>
    <w:link w:val="5"/>
    <w:uiPriority w:val="99"/>
    <w:rPr>
      <w:kern w:val="2"/>
      <w:sz w:val="18"/>
      <w:szCs w:val="18"/>
    </w:rPr>
  </w:style>
  <w:style w:type="paragraph" w:customStyle="1" w:styleId="20">
    <w:name w:val="样式 样式 样式 四号 左侧:  1.53 厘米 + 首行缩进:  2 字符 + 居中 左侧:  2 字符 首行缩进:  2..."/>
    <w:basedOn w:val="1"/>
    <w:qFormat/>
    <w:uiPriority w:val="99"/>
    <w:pPr>
      <w:adjustRightInd w:val="0"/>
      <w:ind w:left="200" w:leftChars="200"/>
      <w:jc w:val="center"/>
    </w:pPr>
    <w:rPr>
      <w:w w:val="90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F47E8-EAEF-42F7-BF6A-F28908C55E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24</Pages>
  <Words>1270</Words>
  <Characters>7239</Characters>
  <Lines>60</Lines>
  <Paragraphs>16</Paragraphs>
  <TotalTime>15</TotalTime>
  <ScaleCrop>false</ScaleCrop>
  <LinksUpToDate>false</LinksUpToDate>
  <CharactersWithSpaces>8493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2023-07-17T05:50:00Z</dcterms:created>
  <dc:creator>Administrator</dc:creator>
  <cp:lastModifiedBy>pc</cp:lastModifiedBy>
  <cp:lastPrinted>2023-07-17T05:48:00Z</cp:lastPrinted>
  <dcterms:modified xsi:type="dcterms:W3CDTF">2023-09-19T08:03:25Z</dcterms:modified>
  <dc:title>关于印发《朝阳市交通局2018年度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BF4EBBD298434B26B6E1EE026CF348B8_12</vt:lpwstr>
  </property>
</Properties>
</file>