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after="0" w:line="360" w:lineRule="auto"/>
        <w:jc w:val="center"/>
        <w:rPr>
          <w:rFonts w:ascii="宋体" w:eastAsia="宋体"/>
        </w:rPr>
      </w:pPr>
      <w:r>
        <w:rPr>
          <w:rFonts w:ascii="宋体" w:eastAsia="宋体"/>
        </w:rPr>
        <w:t>评标办法</w:t>
      </w:r>
      <w:r>
        <w:rPr>
          <w:rFonts w:hint="eastAsia" w:ascii="宋体" w:eastAsia="宋体"/>
        </w:rPr>
        <w:t>（合理低价法）</w:t>
      </w:r>
      <w:r>
        <w:rPr>
          <w:rStyle w:val="12"/>
          <w:rFonts w:hint="default" w:ascii="Times New Roman" w:hAnsi="Times New Roman" w:eastAsia="黑体" w:cs="Times New Roman"/>
          <w:sz w:val="42"/>
          <w:szCs w:val="42"/>
        </w:rPr>
        <w:footnoteReference w:id="0"/>
      </w:r>
    </w:p>
    <w:p>
      <w:pPr>
        <w:pStyle w:val="3"/>
        <w:spacing w:before="0" w:after="0" w:line="360" w:lineRule="auto"/>
        <w:rPr>
          <w:rFonts w:ascii="宋体" w:eastAsia="宋体"/>
          <w:sz w:val="24"/>
          <w:szCs w:val="24"/>
        </w:rPr>
      </w:pPr>
      <w:bookmarkStart w:id="0" w:name="_Toc37318429"/>
      <w:bookmarkStart w:id="1" w:name="_Toc10403"/>
      <w:bookmarkStart w:id="2" w:name="_Toc471671373"/>
      <w:bookmarkStart w:id="3" w:name="_Toc234832932"/>
      <w:bookmarkStart w:id="4" w:name="_Toc11129"/>
      <w:bookmarkStart w:id="5" w:name="_Toc35618748"/>
      <w:bookmarkStart w:id="6" w:name="_Toc35619207"/>
      <w:bookmarkStart w:id="7" w:name="_Toc7129"/>
      <w:bookmarkStart w:id="8" w:name="_Toc28841"/>
      <w:bookmarkStart w:id="9" w:name="_Toc127230161"/>
      <w:r>
        <w:rPr>
          <w:rFonts w:ascii="宋体" w:eastAsia="宋体"/>
          <w:sz w:val="24"/>
          <w:szCs w:val="24"/>
        </w:rPr>
        <w:t>评标办法前附表</w:t>
      </w:r>
      <w:bookmarkEnd w:id="0"/>
      <w:bookmarkEnd w:id="1"/>
      <w:bookmarkEnd w:id="2"/>
      <w:bookmarkEnd w:id="3"/>
      <w:bookmarkEnd w:id="4"/>
      <w:bookmarkEnd w:id="5"/>
      <w:bookmarkEnd w:id="6"/>
      <w:bookmarkEnd w:id="7"/>
      <w:r>
        <w:rPr>
          <w:rStyle w:val="12"/>
          <w:rFonts w:ascii="宋体" w:eastAsia="宋体"/>
          <w:sz w:val="24"/>
          <w:szCs w:val="24"/>
        </w:rPr>
        <w:footnoteReference w:id="1"/>
      </w:r>
      <w:bookmarkEnd w:id="8"/>
      <w:bookmarkEnd w:id="9"/>
    </w:p>
    <w:tbl>
      <w:tblPr>
        <w:tblStyle w:val="9"/>
        <w:tblW w:w="86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0"/>
        <w:gridCol w:w="1124"/>
        <w:gridCol w:w="12"/>
        <w:gridCol w:w="1635"/>
        <w:gridCol w:w="5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94" w:type="dxa"/>
            <w:gridSpan w:val="2"/>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b/>
                <w:szCs w:val="21"/>
              </w:rPr>
            </w:pPr>
            <w:r>
              <w:rPr>
                <w:rFonts w:hint="eastAsia" w:ascii="宋体" w:hAnsi="宋体" w:eastAsia="宋体" w:cs="宋体"/>
                <w:b/>
                <w:szCs w:val="21"/>
              </w:rPr>
              <w:t>条款号</w:t>
            </w:r>
          </w:p>
        </w:tc>
        <w:tc>
          <w:tcPr>
            <w:tcW w:w="6746" w:type="dxa"/>
            <w:gridSpan w:val="3"/>
            <w:tcBorders>
              <w:top w:val="single" w:color="auto" w:sz="4" w:space="0"/>
              <w:left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b/>
                <w:szCs w:val="21"/>
              </w:rPr>
            </w:pPr>
            <w:r>
              <w:rPr>
                <w:rFonts w:hint="eastAsia" w:ascii="宋体" w:hAnsi="宋体" w:eastAsia="宋体" w:cs="宋体"/>
                <w:b/>
                <w:szCs w:val="21"/>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70" w:type="dxa"/>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1</w:t>
            </w:r>
          </w:p>
        </w:tc>
        <w:tc>
          <w:tcPr>
            <w:tcW w:w="1124" w:type="dxa"/>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评标方法</w:t>
            </w:r>
          </w:p>
        </w:tc>
        <w:tc>
          <w:tcPr>
            <w:tcW w:w="6746" w:type="dxa"/>
            <w:gridSpan w:val="3"/>
            <w:tcBorders>
              <w:top w:val="single" w:color="auto" w:sz="4" w:space="0"/>
              <w:left w:val="single" w:color="auto" w:sz="4" w:space="0"/>
              <w:right w:val="single" w:color="auto" w:sz="4" w:space="0"/>
            </w:tcBorders>
            <w:vAlign w:val="center"/>
          </w:tcPr>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综合评分相等时，评标委员会依次按照以下优先顺序推荐中标候选人或确定中标人：</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（1）评标价低的投标人优先；</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（2）被招标项目所在地省级交通运输主管部门评为较高信用等级的投标人优先；</w:t>
            </w:r>
          </w:p>
          <w:p>
            <w:pPr>
              <w:adjustRightInd w:val="0"/>
              <w:snapToGrid w:val="0"/>
              <w:spacing w:line="400" w:lineRule="exact"/>
              <w:ind w:firstLine="420" w:firstLineChars="200"/>
              <w:rPr>
                <w:rFonts w:ascii="宋体" w:hAnsi="宋体" w:eastAsia="宋体" w:cs="宋体"/>
                <w:szCs w:val="21"/>
              </w:rPr>
            </w:pPr>
            <w:r>
              <w:rPr>
                <w:rFonts w:hint="eastAsia" w:ascii="宋体" w:hAnsi="宋体" w:eastAsia="宋体" w:cs="宋体"/>
                <w:szCs w:val="21"/>
              </w:rPr>
              <w:t>（3）</w:t>
            </w:r>
            <w:r>
              <w:rPr>
                <w:rFonts w:hint="eastAsia" w:asciiTheme="minorEastAsia" w:hAnsiTheme="minorEastAsia" w:eastAsiaTheme="minorEastAsia" w:cstheme="minorEastAsia"/>
                <w:szCs w:val="21"/>
              </w:rPr>
              <w:t>若信用等级相同，则由评标委员会根据施工组织设计的编制情况投票确定其推荐顺序。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70" w:type="dxa"/>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2.1.1</w:t>
            </w:r>
          </w:p>
          <w:p>
            <w:pPr>
              <w:wordWrap w:val="0"/>
              <w:spacing w:line="400" w:lineRule="exact"/>
              <w:jc w:val="center"/>
              <w:rPr>
                <w:rFonts w:ascii="宋体" w:hAnsi="宋体" w:eastAsia="宋体" w:cs="宋体"/>
                <w:szCs w:val="21"/>
              </w:rPr>
            </w:pPr>
            <w:r>
              <w:rPr>
                <w:rFonts w:hint="eastAsia" w:ascii="宋体" w:hAnsi="宋体" w:eastAsia="宋体" w:cs="宋体"/>
                <w:szCs w:val="21"/>
              </w:rPr>
              <w:t>2.1.3</w:t>
            </w:r>
          </w:p>
        </w:tc>
        <w:tc>
          <w:tcPr>
            <w:tcW w:w="1124" w:type="dxa"/>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形式评审与响应性评审标准</w:t>
            </w:r>
          </w:p>
        </w:tc>
        <w:tc>
          <w:tcPr>
            <w:tcW w:w="6746" w:type="dxa"/>
            <w:gridSpan w:val="3"/>
            <w:tcBorders>
              <w:top w:val="single" w:color="auto" w:sz="4" w:space="0"/>
              <w:left w:val="single" w:color="auto" w:sz="4" w:space="0"/>
              <w:right w:val="single" w:color="auto" w:sz="4" w:space="0"/>
            </w:tcBorders>
            <w:vAlign w:val="center"/>
          </w:tcPr>
          <w:p>
            <w:pPr>
              <w:wordWrap w:val="0"/>
              <w:spacing w:line="400" w:lineRule="exact"/>
              <w:ind w:firstLine="422" w:firstLineChars="200"/>
              <w:rPr>
                <w:rFonts w:ascii="宋体" w:hAnsi="宋体" w:eastAsia="宋体" w:cs="宋体"/>
                <w:b/>
                <w:szCs w:val="21"/>
              </w:rPr>
            </w:pPr>
            <w:r>
              <w:rPr>
                <w:rFonts w:hint="eastAsia" w:ascii="宋体" w:hAnsi="宋体" w:eastAsia="宋体" w:cs="宋体"/>
                <w:b/>
                <w:szCs w:val="21"/>
              </w:rPr>
              <w:t>第一个信封（商务及技术文件）评审标准：</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（1）投标文件按照招标文件规定的格式、内容填写，字迹清晰可辨：</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a.投标函按招标文件规定填报了项目名称、标段号、补遗书编号（如有）、工期、工程质量要求及安全目标；</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b.投标函附录的所有数据均符合招标文件规定；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c.投标文件组成齐全完整，内容均按规定填写。</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（2）投标文件上法定代表人或其委托代理人的签字、投标人的单位章盖章齐全，符合招标文件规定。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（3）投标人按照招标文件的规定提供了投标保证金：</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a.投标保证金金额符合招标文件规定的金额，且投标保证金有效期不少于投标有效期；</w:t>
            </w:r>
          </w:p>
          <w:p>
            <w:pPr>
              <w:wordWrap w:val="0"/>
              <w:spacing w:line="400" w:lineRule="exact"/>
              <w:ind w:firstLine="420" w:firstLineChars="200"/>
              <w:rPr>
                <w:rFonts w:ascii="宋体" w:hAnsi="宋体" w:eastAsia="宋体" w:cs="宋体"/>
                <w:spacing w:val="-6"/>
                <w:szCs w:val="21"/>
              </w:rPr>
            </w:pPr>
            <w:r>
              <w:rPr>
                <w:rFonts w:hint="eastAsia" w:ascii="宋体" w:hAnsi="宋体" w:eastAsia="宋体" w:cs="宋体"/>
                <w:szCs w:val="21"/>
              </w:rPr>
              <w:t>b.</w:t>
            </w:r>
            <w:r>
              <w:rPr>
                <w:rFonts w:hint="eastAsia" w:ascii="宋体" w:hAnsi="宋体" w:eastAsia="宋体" w:cs="宋体"/>
                <w:spacing w:val="-6"/>
                <w:szCs w:val="21"/>
              </w:rPr>
              <w:t>若投标保证金采用现金或支票形式提交，投标人应在递交投标文件截止时间之前，将投标保证金由投标人的基本账户转入招标人指定账户；</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c.若投标保证金采用银行保函形式提交，银行保函的格式、开具保函的银行均满足招标文件要求。</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d.若投标保证金采用电子保函形式提交，电子保函应由投标人自主选择的便企金融服务平台或金融机构出具，保函的有效期均满足招标文件要求，投标文件中提供了电子保函彩色影印件，且满足投标人须知前附表第3.4.1项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（4）投标人法定代表人授权委托代理人签署投标文件的，须提交授权委托书，且授权人和被授权人均在授权委托书上使用CA 数字证书加盖个人电子印章或电子签名章。</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（5）投标人法定代表人亲自签署投标文件的，提供了法定代表人身份证明，且法定代表人在法定代表人身份证明上使用CA 数字证书加盖个人电子印章或电子签名章。</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（6）</w:t>
            </w:r>
            <w:r>
              <w:rPr>
                <w:rFonts w:hint="eastAsia" w:ascii="宋体" w:eastAsia="宋体"/>
                <w:szCs w:val="21"/>
              </w:rPr>
              <w:t>投标人未以联合体形式进行投标。</w:t>
            </w:r>
          </w:p>
          <w:p>
            <w:pPr>
              <w:wordWrap w:val="0"/>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（7）投标人如有分包计划，符合招标文件第二章“投标人须知”第1.11款规定，且按招标文件第九章“投标文件格式”的要求填写了“拟分包项目情况表”。</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（8）同一投标人未提交两个以上不同的投标文件，但招标文件要求提交备选投标的除外。</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（9）投标文件中未出现有关投标报价的内容。</w:t>
            </w:r>
          </w:p>
          <w:p>
            <w:pPr>
              <w:wordWrap w:val="0"/>
              <w:spacing w:line="400" w:lineRule="exact"/>
              <w:ind w:firstLine="420" w:firstLineChars="200"/>
              <w:rPr>
                <w:rFonts w:ascii="宋体" w:hAnsi="宋体" w:eastAsia="宋体" w:cs="宋体"/>
                <w:spacing w:val="-6"/>
                <w:szCs w:val="21"/>
              </w:rPr>
            </w:pPr>
            <w:r>
              <w:rPr>
                <w:rFonts w:hint="eastAsia" w:ascii="宋体" w:hAnsi="宋体" w:eastAsia="宋体" w:cs="宋体"/>
                <w:szCs w:val="21"/>
              </w:rPr>
              <w:t>（10）</w:t>
            </w:r>
            <w:r>
              <w:rPr>
                <w:rFonts w:hint="eastAsia" w:ascii="宋体" w:hAnsi="宋体" w:eastAsia="宋体" w:cs="宋体"/>
                <w:spacing w:val="-6"/>
                <w:szCs w:val="21"/>
              </w:rPr>
              <w:t>投标文件载明的招标项目完成期限未超过招标文件规定的时限。</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（11）投标文件对招标文件的实质性要求和条件作出响应。</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（12）权利义务符合招标文件规定：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a.投标人应接受招标文件规定的风险划分原则，未提出新的风险划分办法；</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b.投标人未增加发包人的责任范围，或减少投标人义务；</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c.投标人未提出不同的工程验收、计量、支付办法；</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d.投标人对合同纠纷、事故处理办法未提出异议；</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e.投标人在投标活动中无欺诈行为；</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f.投标人未对合同条款有重要保留。</w:t>
            </w:r>
          </w:p>
          <w:p>
            <w:pPr>
              <w:wordWrap w:val="0"/>
              <w:spacing w:line="400" w:lineRule="exact"/>
              <w:ind w:firstLine="420" w:firstLineChars="200"/>
              <w:rPr>
                <w:rFonts w:ascii="宋体" w:hAnsi="宋体" w:eastAsia="宋体" w:cs="宋体"/>
                <w:spacing w:val="-6"/>
                <w:szCs w:val="21"/>
              </w:rPr>
            </w:pPr>
            <w:r>
              <w:rPr>
                <w:rFonts w:hint="eastAsia" w:ascii="宋体" w:hAnsi="宋体" w:eastAsia="宋体" w:cs="宋体"/>
                <w:szCs w:val="21"/>
              </w:rPr>
              <w:t>（13）</w:t>
            </w:r>
            <w:r>
              <w:rPr>
                <w:rFonts w:hint="eastAsia" w:ascii="宋体" w:hAnsi="宋体" w:eastAsia="宋体" w:cs="宋体"/>
                <w:spacing w:val="-6"/>
                <w:szCs w:val="21"/>
              </w:rPr>
              <w:t>“施工组织设计”编制须满足招标文件要求。</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（14）未发现投标人与其他投标人存在使用同一不可篡改的唯一标识软硬件设备投标的（如：MAC地址、标书制作特征码、标书唯一特征码等）。</w:t>
            </w:r>
          </w:p>
          <w:p>
            <w:pPr>
              <w:spacing w:line="400" w:lineRule="exact"/>
              <w:ind w:firstLine="420" w:firstLineChars="200"/>
              <w:rPr>
                <w:rFonts w:ascii="宋体" w:eastAsia="宋体"/>
                <w:szCs w:val="21"/>
              </w:rPr>
            </w:pPr>
            <w:r>
              <w:rPr>
                <w:rFonts w:hint="eastAsia" w:ascii="宋体" w:hAnsi="宋体" w:eastAsia="宋体" w:cs="宋体"/>
                <w:szCs w:val="21"/>
              </w:rPr>
              <w:t>（15）</w:t>
            </w:r>
            <w:r>
              <w:rPr>
                <w:rFonts w:hint="eastAsia" w:ascii="宋体" w:eastAsia="宋体"/>
                <w:szCs w:val="21"/>
              </w:rPr>
              <w:t>投标人须提供不拖欠农民工工资承诺书。</w:t>
            </w:r>
          </w:p>
          <w:p>
            <w:pPr>
              <w:pStyle w:val="6"/>
              <w:rPr>
                <w:rFonts w:ascii="宋体" w:eastAsia="宋体"/>
              </w:rPr>
            </w:pPr>
            <w:r>
              <w:rPr>
                <w:rFonts w:hint="eastAsia" w:ascii="宋体" w:eastAsia="宋体"/>
              </w:rPr>
              <w:t>（16）按招标文件规定提供有效的投标人告知承诺函。</w:t>
            </w:r>
          </w:p>
          <w:p>
            <w:pPr>
              <w:spacing w:line="400" w:lineRule="exact"/>
              <w:ind w:firstLine="422" w:firstLineChars="200"/>
              <w:rPr>
                <w:rFonts w:ascii="宋体" w:eastAsia="宋体"/>
                <w:b/>
                <w:bCs/>
                <w:szCs w:val="21"/>
              </w:rPr>
            </w:pPr>
            <w:r>
              <w:rPr>
                <w:rFonts w:hint="eastAsia" w:ascii="宋体" w:eastAsia="宋体"/>
                <w:b/>
                <w:bCs/>
                <w:szCs w:val="21"/>
              </w:rPr>
              <w:t>投标文件未满足以上任一条件的，其投标视为无效，评标委员会将否决其投标。</w:t>
            </w:r>
          </w:p>
          <w:p>
            <w:pPr>
              <w:wordWrap w:val="0"/>
              <w:spacing w:line="400" w:lineRule="exact"/>
              <w:ind w:firstLine="422" w:firstLineChars="200"/>
              <w:rPr>
                <w:rFonts w:ascii="宋体" w:hAnsi="宋体" w:eastAsia="宋体" w:cs="宋体"/>
                <w:b/>
                <w:bCs/>
                <w:szCs w:val="21"/>
              </w:rPr>
            </w:pPr>
            <w:r>
              <w:rPr>
                <w:rFonts w:hint="eastAsia" w:ascii="宋体" w:hAnsi="宋体" w:eastAsia="宋体" w:cs="宋体"/>
                <w:b/>
                <w:bCs/>
                <w:szCs w:val="21"/>
              </w:rPr>
              <w:t>第二个信封（报价文件）评审标准：</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（1）投标文件按照招标文件规定的格式、内容填写，字迹清晰可辨：</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a.投标函按招标文件规定填报了项目名称、标段号、补遗书编号（如有）、投标价（包括大写金额和小写金额）；</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b.已标价工程量清单说明文字与招标文件规定一致，未进行实质性修改和删减；</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c.投标文件组成齐全完整，内容均按规定填写。</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（2）投标文件上法定代表人或其委托代理人的签字、投标人的单位章盖章齐全，符合招标文件规定。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（3）投标报价或调价函中的报价未超过招标文件设定的最高投标限价（如有）。</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（4）投标报价或调价函中报价的大写金额能够确定具体数值。</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（5）同一投标人未提交两个以上不同的投标报价，但招标文件要求提交备选投标的除外。</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（6）投标人若提交调价函，调价函符合招标文件第二章“投标人须知”第3.2.6项要求。</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（7）未发现投标人与其他投标人存在使用同一不可篡改的唯一标识软硬件设备投标的（如：MAC地址、标书制作特征码、标书唯一特征码等）。</w:t>
            </w:r>
          </w:p>
          <w:p>
            <w:pPr>
              <w:wordWrap w:val="0"/>
              <w:spacing w:line="400" w:lineRule="exact"/>
              <w:ind w:firstLine="422" w:firstLineChars="200"/>
              <w:rPr>
                <w:rFonts w:ascii="宋体" w:hAnsi="宋体" w:eastAsia="宋体" w:cs="宋体"/>
                <w:szCs w:val="21"/>
              </w:rPr>
            </w:pPr>
            <w:r>
              <w:rPr>
                <w:rFonts w:hint="eastAsia" w:ascii="宋体" w:eastAsia="宋体"/>
                <w:b/>
                <w:bCs/>
                <w:szCs w:val="21"/>
              </w:rPr>
              <w:t>投标文件未满足以上任一条件的，其投标视为无效，评标委员会将否决其投标。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770" w:type="dxa"/>
            <w:tcBorders>
              <w:top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2.1.2</w:t>
            </w:r>
          </w:p>
        </w:tc>
        <w:tc>
          <w:tcPr>
            <w:tcW w:w="1136" w:type="dxa"/>
            <w:gridSpan w:val="2"/>
            <w:tcBorders>
              <w:top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资格评审标准</w:t>
            </w:r>
          </w:p>
        </w:tc>
        <w:tc>
          <w:tcPr>
            <w:tcW w:w="6734" w:type="dxa"/>
            <w:gridSpan w:val="2"/>
            <w:tcBorders>
              <w:top w:val="single" w:color="auto" w:sz="4" w:space="0"/>
              <w:left w:val="single" w:color="auto" w:sz="4" w:space="0"/>
              <w:right w:val="single" w:color="auto" w:sz="4" w:space="0"/>
            </w:tcBorders>
            <w:vAlign w:val="center"/>
          </w:tcPr>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（1）投标人的资质等级符合招标文件规定。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2</w:t>
            </w:r>
            <w:r>
              <w:rPr>
                <w:rFonts w:hint="eastAsia" w:ascii="宋体" w:hAnsi="宋体" w:eastAsia="宋体" w:cs="宋体"/>
                <w:szCs w:val="21"/>
              </w:rPr>
              <w:t>）投标人的类似项目业绩符合招标文件规定。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3</w:t>
            </w:r>
            <w:r>
              <w:rPr>
                <w:rFonts w:hint="eastAsia" w:ascii="宋体" w:hAnsi="宋体" w:eastAsia="宋体" w:cs="宋体"/>
                <w:szCs w:val="21"/>
              </w:rPr>
              <w:t>）投标人的信誉符合招标文件规定。</w:t>
            </w:r>
          </w:p>
          <w:p>
            <w:pPr>
              <w:wordWrap w:val="0"/>
              <w:spacing w:line="400" w:lineRule="exact"/>
              <w:ind w:firstLine="420" w:firstLineChars="200"/>
              <w:rPr>
                <w:rFonts w:ascii="宋体" w:hAnsi="宋体" w:eastAsia="宋体" w:cs="宋体"/>
                <w:spacing w:val="-6"/>
                <w:szCs w:val="21"/>
              </w:rPr>
            </w:pPr>
            <w:r>
              <w:rPr>
                <w:rFonts w:hint="eastAsia" w:ascii="宋体" w:hAnsi="宋体" w:eastAsia="宋体" w:cs="宋体"/>
                <w:szCs w:val="21"/>
              </w:rPr>
              <w:t>（</w:t>
            </w:r>
            <w:r>
              <w:rPr>
                <w:rFonts w:ascii="宋体" w:hAnsi="宋体" w:eastAsia="宋体" w:cs="宋体"/>
                <w:szCs w:val="21"/>
              </w:rPr>
              <w:t>4</w:t>
            </w:r>
            <w:r>
              <w:rPr>
                <w:rFonts w:hint="eastAsia" w:ascii="宋体" w:hAnsi="宋体" w:eastAsia="宋体" w:cs="宋体"/>
                <w:szCs w:val="21"/>
              </w:rPr>
              <w:t>）</w:t>
            </w:r>
            <w:r>
              <w:rPr>
                <w:rFonts w:hint="eastAsia" w:ascii="宋体" w:hAnsi="宋体" w:eastAsia="宋体" w:cs="宋体"/>
                <w:spacing w:val="-6"/>
                <w:szCs w:val="21"/>
              </w:rPr>
              <w:t>投标人的项目经理和项目总工资格、在岗情况符合招标文件规定。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5</w:t>
            </w:r>
            <w:r>
              <w:rPr>
                <w:rFonts w:hint="eastAsia" w:ascii="宋体" w:hAnsi="宋体" w:eastAsia="宋体" w:cs="宋体"/>
                <w:szCs w:val="21"/>
              </w:rPr>
              <w:t>）投标人的其他要求符合招标文件规定。</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6</w:t>
            </w:r>
            <w:r>
              <w:rPr>
                <w:rFonts w:hint="eastAsia" w:ascii="宋体" w:hAnsi="宋体" w:eastAsia="宋体" w:cs="宋体"/>
                <w:szCs w:val="21"/>
              </w:rPr>
              <w:t xml:space="preserve">）投标人不存在第二章“投标人须知”第1.4.3项或第1.4.4项规定的任何一种情形。 </w:t>
            </w:r>
          </w:p>
          <w:p>
            <w:pPr>
              <w:wordWrap w:val="0"/>
              <w:spacing w:line="400" w:lineRule="exact"/>
              <w:ind w:firstLine="422" w:firstLineChars="200"/>
              <w:rPr>
                <w:rFonts w:ascii="宋体" w:hAnsi="宋体" w:eastAsia="宋体" w:cs="宋体"/>
                <w:szCs w:val="21"/>
              </w:rPr>
            </w:pPr>
            <w:r>
              <w:rPr>
                <w:rFonts w:ascii="宋体" w:eastAsia="宋体"/>
                <w:b/>
                <w:bCs/>
                <w:szCs w:val="21"/>
              </w:rPr>
              <w:t>投标文件未满足以上任一条件的，其投标视为无效，评标委员会将否决其投标。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6" w:type="dxa"/>
            <w:gridSpan w:val="3"/>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b/>
                <w:szCs w:val="21"/>
              </w:rPr>
            </w:pPr>
            <w:r>
              <w:rPr>
                <w:rFonts w:hint="eastAsia" w:ascii="宋体" w:hAnsi="宋体" w:eastAsia="宋体" w:cs="宋体"/>
                <w:b/>
                <w:szCs w:val="21"/>
              </w:rPr>
              <w:t>条款号</w:t>
            </w:r>
          </w:p>
        </w:tc>
        <w:tc>
          <w:tcPr>
            <w:tcW w:w="1635" w:type="dxa"/>
            <w:tcBorders>
              <w:top w:val="single" w:color="auto" w:sz="4" w:space="0"/>
              <w:left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b/>
                <w:szCs w:val="21"/>
              </w:rPr>
            </w:pPr>
            <w:r>
              <w:rPr>
                <w:rFonts w:hint="eastAsia" w:ascii="宋体" w:hAnsi="宋体" w:eastAsia="宋体" w:cs="宋体"/>
                <w:b/>
                <w:szCs w:val="21"/>
              </w:rPr>
              <w:t>条款内容</w:t>
            </w:r>
          </w:p>
        </w:tc>
        <w:tc>
          <w:tcPr>
            <w:tcW w:w="5099" w:type="dxa"/>
            <w:tcBorders>
              <w:top w:val="single" w:color="auto" w:sz="4" w:space="0"/>
              <w:left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b/>
                <w:szCs w:val="21"/>
              </w:rPr>
            </w:pPr>
            <w:r>
              <w:rPr>
                <w:rFonts w:hint="eastAsia" w:ascii="宋体" w:hAnsi="宋体" w:eastAsia="宋体" w:cs="宋体"/>
                <w:b/>
                <w:szCs w:val="21"/>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6" w:type="dxa"/>
            <w:gridSpan w:val="3"/>
            <w:tcBorders>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2.2.1</w:t>
            </w:r>
          </w:p>
        </w:tc>
        <w:tc>
          <w:tcPr>
            <w:tcW w:w="1635" w:type="dxa"/>
            <w:tcBorders>
              <w:top w:val="single" w:color="auto" w:sz="4" w:space="0"/>
              <w:left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分值构成</w:t>
            </w:r>
          </w:p>
          <w:p>
            <w:pPr>
              <w:wordWrap w:val="0"/>
              <w:spacing w:line="400" w:lineRule="exact"/>
              <w:jc w:val="center"/>
              <w:rPr>
                <w:rFonts w:ascii="宋体" w:hAnsi="宋体" w:eastAsia="宋体" w:cs="宋体"/>
                <w:szCs w:val="21"/>
              </w:rPr>
            </w:pPr>
            <w:r>
              <w:rPr>
                <w:rFonts w:hint="eastAsia" w:ascii="宋体" w:hAnsi="宋体" w:eastAsia="宋体" w:cs="宋体"/>
                <w:szCs w:val="21"/>
              </w:rPr>
              <w:t>（总分100分）</w:t>
            </w:r>
          </w:p>
        </w:tc>
        <w:tc>
          <w:tcPr>
            <w:tcW w:w="5099" w:type="dxa"/>
            <w:tcBorders>
              <w:top w:val="single" w:color="auto" w:sz="4" w:space="0"/>
              <w:left w:val="single" w:color="auto" w:sz="4" w:space="0"/>
              <w:bottom w:val="single" w:color="auto" w:sz="4" w:space="0"/>
              <w:right w:val="single" w:color="auto" w:sz="4" w:space="0"/>
            </w:tcBorders>
            <w:vAlign w:val="center"/>
          </w:tcPr>
          <w:p>
            <w:pPr>
              <w:wordWrap w:val="0"/>
              <w:spacing w:line="400" w:lineRule="exact"/>
              <w:rPr>
                <w:rFonts w:ascii="宋体" w:hAnsi="宋体" w:eastAsia="宋体" w:cs="宋体"/>
                <w:szCs w:val="21"/>
              </w:rPr>
            </w:pPr>
            <w:r>
              <w:rPr>
                <w:rFonts w:hint="eastAsia" w:ascii="宋体" w:hAnsi="宋体" w:eastAsia="宋体" w:cs="宋体"/>
                <w:szCs w:val="21"/>
              </w:rPr>
              <w:t>评标价：100分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1906" w:type="dxa"/>
            <w:gridSpan w:val="3"/>
            <w:tcBorders>
              <w:top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2.2.2</w:t>
            </w:r>
          </w:p>
        </w:tc>
        <w:tc>
          <w:tcPr>
            <w:tcW w:w="1635" w:type="dxa"/>
            <w:tcBorders>
              <w:top w:val="single" w:color="auto" w:sz="4" w:space="0"/>
              <w:left w:val="single" w:color="auto" w:sz="4" w:space="0"/>
              <w:right w:val="single" w:color="auto" w:sz="4" w:space="0"/>
            </w:tcBorders>
            <w:vAlign w:val="center"/>
          </w:tcPr>
          <w:p>
            <w:pPr>
              <w:wordWrap w:val="0"/>
              <w:spacing w:line="400" w:lineRule="exact"/>
              <w:jc w:val="center"/>
              <w:rPr>
                <w:rFonts w:ascii="宋体" w:hAnsi="宋体" w:eastAsia="宋体" w:cs="宋体"/>
                <w:b/>
                <w:szCs w:val="21"/>
              </w:rPr>
            </w:pPr>
            <w:r>
              <w:rPr>
                <w:rFonts w:hint="eastAsia" w:ascii="宋体" w:hAnsi="宋体" w:eastAsia="宋体" w:cs="宋体"/>
                <w:szCs w:val="21"/>
              </w:rPr>
              <w:t>评标基准价计算方法</w:t>
            </w:r>
          </w:p>
        </w:tc>
        <w:tc>
          <w:tcPr>
            <w:tcW w:w="509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在第二信封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计算差错，仅限于以下两种情况：1、纯算术性四则运算差错；2、未按约定的规则，多计或少计参加评标价平均值计算的评标价。</w:t>
            </w:r>
          </w:p>
          <w:p>
            <w:pPr>
              <w:widowControl/>
              <w:spacing w:line="400" w:lineRule="exact"/>
              <w:ind w:firstLine="420" w:firstLineChars="200"/>
              <w:jc w:val="left"/>
              <w:rPr>
                <w:rFonts w:ascii="宋体" w:hAnsi="宋体" w:eastAsia="宋体" w:cs="宋体"/>
                <w:szCs w:val="21"/>
              </w:rPr>
            </w:pPr>
            <w:r>
              <w:rPr>
                <w:rFonts w:hint="eastAsia" w:ascii="宋体" w:hAnsi="宋体" w:eastAsia="宋体" w:cs="宋体"/>
                <w:szCs w:val="21"/>
              </w:rPr>
              <w:t>本次招标设定3种评标价平均值（B）计算方法，在第二个信封（报价文件）开标现场，每个标段随机抽取其中1种作为该标段的评标价平均值计算方法。</w:t>
            </w:r>
          </w:p>
          <w:p>
            <w:pPr>
              <w:spacing w:line="400" w:lineRule="exact"/>
              <w:ind w:firstLine="422" w:firstLineChars="200"/>
              <w:rPr>
                <w:rFonts w:ascii="宋体" w:hAnsi="宋体" w:eastAsia="宋体" w:cs="宋体"/>
                <w:b/>
                <w:bCs/>
                <w:szCs w:val="21"/>
              </w:rPr>
            </w:pPr>
            <w:r>
              <w:rPr>
                <w:rFonts w:hint="eastAsia" w:ascii="宋体" w:hAnsi="宋体" w:eastAsia="宋体" w:cs="宋体"/>
                <w:b/>
                <w:bCs/>
                <w:color w:val="000000"/>
                <w:kern w:val="0"/>
                <w:szCs w:val="21"/>
                <w:lang w:bidi="ar"/>
              </w:rPr>
              <w:t>一、评标价（A）</w:t>
            </w:r>
          </w:p>
          <w:p>
            <w:pPr>
              <w:widowControl/>
              <w:spacing w:line="400" w:lineRule="exact"/>
              <w:ind w:firstLine="420" w:firstLineChars="200"/>
              <w:jc w:val="left"/>
              <w:rPr>
                <w:rFonts w:ascii="宋体" w:hAnsi="宋体" w:eastAsia="宋体" w:cs="宋体"/>
                <w:szCs w:val="21"/>
              </w:rPr>
            </w:pPr>
            <w:r>
              <w:rPr>
                <w:rFonts w:hint="eastAsia" w:ascii="宋体" w:hAnsi="宋体" w:eastAsia="宋体" w:cs="宋体"/>
                <w:color w:val="000000"/>
                <w:kern w:val="0"/>
                <w:szCs w:val="21"/>
                <w:lang w:bidi="ar"/>
              </w:rPr>
              <w:t>评标价=投标函的文字报价</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如果投标文件出现以下1～5任一情况，不参加评标价平均值的计算：</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1.未按要求在投标函上填写投标总价；</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2.投标报价超出招标人公布的最高投标限价，或低于招标人公布的最高投标限价的90%；</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3.无法确定投标报价具体数值；</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4.投标函上填写的标段号与上传的对应项目标段号不一致（如分标段）；</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5.投标函中的投标报价大写金额与投标文件工程量清单中的投标报价金额不一致。</w:t>
            </w:r>
          </w:p>
          <w:p>
            <w:pPr>
              <w:widowControl/>
              <w:spacing w:line="400" w:lineRule="exact"/>
              <w:ind w:firstLine="420" w:firstLineChars="200"/>
              <w:jc w:val="left"/>
              <w:rPr>
                <w:rFonts w:ascii="宋体" w:hAnsi="宋体" w:eastAsia="宋体" w:cs="宋体"/>
                <w:szCs w:val="21"/>
              </w:rPr>
            </w:pPr>
            <w:r>
              <w:rPr>
                <w:rFonts w:hint="eastAsia" w:ascii="宋体" w:hAnsi="宋体" w:eastAsia="宋体" w:cs="宋体"/>
                <w:color w:val="000000"/>
                <w:kern w:val="0"/>
                <w:szCs w:val="21"/>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pPr>
              <w:spacing w:line="400" w:lineRule="exact"/>
              <w:ind w:firstLine="422" w:firstLineChars="200"/>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二、评标价平均值（B）计算方法1</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如果所有评标价均低于90%</w:t>
            </w:r>
            <w:r>
              <w:rPr>
                <w:rFonts w:hint="eastAsia" w:ascii="宋体" w:hAnsi="宋体" w:eastAsia="宋体" w:cs="宋体"/>
                <w:szCs w:val="21"/>
              </w:rPr>
              <w:t>×</w:t>
            </w:r>
            <w:r>
              <w:rPr>
                <w:rFonts w:hint="eastAsia" w:ascii="宋体" w:hAnsi="宋体" w:eastAsia="宋体" w:cs="宋体"/>
                <w:color w:val="000000"/>
                <w:kern w:val="0"/>
                <w:szCs w:val="21"/>
                <w:lang w:bidi="ar"/>
              </w:rPr>
              <w:t>C值（最高投标限价的90%），则评标价平均值（B）直接为90%</w:t>
            </w:r>
            <w:r>
              <w:rPr>
                <w:rFonts w:hint="eastAsia" w:ascii="宋体" w:hAnsi="宋体" w:eastAsia="宋体" w:cs="宋体"/>
                <w:szCs w:val="21"/>
              </w:rPr>
              <w:t>×</w:t>
            </w:r>
            <w:r>
              <w:rPr>
                <w:rFonts w:hint="eastAsia" w:ascii="宋体" w:hAnsi="宋体" w:eastAsia="宋体" w:cs="宋体"/>
                <w:color w:val="000000"/>
                <w:kern w:val="0"/>
                <w:szCs w:val="21"/>
                <w:lang w:bidi="ar"/>
              </w:rPr>
              <w:t>C值（最高投标限价的90%）。否则，按以下方式计算评标价平均值（B）：</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1.评标价初始平均值（B1）</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所有参加评标价平均值计算的评标价的算术平均值为评标价初始平均值B1。</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评标价初始平均值（B1）保留七位小数，小数点后第八位“四舍五入”。</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2.评标价区段平均值（B2）</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根据下述区段计算评标价区段平均值（</w:t>
            </w:r>
            <w:r>
              <w:rPr>
                <w:rFonts w:hint="eastAsia" w:ascii="宋体" w:hAnsi="宋体" w:eastAsia="宋体" w:cs="宋体"/>
                <w:szCs w:val="21"/>
              </w:rPr>
              <w:t>B2.1、B2.2、……、B2.15、B2.16</w:t>
            </w:r>
            <w:r>
              <w:rPr>
                <w:rFonts w:hint="eastAsia" w:ascii="宋体" w:hAnsi="宋体" w:eastAsia="宋体" w:cs="宋体"/>
                <w:color w:val="000000"/>
                <w:kern w:val="0"/>
                <w:szCs w:val="21"/>
                <w:lang w:bidi="ar"/>
              </w:rPr>
              <w:t>），各区段平均值为该区段内各评标价的算术平均值。如：B2.2为“1.03</w:t>
            </w:r>
            <w:r>
              <w:rPr>
                <w:rFonts w:hint="eastAsia" w:ascii="宋体" w:hAnsi="宋体" w:eastAsia="宋体" w:cs="宋体"/>
                <w:szCs w:val="21"/>
              </w:rPr>
              <w:t>×</w:t>
            </w:r>
            <w:r>
              <w:rPr>
                <w:rFonts w:hint="eastAsia" w:ascii="宋体" w:hAnsi="宋体" w:eastAsia="宋体" w:cs="宋体"/>
                <w:color w:val="000000"/>
                <w:kern w:val="0"/>
                <w:szCs w:val="21"/>
                <w:lang w:bidi="ar"/>
              </w:rPr>
              <w:t>B1（不含）～1.035</w:t>
            </w:r>
            <w:r>
              <w:rPr>
                <w:rFonts w:hint="eastAsia" w:ascii="宋体" w:hAnsi="宋体" w:eastAsia="宋体" w:cs="宋体"/>
                <w:szCs w:val="21"/>
              </w:rPr>
              <w:t>×</w:t>
            </w:r>
            <w:r>
              <w:rPr>
                <w:rFonts w:hint="eastAsia" w:ascii="宋体" w:hAnsi="宋体" w:eastAsia="宋体" w:cs="宋体"/>
                <w:color w:val="000000"/>
                <w:kern w:val="0"/>
                <w:szCs w:val="21"/>
                <w:lang w:bidi="ar"/>
              </w:rPr>
              <w:t>B1（含）”范围内的所有评标价的算术平均值。评标价区段平均值（B2）保留七位小数，小数点后第八位“四舍五入”。</w:t>
            </w:r>
          </w:p>
          <w:tbl>
            <w:tblPr>
              <w:tblStyle w:val="10"/>
              <w:tblW w:w="4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1"/>
              <w:gridCol w:w="1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vAlign w:val="center"/>
                </w:tcPr>
                <w:p>
                  <w:pPr>
                    <w:spacing w:line="400" w:lineRule="exact"/>
                    <w:jc w:val="center"/>
                    <w:rPr>
                      <w:rFonts w:ascii="宋体" w:hAnsi="宋体" w:eastAsia="宋体" w:cs="宋体"/>
                      <w:b/>
                      <w:bCs/>
                      <w:szCs w:val="21"/>
                    </w:rPr>
                  </w:pPr>
                  <w:r>
                    <w:rPr>
                      <w:rFonts w:hint="eastAsia" w:ascii="宋体" w:hAnsi="宋体" w:eastAsia="宋体" w:cs="宋体"/>
                      <w:b/>
                      <w:bCs/>
                      <w:color w:val="000000"/>
                      <w:kern w:val="0"/>
                      <w:szCs w:val="21"/>
                      <w:lang w:bidi="ar"/>
                    </w:rPr>
                    <w:t>区段</w:t>
                  </w:r>
                </w:p>
              </w:tc>
              <w:tc>
                <w:tcPr>
                  <w:tcW w:w="1848" w:type="dxa"/>
                  <w:vAlign w:val="center"/>
                </w:tcPr>
                <w:p>
                  <w:pPr>
                    <w:spacing w:line="400" w:lineRule="exact"/>
                    <w:jc w:val="center"/>
                    <w:rPr>
                      <w:rFonts w:ascii="宋体" w:hAnsi="宋体" w:eastAsia="宋体" w:cs="宋体"/>
                      <w:b/>
                      <w:bCs/>
                      <w:szCs w:val="21"/>
                    </w:rPr>
                  </w:pPr>
                  <w:r>
                    <w:rPr>
                      <w:rFonts w:hint="eastAsia" w:ascii="宋体" w:hAnsi="宋体" w:eastAsia="宋体" w:cs="宋体"/>
                      <w:b/>
                      <w:bCs/>
                      <w:color w:val="000000"/>
                      <w:kern w:val="0"/>
                      <w:szCs w:val="21"/>
                      <w:lang w:bidi="ar"/>
                    </w:rPr>
                    <w:t>区段平均值（B2）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1.035</w:t>
                  </w:r>
                  <w:r>
                    <w:rPr>
                      <w:rFonts w:hint="eastAsia" w:ascii="宋体" w:hAnsi="宋体" w:eastAsia="宋体" w:cs="宋体"/>
                      <w:szCs w:val="21"/>
                    </w:rPr>
                    <w:t>×</w:t>
                  </w:r>
                  <w:r>
                    <w:rPr>
                      <w:rFonts w:hint="eastAsia" w:ascii="宋体" w:hAnsi="宋体" w:eastAsia="宋体" w:cs="宋体"/>
                      <w:color w:val="000000"/>
                      <w:kern w:val="0"/>
                      <w:szCs w:val="21"/>
                      <w:lang w:bidi="ar"/>
                    </w:rPr>
                    <w:t>B1&lt;评标价</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1.03</w:t>
                  </w:r>
                  <w:r>
                    <w:rPr>
                      <w:rFonts w:hint="eastAsia" w:ascii="宋体" w:hAnsi="宋体" w:eastAsia="宋体" w:cs="宋体"/>
                      <w:szCs w:val="21"/>
                    </w:rPr>
                    <w:t>×</w:t>
                  </w:r>
                  <w:r>
                    <w:rPr>
                      <w:rFonts w:hint="eastAsia" w:ascii="宋体" w:hAnsi="宋体" w:eastAsia="宋体" w:cs="宋体"/>
                      <w:color w:val="000000"/>
                      <w:kern w:val="0"/>
                      <w:szCs w:val="21"/>
                      <w:lang w:bidi="ar"/>
                    </w:rPr>
                    <w:t>B1&lt;评标价≤1.035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1.025</w:t>
                  </w:r>
                  <w:r>
                    <w:rPr>
                      <w:rFonts w:hint="eastAsia" w:ascii="宋体" w:hAnsi="宋体" w:eastAsia="宋体" w:cs="宋体"/>
                      <w:szCs w:val="21"/>
                    </w:rPr>
                    <w:t>×</w:t>
                  </w:r>
                  <w:r>
                    <w:rPr>
                      <w:rFonts w:hint="eastAsia" w:ascii="宋体" w:hAnsi="宋体" w:eastAsia="宋体" w:cs="宋体"/>
                      <w:color w:val="000000"/>
                      <w:kern w:val="0"/>
                      <w:szCs w:val="21"/>
                      <w:lang w:bidi="ar"/>
                    </w:rPr>
                    <w:t>B1&lt;评标价≤1.03</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1.02</w:t>
                  </w:r>
                  <w:r>
                    <w:rPr>
                      <w:rFonts w:hint="eastAsia" w:ascii="宋体" w:hAnsi="宋体" w:eastAsia="宋体" w:cs="宋体"/>
                      <w:szCs w:val="21"/>
                    </w:rPr>
                    <w:t>×</w:t>
                  </w:r>
                  <w:r>
                    <w:rPr>
                      <w:rFonts w:hint="eastAsia" w:ascii="宋体" w:hAnsi="宋体" w:eastAsia="宋体" w:cs="宋体"/>
                      <w:color w:val="000000"/>
                      <w:kern w:val="0"/>
                      <w:szCs w:val="21"/>
                      <w:lang w:bidi="ar"/>
                    </w:rPr>
                    <w:t>B1&lt;评标价≤1.025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1.015</w:t>
                  </w:r>
                  <w:r>
                    <w:rPr>
                      <w:rFonts w:hint="eastAsia" w:ascii="宋体" w:hAnsi="宋体" w:eastAsia="宋体" w:cs="宋体"/>
                      <w:szCs w:val="21"/>
                    </w:rPr>
                    <w:t>×</w:t>
                  </w:r>
                  <w:r>
                    <w:rPr>
                      <w:rFonts w:hint="eastAsia" w:ascii="宋体" w:hAnsi="宋体" w:eastAsia="宋体" w:cs="宋体"/>
                      <w:color w:val="000000"/>
                      <w:kern w:val="0"/>
                      <w:szCs w:val="21"/>
                      <w:lang w:bidi="ar"/>
                    </w:rPr>
                    <w:t>B1&lt;评标价≤1.02</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1.01</w:t>
                  </w:r>
                  <w:r>
                    <w:rPr>
                      <w:rFonts w:hint="eastAsia" w:ascii="宋体" w:hAnsi="宋体" w:eastAsia="宋体" w:cs="宋体"/>
                      <w:szCs w:val="21"/>
                    </w:rPr>
                    <w:t>×</w:t>
                  </w:r>
                  <w:r>
                    <w:rPr>
                      <w:rFonts w:hint="eastAsia" w:ascii="宋体" w:hAnsi="宋体" w:eastAsia="宋体" w:cs="宋体"/>
                      <w:color w:val="000000"/>
                      <w:kern w:val="0"/>
                      <w:szCs w:val="21"/>
                      <w:lang w:bidi="ar"/>
                    </w:rPr>
                    <w:t>B1&lt;评标价≤1.015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1.005</w:t>
                  </w:r>
                  <w:r>
                    <w:rPr>
                      <w:rFonts w:hint="eastAsia" w:ascii="宋体" w:hAnsi="宋体" w:eastAsia="宋体" w:cs="宋体"/>
                      <w:szCs w:val="21"/>
                    </w:rPr>
                    <w:t>×</w:t>
                  </w:r>
                  <w:r>
                    <w:rPr>
                      <w:rFonts w:hint="eastAsia" w:ascii="宋体" w:hAnsi="宋体" w:eastAsia="宋体" w:cs="宋体"/>
                      <w:color w:val="000000"/>
                      <w:kern w:val="0"/>
                      <w:szCs w:val="21"/>
                      <w:lang w:bidi="ar"/>
                    </w:rPr>
                    <w:t>B1&lt;评标价≤1.01</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vAlign w:val="center"/>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1.00</w:t>
                  </w:r>
                  <w:r>
                    <w:rPr>
                      <w:rFonts w:hint="eastAsia" w:ascii="宋体" w:hAnsi="宋体" w:eastAsia="宋体" w:cs="宋体"/>
                      <w:szCs w:val="21"/>
                    </w:rPr>
                    <w:t>×</w:t>
                  </w:r>
                  <w:r>
                    <w:rPr>
                      <w:rFonts w:hint="eastAsia" w:ascii="宋体" w:hAnsi="宋体" w:eastAsia="宋体" w:cs="宋体"/>
                      <w:color w:val="000000"/>
                      <w:kern w:val="0"/>
                      <w:szCs w:val="21"/>
                      <w:lang w:bidi="ar"/>
                    </w:rPr>
                    <w:t>B1&lt;评标价≤1.005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vAlign w:val="center"/>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0.995</w:t>
                  </w:r>
                  <w:r>
                    <w:rPr>
                      <w:rFonts w:hint="eastAsia" w:ascii="宋体" w:hAnsi="宋体" w:eastAsia="宋体" w:cs="宋体"/>
                      <w:szCs w:val="21"/>
                    </w:rPr>
                    <w:t>×</w:t>
                  </w:r>
                  <w:r>
                    <w:rPr>
                      <w:rFonts w:hint="eastAsia" w:ascii="宋体" w:hAnsi="宋体" w:eastAsia="宋体" w:cs="宋体"/>
                      <w:color w:val="000000"/>
                      <w:kern w:val="0"/>
                      <w:szCs w:val="21"/>
                      <w:lang w:bidi="ar"/>
                    </w:rPr>
                    <w:t>B1&lt;评标价≤1.00</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vAlign w:val="center"/>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0.99</w:t>
                  </w:r>
                  <w:r>
                    <w:rPr>
                      <w:rFonts w:hint="eastAsia" w:ascii="宋体" w:hAnsi="宋体" w:eastAsia="宋体" w:cs="宋体"/>
                      <w:szCs w:val="21"/>
                    </w:rPr>
                    <w:t>×</w:t>
                  </w:r>
                  <w:r>
                    <w:rPr>
                      <w:rFonts w:hint="eastAsia" w:ascii="宋体" w:hAnsi="宋体" w:eastAsia="宋体" w:cs="宋体"/>
                      <w:color w:val="000000"/>
                      <w:kern w:val="0"/>
                      <w:szCs w:val="21"/>
                      <w:lang w:bidi="ar"/>
                    </w:rPr>
                    <w:t>B1&lt;评标价≤0.995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0.985</w:t>
                  </w:r>
                  <w:r>
                    <w:rPr>
                      <w:rFonts w:hint="eastAsia" w:ascii="宋体" w:hAnsi="宋体" w:eastAsia="宋体" w:cs="宋体"/>
                      <w:szCs w:val="21"/>
                    </w:rPr>
                    <w:t>×</w:t>
                  </w:r>
                  <w:r>
                    <w:rPr>
                      <w:rFonts w:hint="eastAsia" w:ascii="宋体" w:hAnsi="宋体" w:eastAsia="宋体" w:cs="宋体"/>
                      <w:color w:val="000000"/>
                      <w:kern w:val="0"/>
                      <w:szCs w:val="21"/>
                      <w:lang w:bidi="ar"/>
                    </w:rPr>
                    <w:t>B1&lt;评标价≤0.99</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0.98</w:t>
                  </w:r>
                  <w:r>
                    <w:rPr>
                      <w:rFonts w:hint="eastAsia" w:ascii="宋体" w:hAnsi="宋体" w:eastAsia="宋体" w:cs="宋体"/>
                      <w:szCs w:val="21"/>
                    </w:rPr>
                    <w:t>×</w:t>
                  </w:r>
                  <w:r>
                    <w:rPr>
                      <w:rFonts w:hint="eastAsia" w:ascii="宋体" w:hAnsi="宋体" w:eastAsia="宋体" w:cs="宋体"/>
                      <w:color w:val="000000"/>
                      <w:kern w:val="0"/>
                      <w:szCs w:val="21"/>
                      <w:lang w:bidi="ar"/>
                    </w:rPr>
                    <w:t>B1&lt;评标价≤0.985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0.975</w:t>
                  </w:r>
                  <w:r>
                    <w:rPr>
                      <w:rFonts w:hint="eastAsia" w:ascii="宋体" w:hAnsi="宋体" w:eastAsia="宋体" w:cs="宋体"/>
                      <w:szCs w:val="21"/>
                    </w:rPr>
                    <w:t>×</w:t>
                  </w:r>
                  <w:r>
                    <w:rPr>
                      <w:rFonts w:hint="eastAsia" w:ascii="宋体" w:hAnsi="宋体" w:eastAsia="宋体" w:cs="宋体"/>
                      <w:color w:val="000000"/>
                      <w:kern w:val="0"/>
                      <w:szCs w:val="21"/>
                      <w:lang w:bidi="ar"/>
                    </w:rPr>
                    <w:t>B1&lt;评标价≤0.98</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0.97</w:t>
                  </w:r>
                  <w:r>
                    <w:rPr>
                      <w:rFonts w:hint="eastAsia" w:ascii="宋体" w:hAnsi="宋体" w:eastAsia="宋体" w:cs="宋体"/>
                      <w:szCs w:val="21"/>
                    </w:rPr>
                    <w:t>×</w:t>
                  </w:r>
                  <w:r>
                    <w:rPr>
                      <w:rFonts w:hint="eastAsia" w:ascii="宋体" w:hAnsi="宋体" w:eastAsia="宋体" w:cs="宋体"/>
                      <w:color w:val="000000"/>
                      <w:kern w:val="0"/>
                      <w:szCs w:val="21"/>
                      <w:lang w:bidi="ar"/>
                    </w:rPr>
                    <w:t>B1&lt;评标价≤0.975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szCs w:val="21"/>
                    </w:rPr>
                  </w:pPr>
                  <w:r>
                    <w:rPr>
                      <w:rFonts w:hint="eastAsia" w:ascii="宋体" w:hAnsi="宋体" w:eastAsia="宋体" w:cs="宋体"/>
                      <w:color w:val="000000"/>
                      <w:kern w:val="0"/>
                      <w:szCs w:val="21"/>
                      <w:lang w:bidi="ar"/>
                    </w:rPr>
                    <w:t>0.965</w:t>
                  </w:r>
                  <w:r>
                    <w:rPr>
                      <w:rFonts w:hint="eastAsia" w:ascii="宋体" w:hAnsi="宋体" w:eastAsia="宋体" w:cs="宋体"/>
                      <w:szCs w:val="21"/>
                    </w:rPr>
                    <w:t>×</w:t>
                  </w:r>
                  <w:r>
                    <w:rPr>
                      <w:rFonts w:hint="eastAsia" w:ascii="宋体" w:hAnsi="宋体" w:eastAsia="宋体" w:cs="宋体"/>
                      <w:color w:val="000000"/>
                      <w:kern w:val="0"/>
                      <w:szCs w:val="21"/>
                      <w:lang w:bidi="ar"/>
                    </w:rPr>
                    <w:t>B1≤评标价≤0.97</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1" w:type="dxa"/>
                </w:tcPr>
                <w:p>
                  <w:pPr>
                    <w:spacing w:line="400" w:lineRule="exact"/>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评标价&lt;0.965</w:t>
                  </w:r>
                  <w:r>
                    <w:rPr>
                      <w:rFonts w:hint="eastAsia" w:ascii="宋体" w:hAnsi="宋体" w:eastAsia="宋体" w:cs="宋体"/>
                      <w:szCs w:val="21"/>
                    </w:rPr>
                    <w:t>×</w:t>
                  </w:r>
                  <w:r>
                    <w:rPr>
                      <w:rFonts w:hint="eastAsia" w:ascii="宋体" w:hAnsi="宋体" w:eastAsia="宋体" w:cs="宋体"/>
                      <w:color w:val="000000"/>
                      <w:kern w:val="0"/>
                      <w:szCs w:val="21"/>
                      <w:lang w:bidi="ar"/>
                    </w:rPr>
                    <w:t>B1</w:t>
                  </w:r>
                </w:p>
              </w:tc>
              <w:tc>
                <w:tcPr>
                  <w:tcW w:w="1848" w:type="dxa"/>
                  <w:vAlign w:val="center"/>
                </w:tcPr>
                <w:p>
                  <w:pPr>
                    <w:widowControl/>
                    <w:spacing w:line="400" w:lineRule="exact"/>
                    <w:jc w:val="center"/>
                    <w:rPr>
                      <w:rFonts w:ascii="宋体" w:hAnsi="宋体" w:eastAsia="宋体" w:cs="宋体"/>
                      <w:szCs w:val="21"/>
                    </w:rPr>
                  </w:pPr>
                  <w:r>
                    <w:rPr>
                      <w:rFonts w:hint="eastAsia" w:ascii="宋体" w:hAnsi="宋体" w:eastAsia="宋体" w:cs="宋体"/>
                      <w:szCs w:val="21"/>
                    </w:rPr>
                    <w:t>B2.16</w:t>
                  </w:r>
                </w:p>
              </w:tc>
            </w:tr>
          </w:tbl>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3.评标价平均值（B）</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（1）按下列公式，将计算得出的区段平均值（</w:t>
            </w:r>
            <w:r>
              <w:rPr>
                <w:rFonts w:hint="eastAsia" w:ascii="宋体" w:hAnsi="宋体" w:eastAsia="宋体" w:cs="宋体"/>
                <w:szCs w:val="21"/>
              </w:rPr>
              <w:t>B2.1、B2.2、……、B2.15、B2.16</w:t>
            </w:r>
            <w:r>
              <w:rPr>
                <w:rFonts w:hint="eastAsia" w:ascii="宋体" w:hAnsi="宋体" w:eastAsia="宋体" w:cs="宋体"/>
                <w:color w:val="000000"/>
                <w:kern w:val="0"/>
                <w:szCs w:val="21"/>
                <w:lang w:bidi="ar"/>
              </w:rPr>
              <w:t>）进行加权平均（B2.1和B2.16权重为0.1，B2.2和B2.15权重为0.3，B2.3和B2.14权重为0.5，其余权重为1.0），得出评标价平均值（B）。评标价平均值（B）保留七位小数，小数点后第八位“四舍五入”。</w:t>
            </w:r>
          </w:p>
          <w:p>
            <w:pPr>
              <w:spacing w:line="400" w:lineRule="exact"/>
              <w:ind w:firstLine="420" w:firstLineChars="200"/>
              <w:jc w:val="left"/>
              <w:rPr>
                <w:rFonts w:ascii="宋体" w:hAnsi="宋体" w:eastAsia="宋体" w:cs="宋体"/>
                <w:color w:val="000000"/>
                <w:spacing w:val="-2"/>
                <w:kern w:val="0"/>
                <w:szCs w:val="21"/>
                <w:lang w:bidi="ar"/>
              </w:rPr>
            </w:pPr>
            <w:r>
              <w:rPr>
                <w:rFonts w:hint="eastAsia" w:ascii="宋体" w:hAnsi="宋体" w:eastAsia="宋体" w:cs="宋体"/>
                <w:color w:val="000000"/>
                <w:kern w:val="0"/>
                <w:szCs w:val="21"/>
                <w:lang w:bidi="ar"/>
              </w:rPr>
              <w:t>B=</w:t>
            </w:r>
            <w:r>
              <w:rPr>
                <w:rFonts w:hint="eastAsia" w:ascii="宋体" w:hAnsi="宋体" w:eastAsia="宋体" w:cs="宋体"/>
                <w:color w:val="000000"/>
                <w:spacing w:val="-2"/>
                <w:kern w:val="0"/>
                <w:szCs w:val="21"/>
                <w:lang w:bidi="ar"/>
              </w:rPr>
              <w:t>[0.1</w:t>
            </w:r>
            <w:r>
              <w:rPr>
                <w:rFonts w:hint="eastAsia" w:ascii="宋体" w:hAnsi="宋体" w:eastAsia="宋体" w:cs="宋体"/>
                <w:spacing w:val="-2"/>
                <w:szCs w:val="21"/>
              </w:rPr>
              <w:t>×B2.1</w:t>
            </w:r>
            <w:r>
              <w:rPr>
                <w:rFonts w:hint="eastAsia" w:ascii="宋体" w:hAnsi="宋体" w:eastAsia="宋体" w:cs="宋体"/>
                <w:color w:val="000000"/>
                <w:spacing w:val="-2"/>
                <w:kern w:val="0"/>
                <w:szCs w:val="21"/>
                <w:lang w:bidi="ar"/>
              </w:rPr>
              <w:t>+0.3</w:t>
            </w:r>
            <w:r>
              <w:rPr>
                <w:rFonts w:hint="eastAsia" w:ascii="宋体" w:hAnsi="宋体" w:eastAsia="宋体" w:cs="宋体"/>
                <w:spacing w:val="-2"/>
                <w:szCs w:val="21"/>
              </w:rPr>
              <w:t>×B2.2</w:t>
            </w:r>
            <w:r>
              <w:rPr>
                <w:rFonts w:hint="eastAsia" w:ascii="宋体" w:hAnsi="宋体" w:eastAsia="宋体" w:cs="宋体"/>
                <w:color w:val="000000"/>
                <w:spacing w:val="-2"/>
                <w:kern w:val="0"/>
                <w:szCs w:val="21"/>
                <w:lang w:bidi="ar"/>
              </w:rPr>
              <w:t>+0.5</w:t>
            </w:r>
            <w:r>
              <w:rPr>
                <w:rFonts w:hint="eastAsia" w:ascii="宋体" w:hAnsi="宋体" w:eastAsia="宋体" w:cs="宋体"/>
                <w:spacing w:val="-2"/>
                <w:szCs w:val="21"/>
              </w:rPr>
              <w:t>×B2.3</w:t>
            </w:r>
            <w:r>
              <w:rPr>
                <w:rFonts w:hint="eastAsia" w:ascii="宋体" w:hAnsi="宋体" w:eastAsia="宋体" w:cs="宋体"/>
                <w:color w:val="000000"/>
                <w:spacing w:val="-2"/>
                <w:kern w:val="0"/>
                <w:szCs w:val="21"/>
                <w:lang w:bidi="ar"/>
              </w:rPr>
              <w:t>+1.0</w:t>
            </w:r>
            <w:r>
              <w:rPr>
                <w:rFonts w:hint="eastAsia" w:ascii="宋体" w:hAnsi="宋体" w:eastAsia="宋体" w:cs="宋体"/>
                <w:spacing w:val="-2"/>
                <w:szCs w:val="21"/>
              </w:rPr>
              <w:t>×</w:t>
            </w:r>
            <w:r>
              <w:rPr>
                <w:rFonts w:hint="eastAsia" w:ascii="宋体" w:hAnsi="宋体" w:eastAsia="宋体" w:cs="宋体"/>
                <w:color w:val="000000"/>
                <w:spacing w:val="-2"/>
                <w:kern w:val="0"/>
                <w:szCs w:val="21"/>
                <w:lang w:bidi="ar"/>
              </w:rPr>
              <w:t>（</w:t>
            </w:r>
            <w:r>
              <w:rPr>
                <w:rFonts w:hint="eastAsia" w:ascii="宋体" w:hAnsi="宋体" w:eastAsia="宋体" w:cs="宋体"/>
                <w:spacing w:val="-2"/>
                <w:szCs w:val="21"/>
              </w:rPr>
              <w:t>B2.4+B2.5+……+B2.12+B2.13</w:t>
            </w:r>
            <w:r>
              <w:rPr>
                <w:rFonts w:hint="eastAsia" w:ascii="宋体" w:hAnsi="宋体" w:eastAsia="宋体" w:cs="宋体"/>
                <w:color w:val="000000"/>
                <w:spacing w:val="-2"/>
                <w:kern w:val="0"/>
                <w:szCs w:val="21"/>
                <w:lang w:bidi="ar"/>
              </w:rPr>
              <w:t>）+0.5</w:t>
            </w:r>
            <w:r>
              <w:rPr>
                <w:rFonts w:hint="eastAsia" w:ascii="宋体" w:hAnsi="宋体" w:eastAsia="宋体" w:cs="宋体"/>
                <w:spacing w:val="-2"/>
                <w:szCs w:val="21"/>
              </w:rPr>
              <w:t>×B2.14+</w:t>
            </w:r>
            <w:r>
              <w:rPr>
                <w:rFonts w:hint="eastAsia" w:ascii="宋体" w:hAnsi="宋体" w:eastAsia="宋体" w:cs="宋体"/>
                <w:color w:val="000000"/>
                <w:spacing w:val="-2"/>
                <w:kern w:val="0"/>
                <w:szCs w:val="21"/>
                <w:lang w:bidi="ar"/>
              </w:rPr>
              <w:t>0.3</w:t>
            </w:r>
            <w:r>
              <w:rPr>
                <w:rFonts w:hint="eastAsia" w:ascii="宋体" w:hAnsi="宋体" w:eastAsia="宋体" w:cs="宋体"/>
                <w:spacing w:val="-2"/>
                <w:szCs w:val="21"/>
              </w:rPr>
              <w:t>×B2.15+0.1×B2.16</w:t>
            </w:r>
            <w:r>
              <w:rPr>
                <w:rFonts w:hint="eastAsia" w:ascii="宋体" w:hAnsi="宋体" w:eastAsia="宋体" w:cs="宋体"/>
                <w:color w:val="000000"/>
                <w:spacing w:val="-2"/>
                <w:kern w:val="0"/>
                <w:szCs w:val="21"/>
                <w:lang w:bidi="ar"/>
              </w:rPr>
              <w:t>]/[0.1+0.3+0.5+1.0+1.0+1.0+1.0+1.0+1.0+1.0+1.0+1.0+1.0+0.5+0.3+0.1]。</w:t>
            </w:r>
          </w:p>
          <w:p>
            <w:pPr>
              <w:spacing w:line="400" w:lineRule="exact"/>
              <w:ind w:firstLine="420" w:firstLineChars="200"/>
              <w:jc w:val="left"/>
              <w:rPr>
                <w:rFonts w:ascii="宋体" w:hAnsi="宋体" w:eastAsia="宋体" w:cs="宋体"/>
                <w:kern w:val="0"/>
                <w:szCs w:val="21"/>
                <w:lang w:bidi="ar"/>
              </w:rPr>
            </w:pPr>
            <w:r>
              <w:rPr>
                <w:rFonts w:hint="eastAsia" w:ascii="宋体" w:hAnsi="宋体" w:eastAsia="宋体" w:cs="宋体"/>
                <w:kern w:val="0"/>
                <w:szCs w:val="21"/>
                <w:lang w:bidi="ar"/>
              </w:rPr>
              <w:t>（2）如果某区段无区段平均值，则该区段不计区段平均值。如：无B2.1、B2.3、B2.9、B2.15等区段平均值，即B2.1、B2.3、B2.9、B2.15以及其权重均等于0，</w:t>
            </w:r>
            <w:r>
              <w:rPr>
                <w:rFonts w:hint="eastAsia" w:ascii="宋体" w:hAnsi="宋体" w:eastAsia="宋体" w:cs="宋体"/>
                <w:spacing w:val="6"/>
                <w:kern w:val="0"/>
                <w:szCs w:val="21"/>
                <w:lang w:bidi="ar"/>
              </w:rPr>
              <w:t>则</w:t>
            </w:r>
            <w:r>
              <w:rPr>
                <w:rFonts w:hint="eastAsia" w:ascii="宋体" w:hAnsi="宋体" w:eastAsia="宋体" w:cs="宋体"/>
                <w:kern w:val="0"/>
                <w:szCs w:val="21"/>
                <w:lang w:bidi="ar"/>
              </w:rPr>
              <w:t>评标价平均值 B=[0.0</w:t>
            </w:r>
            <w:r>
              <w:rPr>
                <w:rFonts w:hint="eastAsia" w:ascii="宋体" w:hAnsi="宋体" w:eastAsia="宋体" w:cs="宋体"/>
                <w:szCs w:val="21"/>
              </w:rPr>
              <w:t>×</w:t>
            </w:r>
            <w:r>
              <w:rPr>
                <w:rFonts w:hint="eastAsia" w:ascii="宋体" w:hAnsi="宋体" w:eastAsia="宋体" w:cs="宋体"/>
                <w:kern w:val="0"/>
                <w:szCs w:val="21"/>
                <w:lang w:bidi="ar"/>
              </w:rPr>
              <w:t>0.0+0.3</w:t>
            </w:r>
            <w:r>
              <w:rPr>
                <w:rFonts w:hint="eastAsia" w:ascii="宋体" w:hAnsi="宋体" w:eastAsia="宋体" w:cs="宋体"/>
                <w:szCs w:val="21"/>
              </w:rPr>
              <w:t>×B2.2+</w:t>
            </w:r>
            <w:r>
              <w:rPr>
                <w:rFonts w:hint="eastAsia" w:ascii="宋体" w:hAnsi="宋体" w:eastAsia="宋体" w:cs="宋体"/>
                <w:kern w:val="0"/>
                <w:szCs w:val="21"/>
                <w:lang w:bidi="ar"/>
              </w:rPr>
              <w:t>0.0</w:t>
            </w:r>
            <w:r>
              <w:rPr>
                <w:rFonts w:hint="eastAsia" w:ascii="宋体" w:hAnsi="宋体" w:eastAsia="宋体" w:cs="宋体"/>
                <w:szCs w:val="21"/>
              </w:rPr>
              <w:t>×</w:t>
            </w:r>
            <w:r>
              <w:rPr>
                <w:rFonts w:hint="eastAsia" w:ascii="宋体" w:hAnsi="宋体" w:eastAsia="宋体" w:cs="宋体"/>
                <w:kern w:val="0"/>
                <w:szCs w:val="21"/>
                <w:lang w:bidi="ar"/>
              </w:rPr>
              <w:t>0.0+1.0</w:t>
            </w:r>
            <w:r>
              <w:rPr>
                <w:rFonts w:hint="eastAsia" w:ascii="宋体" w:hAnsi="宋体" w:eastAsia="宋体" w:cs="宋体"/>
                <w:szCs w:val="21"/>
              </w:rPr>
              <w:t>×</w:t>
            </w:r>
            <w:r>
              <w:rPr>
                <w:rFonts w:hint="eastAsia" w:ascii="宋体" w:hAnsi="宋体" w:eastAsia="宋体" w:cs="宋体"/>
                <w:kern w:val="0"/>
                <w:szCs w:val="21"/>
                <w:lang w:bidi="ar"/>
              </w:rPr>
              <w:t>（</w:t>
            </w:r>
            <w:r>
              <w:rPr>
                <w:rFonts w:hint="eastAsia" w:ascii="宋体" w:hAnsi="宋体" w:eastAsia="宋体" w:cs="宋体"/>
                <w:szCs w:val="21"/>
              </w:rPr>
              <w:t>B2.4+B2.5+…+B2.8+</w:t>
            </w:r>
            <w:r>
              <w:rPr>
                <w:rFonts w:hint="eastAsia" w:ascii="宋体" w:hAnsi="宋体" w:eastAsia="宋体" w:cs="宋体"/>
                <w:kern w:val="0"/>
                <w:szCs w:val="21"/>
                <w:lang w:bidi="ar"/>
              </w:rPr>
              <w:t>0.0+</w:t>
            </w:r>
            <w:r>
              <w:rPr>
                <w:rFonts w:hint="eastAsia" w:ascii="宋体" w:hAnsi="宋体" w:eastAsia="宋体" w:cs="宋体"/>
                <w:szCs w:val="21"/>
              </w:rPr>
              <w:t>B2.10+…B2.12+B2.13</w:t>
            </w:r>
            <w:r>
              <w:rPr>
                <w:rFonts w:hint="eastAsia" w:ascii="宋体" w:hAnsi="宋体" w:eastAsia="宋体" w:cs="宋体"/>
                <w:kern w:val="0"/>
                <w:szCs w:val="21"/>
                <w:lang w:bidi="ar"/>
              </w:rPr>
              <w:t>）+0.5</w:t>
            </w:r>
            <w:r>
              <w:rPr>
                <w:rFonts w:hint="eastAsia" w:ascii="宋体" w:hAnsi="宋体" w:eastAsia="宋体" w:cs="宋体"/>
                <w:szCs w:val="21"/>
              </w:rPr>
              <w:t>×B2.14+</w:t>
            </w:r>
            <w:r>
              <w:rPr>
                <w:rFonts w:hint="eastAsia" w:ascii="宋体" w:hAnsi="宋体" w:eastAsia="宋体" w:cs="宋体"/>
                <w:kern w:val="0"/>
                <w:szCs w:val="21"/>
                <w:lang w:bidi="ar"/>
              </w:rPr>
              <w:t>0.0</w:t>
            </w:r>
            <w:r>
              <w:rPr>
                <w:rFonts w:hint="eastAsia" w:ascii="宋体" w:hAnsi="宋体" w:eastAsia="宋体" w:cs="宋体"/>
                <w:szCs w:val="21"/>
              </w:rPr>
              <w:t>×</w:t>
            </w:r>
            <w:r>
              <w:rPr>
                <w:rFonts w:hint="eastAsia" w:ascii="宋体" w:hAnsi="宋体" w:eastAsia="宋体" w:cs="宋体"/>
                <w:kern w:val="0"/>
                <w:szCs w:val="21"/>
                <w:lang w:bidi="ar"/>
              </w:rPr>
              <w:t>0.0+</w:t>
            </w:r>
            <w:r>
              <w:rPr>
                <w:rFonts w:hint="eastAsia" w:ascii="宋体" w:hAnsi="宋体" w:eastAsia="宋体" w:cs="宋体"/>
                <w:szCs w:val="21"/>
              </w:rPr>
              <w:t>0.1×B2.16</w:t>
            </w:r>
            <w:r>
              <w:rPr>
                <w:rFonts w:hint="eastAsia" w:ascii="宋体" w:hAnsi="宋体" w:eastAsia="宋体" w:cs="宋体"/>
                <w:kern w:val="0"/>
                <w:szCs w:val="21"/>
                <w:lang w:bidi="ar"/>
              </w:rPr>
              <w:t>]/[0.0+0.3+0.0+1.0+1.0+1.0+1.0+1.0+0.0+1.0+1.0+1.0+1.0+0.5+0.0+0.1]。</w:t>
            </w:r>
          </w:p>
          <w:p>
            <w:pPr>
              <w:spacing w:line="400" w:lineRule="exact"/>
              <w:ind w:firstLine="422" w:firstLineChars="200"/>
              <w:rPr>
                <w:rFonts w:ascii="宋体" w:hAnsi="宋体" w:eastAsia="宋体" w:cs="宋体"/>
                <w:b/>
                <w:bCs/>
                <w:color w:val="000000"/>
                <w:kern w:val="0"/>
                <w:szCs w:val="21"/>
                <w:lang w:bidi="ar"/>
              </w:rPr>
            </w:pPr>
            <w:r>
              <w:rPr>
                <w:rFonts w:hint="eastAsia" w:ascii="宋体" w:hAnsi="宋体" w:eastAsia="宋体" w:cs="宋体"/>
                <w:b/>
                <w:bCs/>
                <w:kern w:val="0"/>
                <w:szCs w:val="21"/>
                <w:lang w:bidi="ar"/>
              </w:rPr>
              <w:t>三、评标价平均值（B）计算方法</w:t>
            </w:r>
            <w:r>
              <w:rPr>
                <w:rFonts w:hint="eastAsia" w:ascii="宋体" w:hAnsi="宋体" w:eastAsia="宋体" w:cs="宋体"/>
                <w:b/>
                <w:bCs/>
                <w:color w:val="000000"/>
                <w:kern w:val="0"/>
                <w:szCs w:val="21"/>
                <w:lang w:bidi="ar"/>
              </w:rPr>
              <w:t>2</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根据所有参加评标价平均值计算的评标价（个数用P表示）计算评标价平均值（B）。C为招标人设定的最高投标限价。评标价平均值保留七位小数，小数点后第八位“四舍五入”。</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1.当P=0时，即所有评标价均低于90%</w:t>
            </w:r>
            <w:r>
              <w:rPr>
                <w:rFonts w:hint="eastAsia" w:ascii="宋体" w:hAnsi="宋体" w:eastAsia="宋体" w:cs="宋体"/>
                <w:szCs w:val="21"/>
              </w:rPr>
              <w:t>×</w:t>
            </w:r>
            <w:r>
              <w:rPr>
                <w:rFonts w:hint="eastAsia" w:ascii="宋体" w:hAnsi="宋体" w:eastAsia="宋体" w:cs="宋体"/>
                <w:color w:val="000000"/>
                <w:kern w:val="0"/>
                <w:szCs w:val="21"/>
                <w:lang w:bidi="ar"/>
              </w:rPr>
              <w:t xml:space="preserve">C值（最高投标限价的90%），则评标价平均值（B）直接为90%  </w:t>
            </w:r>
            <w:r>
              <w:rPr>
                <w:rFonts w:hint="eastAsia" w:ascii="宋体" w:hAnsi="宋体" w:eastAsia="宋体" w:cs="宋体"/>
                <w:szCs w:val="21"/>
              </w:rPr>
              <w:t>×</w:t>
            </w:r>
            <w:r>
              <w:rPr>
                <w:rFonts w:hint="eastAsia" w:ascii="宋体" w:hAnsi="宋体" w:eastAsia="宋体" w:cs="宋体"/>
                <w:color w:val="000000"/>
                <w:kern w:val="0"/>
                <w:szCs w:val="21"/>
                <w:lang w:bidi="ar"/>
              </w:rPr>
              <w:t>C值（最高投标限价的90%）。</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2.当0＜P≤5时，评标价平均值（B）为P个评标价的算术平均值。</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3.当6≤P≤9时，在P个评标价中，去掉1个最高值和1个最低值后的其余评标价的算术平均值为评标价平均值（B）。</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4.当P≥10时，在P个评标价中，去掉P1个最高值和P2个最低值后的其余评标价的算术平均值为评标价平均值（B）。</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P1=Q1，P2=Q2。Q1、Q2是在取值区间（1～Q）中随机抽取的</w:t>
            </w:r>
            <w:r>
              <w:rPr>
                <w:rFonts w:hint="eastAsia" w:ascii="宋体" w:hAnsi="宋体" w:eastAsia="宋体" w:cs="宋体"/>
                <w:color w:val="000000"/>
                <w:kern w:val="0"/>
                <w:szCs w:val="21"/>
                <w:highlight w:val="yellow"/>
                <w:lang w:bidi="ar"/>
              </w:rPr>
              <w:t>两个数值</w:t>
            </w:r>
            <w:r>
              <w:rPr>
                <w:rFonts w:hint="eastAsia" w:ascii="宋体" w:hAnsi="宋体" w:eastAsia="宋体" w:cs="宋体"/>
                <w:color w:val="000000"/>
                <w:kern w:val="0"/>
                <w:szCs w:val="21"/>
                <w:lang w:bidi="ar"/>
              </w:rPr>
              <w:t>，较大的数值为Q1，较小的数值为Q2。Q=INT（P/5），即Q为（P/5）向下取整。</w:t>
            </w:r>
          </w:p>
          <w:p>
            <w:pPr>
              <w:spacing w:line="400" w:lineRule="exact"/>
              <w:ind w:firstLine="422" w:firstLineChars="200"/>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四、评标价平均值（B）计算方法3</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根据所有参加评标价平均值计算的评标价（个数用P表示）计算评标价平均值（B）。C为招标人设定的最高投标限价。评标价平均值保留七位小数，小数点后第八位“四舍五入”。</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1.当P=0时，即所有评标价均低于90%</w:t>
            </w:r>
            <w:r>
              <w:rPr>
                <w:rFonts w:hint="eastAsia" w:ascii="宋体" w:hAnsi="宋体" w:eastAsia="宋体" w:cs="宋体"/>
                <w:szCs w:val="21"/>
              </w:rPr>
              <w:t>×</w:t>
            </w:r>
            <w:r>
              <w:rPr>
                <w:rFonts w:hint="eastAsia" w:ascii="宋体" w:hAnsi="宋体" w:eastAsia="宋体" w:cs="宋体"/>
                <w:color w:val="000000"/>
                <w:kern w:val="0"/>
                <w:szCs w:val="21"/>
                <w:lang w:bidi="ar"/>
              </w:rPr>
              <w:t>C值（最高投标限价的90%），则评标价平均值（B）直接为90%</w:t>
            </w:r>
            <w:r>
              <w:rPr>
                <w:rFonts w:hint="eastAsia" w:ascii="宋体" w:hAnsi="宋体" w:eastAsia="宋体" w:cs="宋体"/>
                <w:szCs w:val="21"/>
              </w:rPr>
              <w:t>×</w:t>
            </w:r>
            <w:r>
              <w:rPr>
                <w:rFonts w:hint="eastAsia" w:ascii="宋体" w:hAnsi="宋体" w:eastAsia="宋体" w:cs="宋体"/>
                <w:color w:val="000000"/>
                <w:kern w:val="0"/>
                <w:szCs w:val="21"/>
                <w:lang w:bidi="ar"/>
              </w:rPr>
              <w:t>C值（最高投标限价的90%）。</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2.当0＜P≤5时，评标价平均值（B）为P个评标价的算术平均值。</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3.当P=6或7时，在P个评标价中，去掉1个最高值和1个最低值后的其余评标价的算术平均值为评标价平均值（B）。</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4.当P≥8时</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（1）首先，在P个评标价中，去掉P1个最高值和P2个最低值。</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P1=Q1，P2=Q2。Q1、Q2是在取值区间（1～Q）中随机抽取的两个数值，较大的数值为Q1，较小的数值为Q2。Q=INT（P/5），即Q为（P/5）向下取整且最小为1。</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（2）然后，将其余评标价由低到高排列，对排列第（1、1+R、1+2R、……、1+SR）</w:t>
            </w:r>
            <w:r>
              <w:rPr>
                <w:rFonts w:hint="eastAsia" w:ascii="宋体" w:hAnsi="宋体" w:eastAsia="宋体" w:cs="宋体"/>
                <w:szCs w:val="21"/>
              </w:rPr>
              <w:t>的评标价进行算术平均，该算术平均值为</w:t>
            </w:r>
            <w:r>
              <w:rPr>
                <w:rFonts w:hint="eastAsia" w:ascii="宋体" w:hAnsi="宋体" w:eastAsia="宋体" w:cs="宋体"/>
                <w:color w:val="000000"/>
                <w:kern w:val="0"/>
                <w:szCs w:val="21"/>
                <w:lang w:bidi="ar"/>
              </w:rPr>
              <w:t>评标价平均值（B）。</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R为随机步距，在开标现场随机抽取，取值范围为3、4、5。</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S为步距个数，S=INT[（P-P1-P2-1）/R]，即S为[（P-P1-P2-1）/R]向下取整。</w:t>
            </w:r>
          </w:p>
          <w:p>
            <w:pPr>
              <w:spacing w:line="400" w:lineRule="exact"/>
              <w:ind w:firstLine="422" w:firstLineChars="200"/>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五、评标基准价（D）</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D=[C</w:t>
            </w:r>
            <w:r>
              <w:rPr>
                <w:rFonts w:hint="eastAsia" w:ascii="宋体" w:hAnsi="宋体" w:eastAsia="宋体" w:cs="宋体"/>
                <w:szCs w:val="21"/>
              </w:rPr>
              <w:t>×</w:t>
            </w:r>
            <w:r>
              <w:rPr>
                <w:rFonts w:hint="eastAsia" w:ascii="宋体" w:hAnsi="宋体" w:eastAsia="宋体" w:cs="宋体"/>
                <w:color w:val="000000"/>
                <w:kern w:val="0"/>
                <w:szCs w:val="21"/>
                <w:lang w:bidi="ar"/>
              </w:rPr>
              <w:t>K+B</w:t>
            </w:r>
            <w:r>
              <w:rPr>
                <w:rFonts w:hint="eastAsia" w:ascii="宋体" w:hAnsi="宋体" w:eastAsia="宋体" w:cs="宋体"/>
                <w:szCs w:val="21"/>
              </w:rPr>
              <w:t>×</w:t>
            </w:r>
            <w:r>
              <w:rPr>
                <w:rFonts w:hint="eastAsia" w:ascii="宋体" w:hAnsi="宋体" w:eastAsia="宋体" w:cs="宋体"/>
                <w:color w:val="000000"/>
                <w:kern w:val="0"/>
                <w:szCs w:val="21"/>
                <w:lang w:bidi="ar"/>
              </w:rPr>
              <w:t>（1-K）]</w:t>
            </w:r>
            <w:r>
              <w:rPr>
                <w:rFonts w:hint="eastAsia" w:ascii="宋体" w:hAnsi="宋体" w:eastAsia="宋体" w:cs="宋体"/>
                <w:szCs w:val="21"/>
              </w:rPr>
              <w:t xml:space="preserve"> ×</w:t>
            </w:r>
            <w:r>
              <w:rPr>
                <w:rFonts w:hint="eastAsia" w:ascii="宋体" w:hAnsi="宋体" w:eastAsia="宋体" w:cs="宋体"/>
                <w:color w:val="000000"/>
                <w:kern w:val="0"/>
                <w:szCs w:val="21"/>
                <w:lang w:bidi="ar"/>
              </w:rPr>
              <w:t>（1-Z），保留七位小数，小数点后第八位“四舍五入”。</w:t>
            </w:r>
          </w:p>
          <w:p>
            <w:pPr>
              <w:widowControl/>
              <w:spacing w:line="400" w:lineRule="exact"/>
              <w:ind w:firstLine="420" w:firstLineChars="200"/>
              <w:jc w:val="left"/>
              <w:rPr>
                <w:rFonts w:ascii="宋体" w:hAnsi="宋体" w:eastAsia="宋体" w:cs="宋体"/>
                <w:szCs w:val="21"/>
              </w:rPr>
            </w:pPr>
            <w:r>
              <w:rPr>
                <w:rFonts w:hint="eastAsia" w:ascii="宋体" w:hAnsi="宋体" w:eastAsia="宋体" w:cs="宋体"/>
                <w:color w:val="000000"/>
                <w:kern w:val="0"/>
                <w:szCs w:val="21"/>
                <w:lang w:bidi="ar"/>
              </w:rPr>
              <w:t>式中：</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1.C为招标人设定的最高投标限价</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2.B为评标价平均值。</w:t>
            </w:r>
          </w:p>
          <w:p>
            <w:pPr>
              <w:widowControl/>
              <w:spacing w:line="400" w:lineRule="exact"/>
              <w:ind w:firstLine="42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3.K为</w:t>
            </w:r>
            <w:r>
              <w:rPr>
                <w:rFonts w:hint="eastAsia" w:ascii="宋体" w:hAnsi="宋体" w:eastAsia="宋体" w:cs="宋体"/>
                <w:szCs w:val="21"/>
              </w:rPr>
              <w:t>权重系数，K=[（K1/10）+K2]/10。各标段的K1在开标现场从0、1、2、3、4、5、6、7、8、9等10个系数中随机抽取。各标段的K2在开标现场从0、0.5、1等3个系数中随机抽取。</w:t>
            </w:r>
          </w:p>
          <w:p>
            <w:pPr>
              <w:wordWrap w:val="0"/>
              <w:spacing w:line="400" w:lineRule="exact"/>
              <w:ind w:firstLine="420" w:firstLineChars="200"/>
              <w:rPr>
                <w:rFonts w:ascii="宋体" w:hAnsi="宋体" w:eastAsia="宋体" w:cs="宋体"/>
                <w:szCs w:val="21"/>
              </w:rPr>
            </w:pPr>
            <w:r>
              <w:rPr>
                <w:rFonts w:hint="eastAsia" w:ascii="宋体" w:hAnsi="宋体" w:eastAsia="宋体" w:cs="宋体"/>
                <w:color w:val="000000"/>
                <w:kern w:val="0"/>
                <w:szCs w:val="21"/>
                <w:lang w:bidi="ar"/>
              </w:rPr>
              <w:t>4.Z为下浮系数，各标段的Z</w:t>
            </w:r>
            <w:r>
              <w:rPr>
                <w:rFonts w:hint="eastAsia" w:ascii="宋体" w:hAnsi="宋体" w:eastAsia="宋体" w:cs="宋体"/>
                <w:szCs w:val="21"/>
              </w:rPr>
              <w:t>在开标现场</w:t>
            </w:r>
            <w:r>
              <w:rPr>
                <w:rFonts w:hint="eastAsia" w:ascii="宋体" w:hAnsi="宋体" w:eastAsia="宋体" w:cs="宋体"/>
                <w:color w:val="000000"/>
                <w:kern w:val="0"/>
                <w:szCs w:val="21"/>
                <w:lang w:bidi="ar"/>
              </w:rPr>
              <w:t>均从0%、0.1%、0.2%、0.3%、0.4%、0.5%、0.6%、0.7%、0.8%、0.9%、1.0%、1.1%、1.2%、1.3%、1.4%、1.5%、1.6%、1.7%、1.8%、1.9%、2%等21个系数中随机抽取。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6" w:type="dxa"/>
            <w:gridSpan w:val="3"/>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2.2.3</w:t>
            </w:r>
          </w:p>
        </w:tc>
        <w:tc>
          <w:tcPr>
            <w:tcW w:w="1635" w:type="dxa"/>
            <w:tcBorders>
              <w:top w:val="single" w:color="auto" w:sz="4" w:space="0"/>
              <w:left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评标价的偏差率计算公式</w:t>
            </w:r>
          </w:p>
        </w:tc>
        <w:tc>
          <w:tcPr>
            <w:tcW w:w="5099" w:type="dxa"/>
            <w:tcBorders>
              <w:top w:val="single" w:color="auto" w:sz="4" w:space="0"/>
              <w:left w:val="single" w:color="auto" w:sz="4" w:space="0"/>
              <w:right w:val="single" w:color="auto" w:sz="4" w:space="0"/>
            </w:tcBorders>
            <w:vAlign w:val="center"/>
          </w:tcPr>
          <w:p>
            <w:pPr>
              <w:wordWrap w:val="0"/>
              <w:spacing w:line="400" w:lineRule="exact"/>
              <w:rPr>
                <w:rFonts w:ascii="宋体" w:hAnsi="宋体" w:eastAsia="宋体" w:cs="宋体"/>
                <w:szCs w:val="21"/>
              </w:rPr>
            </w:pPr>
            <w:r>
              <w:rPr>
                <w:rFonts w:hint="eastAsia" w:ascii="宋体" w:hAnsi="宋体" w:eastAsia="宋体" w:cs="宋体"/>
                <w:szCs w:val="21"/>
              </w:rPr>
              <w:t>偏差率=100% ×（投标人评标价－评标基准价）/评标基准价</w:t>
            </w:r>
          </w:p>
          <w:p>
            <w:pPr>
              <w:wordWrap w:val="0"/>
              <w:spacing w:line="400" w:lineRule="exact"/>
              <w:rPr>
                <w:rFonts w:ascii="宋体" w:hAnsi="宋体" w:eastAsia="宋体" w:cs="宋体"/>
                <w:szCs w:val="21"/>
              </w:rPr>
            </w:pPr>
            <w:r>
              <w:rPr>
                <w:rFonts w:hint="eastAsia" w:ascii="宋体" w:hAnsi="宋体" w:eastAsia="宋体" w:cs="宋体"/>
                <w:szCs w:val="21"/>
              </w:rPr>
              <w:t>偏差率保留7位小数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6" w:type="dxa"/>
            <w:gridSpan w:val="3"/>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b/>
                <w:szCs w:val="21"/>
              </w:rPr>
              <w:t>条款号</w:t>
            </w:r>
          </w:p>
        </w:tc>
        <w:tc>
          <w:tcPr>
            <w:tcW w:w="1635" w:type="dxa"/>
            <w:tcBorders>
              <w:top w:val="single" w:color="auto" w:sz="4" w:space="0"/>
              <w:left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b/>
                <w:szCs w:val="21"/>
              </w:rPr>
              <w:t>评分因素</w:t>
            </w:r>
          </w:p>
        </w:tc>
        <w:tc>
          <w:tcPr>
            <w:tcW w:w="5099" w:type="dxa"/>
            <w:tcBorders>
              <w:top w:val="single" w:color="auto" w:sz="4" w:space="0"/>
              <w:left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b/>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6" w:type="dxa"/>
            <w:gridSpan w:val="3"/>
            <w:tcBorders>
              <w:top w:val="single" w:color="auto" w:sz="4" w:space="0"/>
              <w:bottom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2.2.4</w:t>
            </w:r>
          </w:p>
        </w:tc>
        <w:tc>
          <w:tcPr>
            <w:tcW w:w="1635" w:type="dxa"/>
            <w:tcBorders>
              <w:top w:val="single" w:color="auto" w:sz="4" w:space="0"/>
              <w:left w:val="single" w:color="auto" w:sz="4" w:space="0"/>
              <w:right w:val="single" w:color="auto" w:sz="4" w:space="0"/>
            </w:tcBorders>
            <w:vAlign w:val="center"/>
          </w:tcPr>
          <w:p>
            <w:pPr>
              <w:wordWrap w:val="0"/>
              <w:spacing w:line="400" w:lineRule="exact"/>
              <w:jc w:val="center"/>
              <w:rPr>
                <w:rFonts w:ascii="宋体" w:hAnsi="宋体" w:eastAsia="宋体" w:cs="宋体"/>
                <w:szCs w:val="21"/>
              </w:rPr>
            </w:pPr>
            <w:r>
              <w:rPr>
                <w:rFonts w:hint="eastAsia" w:ascii="宋体" w:hAnsi="宋体" w:eastAsia="宋体" w:cs="宋体"/>
                <w:szCs w:val="21"/>
              </w:rPr>
              <w:t>评标价</w:t>
            </w:r>
          </w:p>
        </w:tc>
        <w:tc>
          <w:tcPr>
            <w:tcW w:w="5099" w:type="dxa"/>
            <w:tcBorders>
              <w:top w:val="single" w:color="auto" w:sz="4" w:space="0"/>
              <w:left w:val="single" w:color="auto" w:sz="4" w:space="0"/>
              <w:right w:val="single" w:color="auto" w:sz="4" w:space="0"/>
            </w:tcBorders>
          </w:tcPr>
          <w:p>
            <w:pPr>
              <w:wordWrap w:val="0"/>
              <w:spacing w:line="400" w:lineRule="exact"/>
              <w:rPr>
                <w:rFonts w:ascii="宋体" w:hAnsi="宋体" w:eastAsia="宋体" w:cs="宋体"/>
                <w:szCs w:val="21"/>
              </w:rPr>
            </w:pPr>
            <w:r>
              <w:rPr>
                <w:rFonts w:hint="eastAsia" w:ascii="宋体" w:hAnsi="宋体" w:eastAsia="宋体" w:cs="宋体"/>
                <w:szCs w:val="21"/>
              </w:rPr>
              <w:t>100分</w:t>
            </w:r>
          </w:p>
          <w:p>
            <w:pPr>
              <w:wordWrap w:val="0"/>
              <w:spacing w:line="400" w:lineRule="exact"/>
              <w:rPr>
                <w:rFonts w:ascii="宋体" w:hAnsi="宋体" w:eastAsia="宋体" w:cs="宋体"/>
                <w:szCs w:val="21"/>
              </w:rPr>
            </w:pPr>
            <w:r>
              <w:rPr>
                <w:rFonts w:hint="eastAsia" w:ascii="宋体" w:hAnsi="宋体" w:eastAsia="宋体" w:cs="宋体"/>
                <w:szCs w:val="21"/>
              </w:rPr>
              <w:t>评标价得分计算公式示例：</w:t>
            </w:r>
          </w:p>
          <w:p>
            <w:pPr>
              <w:wordWrap w:val="0"/>
              <w:spacing w:line="400" w:lineRule="exact"/>
              <w:rPr>
                <w:rFonts w:ascii="宋体" w:hAnsi="宋体" w:eastAsia="宋体" w:cs="宋体"/>
                <w:szCs w:val="21"/>
              </w:rPr>
            </w:pPr>
            <w:r>
              <w:rPr>
                <w:rFonts w:hint="eastAsia" w:ascii="宋体" w:hAnsi="宋体" w:eastAsia="宋体" w:cs="宋体"/>
                <w:szCs w:val="21"/>
              </w:rPr>
              <w:t>（1）如果投标人的评标价&gt;评标基准价，则评标价得分＝100－偏差率×100×2；</w:t>
            </w:r>
          </w:p>
          <w:p>
            <w:pPr>
              <w:wordWrap w:val="0"/>
              <w:spacing w:line="400" w:lineRule="exact"/>
              <w:rPr>
                <w:rFonts w:ascii="宋体" w:hAnsi="宋体" w:eastAsia="宋体" w:cs="宋体"/>
                <w:szCs w:val="21"/>
              </w:rPr>
            </w:pPr>
            <w:r>
              <w:rPr>
                <w:rFonts w:hint="eastAsia" w:ascii="宋体" w:hAnsi="宋体" w:eastAsia="宋体" w:cs="宋体"/>
                <w:szCs w:val="21"/>
              </w:rPr>
              <w:t>（2）如果投标人的评标价≤评标基准价，则评标价得分＝100＋偏差率×100×1。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09" w:hRule="atLeast"/>
        </w:trPr>
        <w:tc>
          <w:tcPr>
            <w:tcW w:w="8640" w:type="dxa"/>
            <w:gridSpan w:val="5"/>
            <w:tcBorders>
              <w:top w:val="single" w:color="auto" w:sz="4" w:space="0"/>
              <w:bottom w:val="single" w:color="auto" w:sz="4" w:space="0"/>
              <w:right w:val="single" w:color="auto" w:sz="4" w:space="0"/>
            </w:tcBorders>
            <w:vAlign w:val="center"/>
          </w:tcPr>
          <w:p>
            <w:pPr>
              <w:wordWrap w:val="0"/>
              <w:spacing w:line="400" w:lineRule="exact"/>
              <w:rPr>
                <w:rFonts w:ascii="宋体" w:hAnsi="宋体" w:eastAsia="宋体" w:cs="宋体"/>
                <w:b/>
                <w:bCs/>
                <w:szCs w:val="21"/>
              </w:rPr>
            </w:pPr>
            <w:r>
              <w:rPr>
                <w:rFonts w:hint="eastAsia" w:ascii="宋体" w:hAnsi="宋体" w:eastAsia="宋体" w:cs="宋体"/>
                <w:b/>
                <w:bCs/>
                <w:szCs w:val="21"/>
              </w:rPr>
              <w:t>需要补充的其他内容：</w:t>
            </w:r>
          </w:p>
          <w:p>
            <w:pPr>
              <w:spacing w:line="400" w:lineRule="exact"/>
              <w:ind w:firstLine="422"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1.评标办法</w:t>
            </w:r>
          </w:p>
          <w:p>
            <w:pPr>
              <w:spacing w:line="4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本条细化为：</w:t>
            </w:r>
          </w:p>
          <w:p>
            <w:pPr>
              <w:spacing w:line="4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1.1采用</w:t>
            </w:r>
            <w:r>
              <w:rPr>
                <w:rFonts w:hint="eastAsia" w:asciiTheme="minorEastAsia" w:hAnsiTheme="minorEastAsia" w:eastAsiaTheme="minorEastAsia" w:cstheme="minorEastAsia"/>
                <w:b/>
                <w:bCs/>
                <w:szCs w:val="21"/>
              </w:rPr>
              <w:t>双信封形式合理低价法</w:t>
            </w:r>
            <w:r>
              <w:rPr>
                <w:rFonts w:hint="eastAsia" w:asciiTheme="minorEastAsia" w:hAnsiTheme="minorEastAsia" w:eastAsiaTheme="minorEastAsia" w:cstheme="minorEastAsia"/>
                <w:szCs w:val="21"/>
              </w:rPr>
              <w:t>。</w:t>
            </w:r>
          </w:p>
          <w:p>
            <w:pPr>
              <w:adjustRightInd w:val="0"/>
              <w:snapToGrid w:val="0"/>
              <w:spacing w:line="4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1.1.1评标委员会首先对第一个信封（商务及技术文件）进行初步评审（形式评审与响应性评审、资格评审），通过第一个信封初步评审的投标人，方可进入进入第二个信封（报价文件）开标。</w:t>
            </w:r>
          </w:p>
          <w:p>
            <w:pPr>
              <w:adjustRightInd w:val="0"/>
              <w:snapToGrid w:val="0"/>
              <w:spacing w:line="4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1.1.2评标委员会对投标文件第二个信封进行形式和响应性评审，未通过第二个信封形式和响应性评审的投标文件将被否决投标；若所有投标文件均未通过第二个信封的形式和响应性评审，招标人将重新招标。评标委员会对通过第二个信封形式和响应性评审的投标文件，按照本章第2.2款规定的评分标准进行评分，然后按评标价得分由高到低顺序推荐中标候选人，但投标报价低于其成本的除外。</w:t>
            </w:r>
          </w:p>
          <w:p>
            <w:pPr>
              <w:adjustRightInd w:val="0"/>
              <w:snapToGrid w:val="0"/>
              <w:spacing w:line="4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1.1.3当两家及以上投标人在标段中的评标价得分相等时，评标委员会依次按照以下因素及原则推荐排序（序号在前的因素优先）：</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（1）评标价低的投标人优先；</w:t>
            </w:r>
          </w:p>
          <w:p>
            <w:pPr>
              <w:wordWrap w:val="0"/>
              <w:spacing w:line="400" w:lineRule="exact"/>
              <w:ind w:firstLine="420" w:firstLineChars="200"/>
              <w:rPr>
                <w:rFonts w:ascii="宋体" w:hAnsi="宋体" w:eastAsia="宋体" w:cs="宋体"/>
                <w:szCs w:val="21"/>
              </w:rPr>
            </w:pPr>
            <w:r>
              <w:rPr>
                <w:rFonts w:hint="eastAsia" w:ascii="宋体" w:hAnsi="宋体" w:eastAsia="宋体" w:cs="宋体"/>
                <w:szCs w:val="21"/>
              </w:rPr>
              <w:t>（2）被招标项目所在地省级交通运输主管部门评为较高信用等级的投标人优先；</w:t>
            </w:r>
          </w:p>
          <w:p>
            <w:pPr>
              <w:adjustRightInd w:val="0"/>
              <w:snapToGrid w:val="0"/>
              <w:spacing w:line="400" w:lineRule="exact"/>
              <w:ind w:firstLine="420" w:firstLineChars="200"/>
              <w:rPr>
                <w:rFonts w:asciiTheme="minorEastAsia" w:hAnsiTheme="minorEastAsia" w:eastAsiaTheme="minorEastAsia" w:cstheme="minorEastAsia"/>
                <w:spacing w:val="-6"/>
                <w:szCs w:val="21"/>
              </w:rPr>
            </w:pPr>
            <w:r>
              <w:rPr>
                <w:rFonts w:hint="eastAsia" w:ascii="宋体" w:hAnsi="宋体" w:eastAsia="宋体" w:cs="宋体"/>
                <w:szCs w:val="21"/>
              </w:rPr>
              <w:t>（3）</w:t>
            </w:r>
            <w:r>
              <w:rPr>
                <w:rFonts w:hint="eastAsia" w:asciiTheme="minorEastAsia" w:hAnsiTheme="minorEastAsia" w:eastAsiaTheme="minorEastAsia" w:cstheme="minorEastAsia"/>
                <w:spacing w:val="-6"/>
                <w:szCs w:val="21"/>
              </w:rPr>
              <w:t>若信用等级相同，则由评标委员会根据施工组织设计的编制情况投票确定其推荐顺序。</w:t>
            </w:r>
          </w:p>
          <w:p>
            <w:pPr>
              <w:adjustRightInd w:val="0"/>
              <w:snapToGrid w:val="0"/>
              <w:spacing w:line="4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1.4通过第一个信封评审且参与第二个信封开标的投标人在3个及以上的，招标人将按规定的程序进行第二个信封开标；在对第二个信封进行评审后，有效投标不足3个使得投标明显缺乏竞争的，评标委员会可以否决全部投标。评标委员会未否决全部投标的，应当在评标报告中阐明理由并推荐中标候选人。</w:t>
            </w:r>
          </w:p>
          <w:p>
            <w:pPr>
              <w:pStyle w:val="5"/>
              <w:adjustRightInd w:val="0"/>
              <w:snapToGrid w:val="0"/>
              <w:spacing w:line="400" w:lineRule="exact"/>
              <w:ind w:firstLine="420"/>
              <w:rPr>
                <w:rFonts w:ascii="宋体" w:hAnsi="宋体" w:eastAsia="宋体" w:cs="宋体"/>
                <w:szCs w:val="21"/>
              </w:rPr>
            </w:pPr>
            <w:r>
              <w:rPr>
                <w:rFonts w:hint="eastAsia" w:asciiTheme="minorEastAsia" w:hAnsiTheme="minorEastAsia" w:eastAsiaTheme="minorEastAsia" w:cstheme="minorEastAsia"/>
                <w:szCs w:val="21"/>
              </w:rPr>
              <w:t>通过第一个信封评审且参与第二个信封开标的投标人少于3个的，评标委员会可以否决全部投标；未否决全部投标的，评标委员会应当在评标报告中阐明理由，招标人将按规定的程序进行第二个信封开标，但评标委员会在进行第二个信封评审时仍有权否决全部投标；评标委员会未在第二个信封评审时否决全部投标的，应当在评标报告中阐明理由并推荐中标候选人。</w:t>
            </w:r>
          </w:p>
        </w:tc>
      </w:tr>
    </w:tbl>
    <w:p>
      <w:pPr>
        <w:rPr>
          <w:rFonts w:ascii="宋体" w:eastAsia="宋体"/>
          <w:sz w:val="24"/>
        </w:rPr>
      </w:pPr>
    </w:p>
    <w:p>
      <w:pPr>
        <w:rPr>
          <w:rFonts w:ascii="宋体" w:eastAsia="宋体"/>
          <w:sz w:val="24"/>
        </w:rPr>
      </w:pPr>
    </w:p>
    <w:p>
      <w:pPr>
        <w:spacing w:line="360" w:lineRule="auto"/>
        <w:rPr>
          <w:rFonts w:ascii="宋体" w:eastAsia="宋体"/>
          <w:sz w:val="24"/>
        </w:rPr>
        <w:sectPr>
          <w:headerReference r:id="rId4" w:type="default"/>
          <w:footnotePr>
            <w:numFmt w:val="decimalEnclosedCircleChinese"/>
            <w:numRestart w:val="eachPage"/>
          </w:footnotePr>
          <w:pgSz w:w="11905" w:h="16838"/>
          <w:pgMar w:top="1417" w:right="1587" w:bottom="1417" w:left="1588" w:header="850" w:footer="992" w:gutter="0"/>
          <w:cols w:space="0" w:num="1"/>
          <w:docGrid w:linePitch="312" w:charSpace="0"/>
        </w:sectPr>
      </w:pPr>
    </w:p>
    <w:p>
      <w:pPr>
        <w:pStyle w:val="3"/>
        <w:spacing w:before="120" w:beforeLines="50" w:after="120" w:afterLines="50" w:line="360" w:lineRule="auto"/>
        <w:rPr>
          <w:rFonts w:ascii="宋体" w:eastAsia="宋体"/>
          <w:sz w:val="28"/>
          <w:szCs w:val="28"/>
        </w:rPr>
      </w:pPr>
      <w:bookmarkStart w:id="10" w:name="_Toc9259"/>
      <w:bookmarkStart w:id="11" w:name="_Toc12557"/>
      <w:bookmarkStart w:id="12" w:name="_Toc20295"/>
      <w:r>
        <w:rPr>
          <w:rFonts w:hint="eastAsia" w:ascii="宋体" w:eastAsia="宋体"/>
          <w:sz w:val="28"/>
          <w:szCs w:val="28"/>
        </w:rPr>
        <w:t>1. 评标方法</w:t>
      </w:r>
      <w:bookmarkEnd w:id="10"/>
      <w:bookmarkEnd w:id="11"/>
      <w:bookmarkEnd w:id="12"/>
    </w:p>
    <w:p>
      <w:pPr>
        <w:spacing w:line="360" w:lineRule="auto"/>
        <w:ind w:firstLine="480" w:firstLineChars="200"/>
        <w:rPr>
          <w:rFonts w:ascii="宋体" w:hAnsi="宋体" w:eastAsia="宋体" w:cs="宋体"/>
          <w:sz w:val="24"/>
        </w:rPr>
      </w:pPr>
      <w:r>
        <w:rPr>
          <w:rFonts w:hint="eastAsia" w:ascii="宋体" w:hAnsi="宋体" w:eastAsia="宋体" w:cs="宋体"/>
          <w:sz w:val="24"/>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pStyle w:val="3"/>
        <w:spacing w:before="120" w:beforeLines="50" w:after="120" w:afterLines="50" w:line="360" w:lineRule="auto"/>
        <w:rPr>
          <w:rFonts w:ascii="宋体" w:eastAsia="宋体"/>
          <w:sz w:val="28"/>
          <w:szCs w:val="28"/>
        </w:rPr>
      </w:pPr>
      <w:bookmarkStart w:id="13" w:name="_Toc9725"/>
      <w:bookmarkStart w:id="14" w:name="_Toc8070"/>
      <w:bookmarkStart w:id="15" w:name="_Toc18631"/>
      <w:bookmarkStart w:id="16" w:name="_Toc234832934"/>
      <w:r>
        <w:rPr>
          <w:rFonts w:hint="eastAsia" w:ascii="宋体" w:eastAsia="宋体"/>
          <w:sz w:val="28"/>
          <w:szCs w:val="28"/>
        </w:rPr>
        <w:t>2. 评审标准</w:t>
      </w:r>
      <w:bookmarkEnd w:id="13"/>
      <w:bookmarkEnd w:id="14"/>
      <w:bookmarkEnd w:id="15"/>
      <w:bookmarkEnd w:id="16"/>
    </w:p>
    <w:p>
      <w:pPr>
        <w:pStyle w:val="4"/>
        <w:spacing w:before="0" w:after="0" w:line="360" w:lineRule="auto"/>
        <w:rPr>
          <w:rFonts w:asciiTheme="minorEastAsia" w:hAnsiTheme="minorEastAsia" w:eastAsiaTheme="minorEastAsia" w:cstheme="minorEastAsia"/>
          <w:sz w:val="24"/>
          <w:szCs w:val="24"/>
        </w:rPr>
      </w:pPr>
      <w:bookmarkStart w:id="17" w:name="_Toc23903"/>
      <w:bookmarkStart w:id="18" w:name="_Toc13541"/>
      <w:bookmarkStart w:id="19" w:name="_Toc234832935"/>
      <w:r>
        <w:rPr>
          <w:rFonts w:hint="eastAsia" w:asciiTheme="minorEastAsia" w:hAnsiTheme="minorEastAsia" w:eastAsiaTheme="minorEastAsia" w:cstheme="minorEastAsia"/>
          <w:sz w:val="24"/>
          <w:szCs w:val="24"/>
        </w:rPr>
        <w:t>2.1 初步评审标准</w:t>
      </w:r>
      <w:bookmarkEnd w:id="17"/>
      <w:bookmarkEnd w:id="18"/>
      <w:bookmarkEnd w:id="19"/>
    </w:p>
    <w:p>
      <w:pPr>
        <w:spacing w:line="360" w:lineRule="auto"/>
        <w:ind w:firstLine="480" w:firstLineChars="200"/>
        <w:rPr>
          <w:rFonts w:ascii="宋体" w:hAnsi="宋体" w:eastAsia="宋体" w:cs="宋体"/>
          <w:sz w:val="24"/>
        </w:rPr>
      </w:pPr>
      <w:r>
        <w:rPr>
          <w:rFonts w:hint="eastAsia" w:ascii="宋体" w:hAnsi="宋体" w:eastAsia="宋体" w:cs="宋体"/>
          <w:sz w:val="24"/>
        </w:rPr>
        <w:t>2.1.1 形式评审标准：见评标办法前附表。</w:t>
      </w:r>
    </w:p>
    <w:p>
      <w:pPr>
        <w:spacing w:line="360" w:lineRule="auto"/>
        <w:ind w:firstLine="480" w:firstLineChars="200"/>
        <w:rPr>
          <w:rFonts w:ascii="宋体" w:hAnsi="宋体" w:eastAsia="宋体" w:cs="宋体"/>
          <w:sz w:val="24"/>
        </w:rPr>
      </w:pPr>
      <w:r>
        <w:rPr>
          <w:rFonts w:hint="eastAsia" w:ascii="宋体" w:hAnsi="宋体" w:eastAsia="宋体" w:cs="宋体"/>
          <w:sz w:val="24"/>
        </w:rPr>
        <w:t>2.1.2 资格评审标准：见评标办法前附表。</w:t>
      </w:r>
    </w:p>
    <w:p>
      <w:pPr>
        <w:spacing w:line="360" w:lineRule="auto"/>
        <w:ind w:firstLine="480" w:firstLineChars="200"/>
        <w:rPr>
          <w:rFonts w:ascii="宋体" w:hAnsi="宋体" w:eastAsia="宋体" w:cs="宋体"/>
          <w:sz w:val="24"/>
        </w:rPr>
      </w:pPr>
      <w:r>
        <w:rPr>
          <w:rFonts w:hint="eastAsia" w:ascii="宋体" w:hAnsi="宋体" w:eastAsia="宋体" w:cs="宋体"/>
          <w:sz w:val="24"/>
        </w:rPr>
        <w:t>2.1.3 响应性评审标准：见评标办法前附表。</w:t>
      </w:r>
    </w:p>
    <w:p>
      <w:pPr>
        <w:pStyle w:val="4"/>
        <w:spacing w:before="0" w:after="0" w:line="360" w:lineRule="auto"/>
        <w:rPr>
          <w:rFonts w:asciiTheme="minorEastAsia" w:hAnsiTheme="minorEastAsia" w:eastAsiaTheme="minorEastAsia" w:cstheme="minorEastAsia"/>
          <w:sz w:val="24"/>
          <w:szCs w:val="24"/>
        </w:rPr>
      </w:pPr>
      <w:bookmarkStart w:id="20" w:name="_Toc19622"/>
      <w:bookmarkStart w:id="21" w:name="_Toc234832936"/>
      <w:bookmarkStart w:id="22" w:name="_Toc24185"/>
      <w:r>
        <w:rPr>
          <w:rFonts w:hint="eastAsia" w:asciiTheme="minorEastAsia" w:hAnsiTheme="minorEastAsia" w:eastAsiaTheme="minorEastAsia" w:cstheme="minorEastAsia"/>
          <w:sz w:val="24"/>
          <w:szCs w:val="24"/>
        </w:rPr>
        <w:t>2.2 分值构成与评分标准</w:t>
      </w:r>
      <w:bookmarkEnd w:id="20"/>
      <w:bookmarkEnd w:id="21"/>
      <w:bookmarkEnd w:id="22"/>
    </w:p>
    <w:p>
      <w:pPr>
        <w:spacing w:line="360" w:lineRule="auto"/>
        <w:ind w:firstLine="480" w:firstLineChars="200"/>
        <w:rPr>
          <w:rFonts w:ascii="宋体" w:hAnsi="宋体" w:eastAsia="宋体" w:cs="宋体"/>
          <w:sz w:val="24"/>
        </w:rPr>
      </w:pPr>
      <w:r>
        <w:rPr>
          <w:rFonts w:hint="eastAsia" w:ascii="宋体" w:hAnsi="宋体" w:eastAsia="宋体" w:cs="宋体"/>
          <w:sz w:val="24"/>
        </w:rPr>
        <w:t>2.2.1 分值构成</w:t>
      </w:r>
    </w:p>
    <w:p>
      <w:pPr>
        <w:spacing w:line="360" w:lineRule="auto"/>
        <w:ind w:firstLine="480" w:firstLineChars="200"/>
        <w:rPr>
          <w:rFonts w:ascii="宋体" w:hAnsi="宋体" w:eastAsia="宋体" w:cs="宋体"/>
          <w:sz w:val="24"/>
        </w:rPr>
      </w:pPr>
      <w:r>
        <w:rPr>
          <w:rFonts w:hint="eastAsia" w:ascii="宋体" w:hAnsi="宋体" w:eastAsia="宋体" w:cs="宋体"/>
          <w:sz w:val="24"/>
        </w:rPr>
        <w:t>评标价：见评标办法前附表。</w:t>
      </w:r>
    </w:p>
    <w:p>
      <w:pPr>
        <w:spacing w:line="360" w:lineRule="auto"/>
        <w:ind w:firstLine="480" w:firstLineChars="200"/>
        <w:rPr>
          <w:rFonts w:ascii="宋体" w:hAnsi="宋体" w:eastAsia="宋体" w:cs="宋体"/>
          <w:sz w:val="24"/>
        </w:rPr>
      </w:pPr>
      <w:r>
        <w:rPr>
          <w:rFonts w:hint="eastAsia" w:ascii="宋体" w:hAnsi="宋体" w:eastAsia="宋体" w:cs="宋体"/>
          <w:sz w:val="24"/>
        </w:rPr>
        <w:t>2.2.2 评标基准价计算</w:t>
      </w:r>
    </w:p>
    <w:p>
      <w:pPr>
        <w:spacing w:line="360" w:lineRule="auto"/>
        <w:ind w:firstLine="480" w:firstLineChars="200"/>
        <w:rPr>
          <w:rFonts w:ascii="宋体" w:hAnsi="宋体" w:eastAsia="宋体" w:cs="宋体"/>
          <w:sz w:val="24"/>
        </w:rPr>
      </w:pPr>
      <w:r>
        <w:rPr>
          <w:rFonts w:hint="eastAsia" w:ascii="宋体" w:hAnsi="宋体" w:eastAsia="宋体" w:cs="宋体"/>
          <w:sz w:val="24"/>
        </w:rPr>
        <w:t>评标基准价计算方法：见评标办法前附表。</w:t>
      </w:r>
    </w:p>
    <w:p>
      <w:pPr>
        <w:spacing w:line="360" w:lineRule="auto"/>
        <w:ind w:firstLine="480" w:firstLineChars="200"/>
        <w:rPr>
          <w:rFonts w:ascii="宋体" w:hAnsi="宋体" w:eastAsia="宋体" w:cs="宋体"/>
          <w:sz w:val="24"/>
        </w:rPr>
      </w:pPr>
      <w:r>
        <w:rPr>
          <w:rFonts w:hint="eastAsia" w:ascii="宋体" w:hAnsi="宋体" w:eastAsia="宋体" w:cs="宋体"/>
          <w:sz w:val="24"/>
        </w:rPr>
        <w:t>2.2.3 评标价的偏差率计算</w:t>
      </w:r>
    </w:p>
    <w:p>
      <w:pPr>
        <w:spacing w:line="360" w:lineRule="auto"/>
        <w:ind w:firstLine="480" w:firstLineChars="200"/>
        <w:rPr>
          <w:rFonts w:ascii="宋体" w:hAnsi="宋体" w:eastAsia="宋体" w:cs="宋体"/>
          <w:sz w:val="24"/>
        </w:rPr>
      </w:pPr>
      <w:r>
        <w:rPr>
          <w:rFonts w:hint="eastAsia" w:ascii="宋体" w:hAnsi="宋体" w:eastAsia="宋体" w:cs="宋体"/>
          <w:sz w:val="24"/>
        </w:rPr>
        <w:t>评标价的偏差率计算公式：见评标办法前附表。</w:t>
      </w:r>
    </w:p>
    <w:p>
      <w:pPr>
        <w:spacing w:line="360" w:lineRule="auto"/>
        <w:ind w:firstLine="480" w:firstLineChars="200"/>
        <w:rPr>
          <w:rFonts w:ascii="宋体" w:hAnsi="宋体" w:eastAsia="宋体" w:cs="宋体"/>
          <w:sz w:val="24"/>
        </w:rPr>
      </w:pPr>
      <w:r>
        <w:rPr>
          <w:rFonts w:hint="eastAsia" w:ascii="宋体" w:hAnsi="宋体" w:eastAsia="宋体" w:cs="宋体"/>
          <w:sz w:val="24"/>
        </w:rPr>
        <w:t>2.2.4 评分标准</w:t>
      </w:r>
    </w:p>
    <w:p>
      <w:pPr>
        <w:spacing w:line="360" w:lineRule="auto"/>
        <w:ind w:firstLine="480" w:firstLineChars="200"/>
        <w:rPr>
          <w:rFonts w:ascii="宋体" w:hAnsi="宋体" w:eastAsia="宋体" w:cs="宋体"/>
          <w:sz w:val="24"/>
        </w:rPr>
      </w:pPr>
      <w:r>
        <w:rPr>
          <w:rFonts w:hint="eastAsia" w:ascii="宋体" w:hAnsi="宋体" w:eastAsia="宋体" w:cs="宋体"/>
          <w:sz w:val="24"/>
        </w:rPr>
        <w:t>评标价评分标准：见评标办法前附表。</w:t>
      </w:r>
    </w:p>
    <w:p>
      <w:pPr>
        <w:pStyle w:val="3"/>
        <w:spacing w:before="120" w:beforeLines="50" w:after="120" w:afterLines="50" w:line="360" w:lineRule="auto"/>
        <w:rPr>
          <w:rFonts w:ascii="宋体" w:eastAsia="宋体"/>
          <w:sz w:val="28"/>
          <w:szCs w:val="28"/>
        </w:rPr>
      </w:pPr>
      <w:bookmarkStart w:id="23" w:name="_Toc234832937"/>
      <w:bookmarkStart w:id="24" w:name="_Toc29506"/>
      <w:bookmarkStart w:id="25" w:name="_Toc26597"/>
      <w:bookmarkStart w:id="26" w:name="_Toc4633"/>
      <w:r>
        <w:rPr>
          <w:rFonts w:hint="eastAsia" w:ascii="宋体" w:eastAsia="宋体"/>
          <w:sz w:val="28"/>
          <w:szCs w:val="28"/>
        </w:rPr>
        <w:t>3. 评标程序</w:t>
      </w:r>
      <w:bookmarkEnd w:id="23"/>
      <w:bookmarkEnd w:id="24"/>
      <w:bookmarkEnd w:id="25"/>
      <w:bookmarkEnd w:id="26"/>
    </w:p>
    <w:p>
      <w:pPr>
        <w:pStyle w:val="4"/>
        <w:spacing w:before="0" w:after="0" w:line="360" w:lineRule="auto"/>
        <w:rPr>
          <w:rFonts w:asciiTheme="minorEastAsia" w:hAnsiTheme="minorEastAsia" w:eastAsiaTheme="minorEastAsia" w:cstheme="minorEastAsia"/>
          <w:sz w:val="24"/>
          <w:szCs w:val="24"/>
        </w:rPr>
      </w:pPr>
      <w:bookmarkStart w:id="27" w:name="_Toc28481"/>
      <w:bookmarkStart w:id="28" w:name="_Toc12133"/>
      <w:bookmarkStart w:id="29" w:name="_Toc234832938"/>
      <w:r>
        <w:rPr>
          <w:rFonts w:hint="eastAsia" w:asciiTheme="minorEastAsia" w:hAnsiTheme="minorEastAsia" w:eastAsiaTheme="minorEastAsia" w:cstheme="minorEastAsia"/>
          <w:sz w:val="24"/>
          <w:szCs w:val="24"/>
        </w:rPr>
        <w:t>3.1 第一个信封初步评审</w:t>
      </w:r>
      <w:bookmarkEnd w:id="27"/>
      <w:bookmarkEnd w:id="28"/>
      <w:bookmarkEnd w:id="29"/>
    </w:p>
    <w:p>
      <w:pPr>
        <w:spacing w:line="360" w:lineRule="auto"/>
        <w:ind w:firstLine="480" w:firstLineChars="200"/>
        <w:rPr>
          <w:rFonts w:ascii="宋体" w:hAnsi="宋体" w:eastAsia="宋体" w:cs="宋体"/>
          <w:sz w:val="24"/>
        </w:rPr>
      </w:pPr>
      <w:r>
        <w:rPr>
          <w:rFonts w:hint="eastAsia" w:ascii="宋体" w:hAnsi="宋体" w:eastAsia="宋体" w:cs="宋体"/>
          <w:sz w:val="24"/>
        </w:rPr>
        <w:t>3.1.1 评标委员会可以要求投标人提交第二章“投标人须知”第3.5.1项至第3.5.6项规定的有关证明和证件的原件，以便核验。评标委员会依据本章第2.1款规定的标准对投标文件第一个信封（商务及技术文件）进行初步评审。有一项不符合评审标准的，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3.1.1 评标委员会依据本章第2.1.1项、第2.1.3项规定的评审标准对投标文件第一个信封（商务及技术文件）进行初步评审。有一项不符合评审标准的，评标委员会应否决其投标。</w:t>
      </w:r>
    </w:p>
    <w:p>
      <w:pPr>
        <w:pStyle w:val="4"/>
        <w:spacing w:before="0" w:after="0" w:line="360" w:lineRule="auto"/>
        <w:rPr>
          <w:rFonts w:asciiTheme="minorEastAsia" w:hAnsiTheme="minorEastAsia" w:eastAsiaTheme="minorEastAsia" w:cstheme="minorEastAsia"/>
          <w:sz w:val="24"/>
          <w:szCs w:val="24"/>
        </w:rPr>
      </w:pPr>
      <w:bookmarkStart w:id="30" w:name="_Toc16257"/>
      <w:bookmarkStart w:id="31" w:name="_Toc20429"/>
      <w:r>
        <w:rPr>
          <w:rFonts w:hint="eastAsia" w:asciiTheme="minorEastAsia" w:hAnsiTheme="minorEastAsia" w:eastAsiaTheme="minorEastAsia" w:cstheme="minorEastAsia"/>
          <w:sz w:val="24"/>
          <w:szCs w:val="24"/>
        </w:rPr>
        <w:t>3.2 第二个信封开标</w:t>
      </w:r>
      <w:bookmarkEnd w:id="30"/>
      <w:bookmarkEnd w:id="31"/>
    </w:p>
    <w:p>
      <w:pPr>
        <w:spacing w:line="360" w:lineRule="auto"/>
        <w:ind w:firstLine="480" w:firstLineChars="200"/>
        <w:rPr>
          <w:rFonts w:ascii="宋体" w:hAnsi="宋体" w:eastAsia="宋体" w:cs="宋体"/>
          <w:sz w:val="24"/>
        </w:rPr>
      </w:pPr>
      <w:r>
        <w:rPr>
          <w:rFonts w:hint="eastAsia" w:ascii="宋体" w:hAnsi="宋体" w:eastAsia="宋体" w:cs="宋体"/>
          <w:sz w:val="24"/>
        </w:rPr>
        <w:t>第一个信封（商务及技术文件）评审结束后，招标人将按照第二章“投标人须知”第5.1款规定的时间和地点对通过投标文件第一个信封（商务及技术文件）评审的投标文件第二个信封（报价文件）进行开标。</w:t>
      </w:r>
    </w:p>
    <w:p>
      <w:pPr>
        <w:pStyle w:val="4"/>
        <w:spacing w:before="0" w:after="0" w:line="360" w:lineRule="auto"/>
        <w:rPr>
          <w:rFonts w:asciiTheme="minorEastAsia" w:hAnsiTheme="minorEastAsia" w:eastAsiaTheme="minorEastAsia" w:cstheme="minorEastAsia"/>
          <w:sz w:val="24"/>
          <w:szCs w:val="24"/>
        </w:rPr>
      </w:pPr>
      <w:bookmarkStart w:id="32" w:name="_Toc1785"/>
      <w:bookmarkStart w:id="33" w:name="_Toc25423"/>
      <w:r>
        <w:rPr>
          <w:rFonts w:hint="eastAsia" w:asciiTheme="minorEastAsia" w:hAnsiTheme="minorEastAsia" w:eastAsiaTheme="minorEastAsia" w:cstheme="minorEastAsia"/>
          <w:sz w:val="24"/>
          <w:szCs w:val="24"/>
        </w:rPr>
        <w:t>3.3 第二个信封初步评审</w:t>
      </w:r>
      <w:bookmarkEnd w:id="32"/>
      <w:bookmarkEnd w:id="33"/>
    </w:p>
    <w:p>
      <w:pPr>
        <w:spacing w:line="360" w:lineRule="auto"/>
        <w:ind w:firstLine="480" w:firstLineChars="200"/>
        <w:rPr>
          <w:rFonts w:ascii="宋体" w:hAnsi="宋体" w:eastAsia="宋体" w:cs="宋体"/>
          <w:sz w:val="24"/>
        </w:rPr>
      </w:pPr>
      <w:r>
        <w:rPr>
          <w:rFonts w:hint="eastAsia" w:ascii="宋体" w:hAnsi="宋体" w:eastAsia="宋体" w:cs="宋体"/>
          <w:sz w:val="24"/>
        </w:rPr>
        <w:t>3.3.1 评标委员会依据本章第2.1.1项、第2.1.3项规定的评审标准对投标文件第二个信封（报价文件）进行初步评审。有一项不符合评审标准的，评标委员会应否决其投标。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3.3.2 投标报价有算术错误的，评标委员会按以下原则对投标报价进行修正，修正的价格经投标人书面确认后具有约束力。投标人不接受修正价格的，评标委员会应否决其投标。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（1）投标文件中的大写金额与小写金额不一致的，以大写金额为准；</w:t>
      </w:r>
    </w:p>
    <w:p>
      <w:pPr>
        <w:spacing w:line="360" w:lineRule="auto"/>
        <w:ind w:firstLine="480" w:firstLineChars="200"/>
        <w:rPr>
          <w:rFonts w:ascii="宋体" w:hAnsi="宋体" w:eastAsia="宋体" w:cs="宋体"/>
          <w:sz w:val="24"/>
        </w:rPr>
      </w:pPr>
      <w:r>
        <w:rPr>
          <w:rFonts w:hint="eastAsia" w:ascii="宋体" w:hAnsi="宋体" w:eastAsia="宋体" w:cs="宋体"/>
          <w:sz w:val="24"/>
        </w:rPr>
        <w:t>（2）总价金额与依据单价计算出的结果不一致的，以单价金额为准修正总价，但单价金额小数点有明显错误的除外；</w:t>
      </w:r>
    </w:p>
    <w:p>
      <w:pPr>
        <w:spacing w:line="360" w:lineRule="auto"/>
        <w:ind w:firstLine="480" w:firstLineChars="200"/>
        <w:rPr>
          <w:rFonts w:ascii="宋体" w:hAnsi="宋体" w:eastAsia="宋体" w:cs="宋体"/>
          <w:sz w:val="24"/>
        </w:rPr>
      </w:pPr>
      <w:r>
        <w:rPr>
          <w:rFonts w:hint="eastAsia" w:ascii="宋体" w:hAnsi="宋体" w:eastAsia="宋体" w:cs="宋体"/>
          <w:sz w:val="24"/>
        </w:rPr>
        <w:t>（3）当单价与数量相乘不等于合价时，以单价计算为准，如果单价有明显的小数点位置差错，应以标出的合价为准，同时对单价予以修正；</w:t>
      </w:r>
    </w:p>
    <w:p>
      <w:pPr>
        <w:spacing w:line="360" w:lineRule="auto"/>
        <w:ind w:firstLine="480" w:firstLineChars="200"/>
        <w:rPr>
          <w:rFonts w:ascii="宋体" w:hAnsi="宋体" w:eastAsia="宋体" w:cs="宋体"/>
          <w:sz w:val="24"/>
        </w:rPr>
      </w:pPr>
      <w:r>
        <w:rPr>
          <w:rFonts w:hint="eastAsia" w:ascii="宋体" w:hAnsi="宋体" w:eastAsia="宋体" w:cs="宋体"/>
          <w:sz w:val="24"/>
        </w:rPr>
        <w:t>（4）当各子目的合价累计不等于总价时，应以各子目合价累计数为准，修正总价。</w:t>
      </w:r>
    </w:p>
    <w:p>
      <w:pPr>
        <w:spacing w:line="360" w:lineRule="auto"/>
        <w:ind w:firstLine="480" w:firstLineChars="200"/>
        <w:rPr>
          <w:rFonts w:ascii="宋体" w:hAnsi="宋体" w:eastAsia="宋体" w:cs="宋体"/>
          <w:sz w:val="24"/>
        </w:rPr>
      </w:pPr>
      <w:r>
        <w:rPr>
          <w:rFonts w:hint="eastAsia" w:ascii="宋体" w:hAnsi="宋体" w:eastAsia="宋体" w:cs="宋体"/>
          <w:sz w:val="24"/>
        </w:rPr>
        <w:t>3.3.3 工程量清单中的投标报价有其他错误的，评标委员会按以下原则对投标报价进行修正，修正的价格经投标人书面确认后具有约束力。投标人不接受修正价格的，评标委员会应否决其投标。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spacing w:line="360" w:lineRule="auto"/>
        <w:ind w:firstLine="480" w:firstLineChars="200"/>
        <w:rPr>
          <w:rFonts w:ascii="宋体" w:hAnsi="宋体" w:eastAsia="宋体" w:cs="宋体"/>
          <w:sz w:val="24"/>
        </w:rPr>
      </w:pPr>
      <w:r>
        <w:rPr>
          <w:rFonts w:hint="eastAsia" w:ascii="宋体" w:hAnsi="宋体" w:eastAsia="宋体" w:cs="宋体"/>
          <w:sz w:val="24"/>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spacing w:line="360" w:lineRule="auto"/>
        <w:ind w:firstLine="480" w:firstLineChars="200"/>
        <w:rPr>
          <w:rFonts w:ascii="宋体" w:hAnsi="宋体" w:eastAsia="宋体" w:cs="宋体"/>
          <w:sz w:val="24"/>
        </w:rPr>
      </w:pPr>
      <w:r>
        <w:rPr>
          <w:rFonts w:hint="eastAsia" w:ascii="宋体" w:hAnsi="宋体" w:eastAsia="宋体" w:cs="宋体"/>
          <w:sz w:val="24"/>
        </w:rPr>
        <w:t>（3）当单价与数量的乘积与合价（金额）虽然一致，但投标人修改了该子目的工程数量，则其合价按招标人给定的工程数量乘以投标人所报单价予以修正。</w:t>
      </w:r>
    </w:p>
    <w:p>
      <w:pPr>
        <w:spacing w:line="360" w:lineRule="auto"/>
        <w:ind w:firstLine="480" w:firstLineChars="200"/>
        <w:rPr>
          <w:rFonts w:ascii="宋体" w:hAnsi="宋体" w:eastAsia="宋体" w:cs="宋体"/>
          <w:sz w:val="24"/>
        </w:rPr>
      </w:pPr>
      <w:r>
        <w:rPr>
          <w:rFonts w:hint="eastAsia" w:ascii="宋体" w:hAnsi="宋体" w:eastAsia="宋体" w:cs="宋体"/>
          <w:sz w:val="24"/>
        </w:rPr>
        <w:t>3.3.4 修正后的最终投标报价若超过最高投标限价（如有），评标委员会应否决其投标。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3.3.5 修正后的最终投标报价仅作为签订合同的一个依据，不参与评标价得分的计算。</w:t>
      </w:r>
    </w:p>
    <w:p>
      <w:pPr>
        <w:pStyle w:val="4"/>
        <w:spacing w:before="0" w:after="0" w:line="360" w:lineRule="auto"/>
        <w:rPr>
          <w:rFonts w:asciiTheme="minorEastAsia" w:hAnsiTheme="minorEastAsia" w:eastAsiaTheme="minorEastAsia" w:cstheme="minorEastAsia"/>
          <w:sz w:val="24"/>
          <w:szCs w:val="24"/>
        </w:rPr>
      </w:pPr>
      <w:bookmarkStart w:id="34" w:name="_Toc234832939"/>
      <w:bookmarkStart w:id="35" w:name="_Toc14610"/>
      <w:bookmarkStart w:id="36" w:name="_Toc32333"/>
      <w:r>
        <w:rPr>
          <w:rFonts w:hint="eastAsia" w:asciiTheme="minorEastAsia" w:hAnsiTheme="minorEastAsia" w:eastAsiaTheme="minorEastAsia" w:cstheme="minorEastAsia"/>
          <w:sz w:val="24"/>
          <w:szCs w:val="24"/>
        </w:rPr>
        <w:t>3.4 第二个信封详细评审</w:t>
      </w:r>
      <w:bookmarkEnd w:id="34"/>
      <w:bookmarkEnd w:id="35"/>
      <w:bookmarkEnd w:id="36"/>
    </w:p>
    <w:p>
      <w:pPr>
        <w:spacing w:line="360" w:lineRule="auto"/>
        <w:ind w:firstLine="480" w:firstLineChars="200"/>
        <w:rPr>
          <w:rFonts w:ascii="宋体" w:hAnsi="宋体" w:eastAsia="宋体" w:cs="宋体"/>
          <w:sz w:val="24"/>
        </w:rPr>
      </w:pPr>
      <w:r>
        <w:rPr>
          <w:rFonts w:hint="eastAsia" w:ascii="宋体" w:hAnsi="宋体" w:eastAsia="宋体" w:cs="宋体"/>
          <w:sz w:val="24"/>
        </w:rPr>
        <w:t>3.4.1 评标委员会按本章第2.2款规定的量化因素和分值进行打分，并计算出综合评估得分（即评标价得分）。</w:t>
      </w:r>
    </w:p>
    <w:p>
      <w:pPr>
        <w:spacing w:line="360" w:lineRule="auto"/>
        <w:ind w:firstLine="480" w:firstLineChars="200"/>
        <w:rPr>
          <w:rFonts w:ascii="宋体" w:hAnsi="宋体" w:eastAsia="宋体" w:cs="宋体"/>
          <w:sz w:val="24"/>
        </w:rPr>
      </w:pPr>
      <w:r>
        <w:rPr>
          <w:rFonts w:hint="eastAsia" w:ascii="宋体" w:hAnsi="宋体" w:eastAsia="宋体" w:cs="宋体"/>
          <w:sz w:val="24"/>
        </w:rPr>
        <w:t>3.4.2 投标人得分分值计算保留小数点后两位，小数点后第三位“四舍五入”。</w:t>
      </w:r>
    </w:p>
    <w:p>
      <w:pPr>
        <w:spacing w:line="360" w:lineRule="auto"/>
        <w:ind w:firstLine="480" w:firstLineChars="200"/>
        <w:rPr>
          <w:rFonts w:ascii="宋体" w:hAnsi="宋体" w:eastAsia="宋体" w:cs="宋体"/>
          <w:sz w:val="24"/>
        </w:rPr>
      </w:pPr>
      <w:r>
        <w:rPr>
          <w:rFonts w:hint="eastAsia" w:ascii="宋体" w:hAnsi="宋体" w:eastAsia="宋体" w:cs="宋体"/>
          <w:sz w:val="24"/>
        </w:rPr>
        <w:t>3.4.3 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pPr>
        <w:pStyle w:val="4"/>
        <w:spacing w:before="0" w:after="0" w:line="360" w:lineRule="auto"/>
        <w:rPr>
          <w:rFonts w:asciiTheme="minorEastAsia" w:hAnsiTheme="minorEastAsia" w:eastAsiaTheme="minorEastAsia" w:cstheme="minorEastAsia"/>
          <w:sz w:val="24"/>
          <w:szCs w:val="24"/>
        </w:rPr>
      </w:pPr>
      <w:bookmarkStart w:id="37" w:name="_Toc13752"/>
      <w:bookmarkStart w:id="38" w:name="_Toc20918"/>
      <w:r>
        <w:rPr>
          <w:rFonts w:hint="eastAsia" w:asciiTheme="minorEastAsia" w:hAnsiTheme="minorEastAsia" w:eastAsiaTheme="minorEastAsia" w:cstheme="minorEastAsia"/>
          <w:sz w:val="24"/>
          <w:szCs w:val="24"/>
        </w:rPr>
        <w:t>3.5 投标文件相关信息的核查</w:t>
      </w:r>
      <w:bookmarkEnd w:id="37"/>
      <w:bookmarkEnd w:id="38"/>
    </w:p>
    <w:p>
      <w:pPr>
        <w:spacing w:line="360" w:lineRule="auto"/>
        <w:ind w:firstLine="480" w:firstLineChars="200"/>
        <w:rPr>
          <w:rFonts w:ascii="宋体" w:hAnsi="宋体" w:eastAsia="宋体" w:cs="宋体"/>
          <w:sz w:val="24"/>
        </w:rPr>
      </w:pPr>
      <w:r>
        <w:rPr>
          <w:rFonts w:hint="eastAsia" w:ascii="宋体" w:hAnsi="宋体" w:eastAsia="宋体" w:cs="宋体"/>
          <w:sz w:val="24"/>
        </w:rPr>
        <w:t>3.5.1 在评标过程中，评标委员会应查询交通运输主管部门“公路建设市场信用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3.5.2 评标委员会应对在评标过程中发现的投标人与投标人之间、投标人与招标人之间存在的串通投标的情形进行评审和认定。投标人存在串通投标、弄虚作假、行贿等违法行为的，评标委员会应否决其投标。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（1）有下列情形之一的，属于投标人相互串通投标：</w:t>
      </w:r>
    </w:p>
    <w:p>
      <w:pPr>
        <w:spacing w:line="360" w:lineRule="auto"/>
        <w:ind w:firstLine="480" w:firstLineChars="200"/>
        <w:rPr>
          <w:rFonts w:ascii="宋体" w:hAnsi="宋体" w:eastAsia="宋体" w:cs="宋体"/>
          <w:sz w:val="24"/>
        </w:rPr>
      </w:pPr>
      <w:r>
        <w:rPr>
          <w:rFonts w:hint="eastAsia" w:ascii="宋体" w:hAnsi="宋体" w:eastAsia="宋体" w:cs="宋体"/>
          <w:sz w:val="24"/>
        </w:rPr>
        <w:t>a.投标人之间协商投标报价等投标文件的实质性内容；</w:t>
      </w:r>
    </w:p>
    <w:p>
      <w:pPr>
        <w:spacing w:line="360" w:lineRule="auto"/>
        <w:ind w:firstLine="480" w:firstLineChars="200"/>
        <w:rPr>
          <w:rFonts w:ascii="宋体" w:hAnsi="宋体" w:eastAsia="宋体" w:cs="宋体"/>
          <w:sz w:val="24"/>
        </w:rPr>
      </w:pPr>
      <w:r>
        <w:rPr>
          <w:rFonts w:hint="eastAsia" w:ascii="宋体" w:hAnsi="宋体" w:eastAsia="宋体" w:cs="宋体"/>
          <w:sz w:val="24"/>
        </w:rPr>
        <w:t>b.投标人之间约定中标人；</w:t>
      </w:r>
    </w:p>
    <w:p>
      <w:pPr>
        <w:spacing w:line="360" w:lineRule="auto"/>
        <w:ind w:firstLine="480" w:firstLineChars="200"/>
        <w:rPr>
          <w:rFonts w:ascii="宋体" w:hAnsi="宋体" w:eastAsia="宋体" w:cs="宋体"/>
          <w:sz w:val="24"/>
        </w:rPr>
      </w:pPr>
      <w:r>
        <w:rPr>
          <w:rFonts w:hint="eastAsia" w:ascii="宋体" w:hAnsi="宋体" w:eastAsia="宋体" w:cs="宋体"/>
          <w:sz w:val="24"/>
        </w:rPr>
        <w:t>c.投标人之间约定部分投标人放弃投标或中标；</w:t>
      </w:r>
    </w:p>
    <w:p>
      <w:pPr>
        <w:spacing w:line="360" w:lineRule="auto"/>
        <w:ind w:firstLine="480" w:firstLineChars="200"/>
        <w:rPr>
          <w:rFonts w:ascii="宋体" w:hAnsi="宋体" w:eastAsia="宋体" w:cs="宋体"/>
          <w:sz w:val="24"/>
        </w:rPr>
      </w:pPr>
      <w:r>
        <w:rPr>
          <w:rFonts w:hint="eastAsia" w:ascii="宋体" w:hAnsi="宋体" w:eastAsia="宋体" w:cs="宋体"/>
          <w:sz w:val="24"/>
        </w:rPr>
        <w:t>d.属于同一集团、协会、商会等组织成员的投标人按照该组织要求协同投标；</w:t>
      </w:r>
    </w:p>
    <w:p>
      <w:pPr>
        <w:spacing w:line="360" w:lineRule="auto"/>
        <w:ind w:firstLine="480" w:firstLineChars="200"/>
        <w:rPr>
          <w:rFonts w:ascii="宋体" w:hAnsi="宋体" w:eastAsia="宋体" w:cs="宋体"/>
          <w:sz w:val="24"/>
        </w:rPr>
      </w:pPr>
      <w:r>
        <w:rPr>
          <w:rFonts w:hint="eastAsia" w:ascii="宋体" w:hAnsi="宋体" w:eastAsia="宋体" w:cs="宋体"/>
          <w:sz w:val="24"/>
        </w:rPr>
        <w:t>e.投标人之间为谋取中标或排斥特定投标人而采取的其他联合行动。</w:t>
      </w:r>
    </w:p>
    <w:p>
      <w:pPr>
        <w:spacing w:line="360" w:lineRule="auto"/>
        <w:ind w:firstLine="480" w:firstLineChars="200"/>
        <w:rPr>
          <w:rFonts w:ascii="宋体" w:hAnsi="宋体" w:eastAsia="宋体" w:cs="宋体"/>
          <w:sz w:val="24"/>
        </w:rPr>
      </w:pPr>
      <w:r>
        <w:rPr>
          <w:rFonts w:hint="eastAsia" w:ascii="宋体" w:hAnsi="宋体" w:eastAsia="宋体" w:cs="宋体"/>
          <w:sz w:val="24"/>
        </w:rPr>
        <w:t>（2）有下列情形之一的，视为投标人相互串通投标：</w:t>
      </w:r>
    </w:p>
    <w:p>
      <w:pPr>
        <w:spacing w:line="360" w:lineRule="auto"/>
        <w:ind w:firstLine="480" w:firstLineChars="200"/>
        <w:rPr>
          <w:rFonts w:ascii="宋体" w:hAnsi="宋体" w:eastAsia="宋体" w:cs="宋体"/>
          <w:sz w:val="24"/>
        </w:rPr>
      </w:pPr>
      <w:r>
        <w:rPr>
          <w:rFonts w:hint="eastAsia" w:ascii="宋体" w:hAnsi="宋体" w:eastAsia="宋体" w:cs="宋体"/>
          <w:sz w:val="24"/>
        </w:rPr>
        <w:t>a.不同投标人的投标文件由同一单位或个人编制；</w:t>
      </w:r>
    </w:p>
    <w:p>
      <w:pPr>
        <w:spacing w:line="360" w:lineRule="auto"/>
        <w:ind w:firstLine="480" w:firstLineChars="200"/>
        <w:rPr>
          <w:rFonts w:ascii="宋体" w:hAnsi="宋体" w:eastAsia="宋体" w:cs="宋体"/>
          <w:sz w:val="24"/>
        </w:rPr>
      </w:pPr>
      <w:r>
        <w:rPr>
          <w:rFonts w:hint="eastAsia" w:ascii="宋体" w:hAnsi="宋体" w:eastAsia="宋体" w:cs="宋体"/>
          <w:sz w:val="24"/>
        </w:rPr>
        <w:t>b.不同投标人委托同一单位或个人办理投标事宜；</w:t>
      </w:r>
    </w:p>
    <w:p>
      <w:pPr>
        <w:spacing w:line="360" w:lineRule="auto"/>
        <w:ind w:firstLine="480" w:firstLineChars="200"/>
        <w:rPr>
          <w:rFonts w:ascii="宋体" w:hAnsi="宋体" w:eastAsia="宋体" w:cs="宋体"/>
          <w:sz w:val="24"/>
        </w:rPr>
      </w:pPr>
      <w:r>
        <w:rPr>
          <w:rFonts w:hint="eastAsia" w:ascii="宋体" w:hAnsi="宋体" w:eastAsia="宋体" w:cs="宋体"/>
          <w:sz w:val="24"/>
        </w:rPr>
        <w:t>c.不同投标人的投标文件载明的项目管理成员为同一人；</w:t>
      </w:r>
    </w:p>
    <w:p>
      <w:pPr>
        <w:spacing w:line="360" w:lineRule="auto"/>
        <w:ind w:firstLine="480" w:firstLineChars="200"/>
        <w:rPr>
          <w:rFonts w:ascii="宋体" w:hAnsi="宋体" w:eastAsia="宋体" w:cs="宋体"/>
          <w:sz w:val="24"/>
        </w:rPr>
      </w:pPr>
      <w:r>
        <w:rPr>
          <w:rFonts w:hint="eastAsia" w:ascii="宋体" w:hAnsi="宋体" w:eastAsia="宋体" w:cs="宋体"/>
          <w:sz w:val="24"/>
        </w:rPr>
        <w:t>d.不同投标人的投标文件异常一致或投标报价呈规律性差异；</w:t>
      </w:r>
    </w:p>
    <w:p>
      <w:pPr>
        <w:spacing w:line="360" w:lineRule="auto"/>
        <w:ind w:firstLine="480" w:firstLineChars="200"/>
        <w:rPr>
          <w:rFonts w:ascii="宋体" w:hAnsi="宋体" w:eastAsia="宋体" w:cs="宋体"/>
          <w:sz w:val="24"/>
        </w:rPr>
      </w:pPr>
      <w:r>
        <w:rPr>
          <w:rFonts w:hint="eastAsia" w:ascii="宋体" w:hAnsi="宋体" w:eastAsia="宋体" w:cs="宋体"/>
          <w:sz w:val="24"/>
        </w:rPr>
        <w:t>e.不同投标人的投标文件相互混装；</w:t>
      </w:r>
    </w:p>
    <w:p>
      <w:pPr>
        <w:spacing w:line="360" w:lineRule="auto"/>
        <w:ind w:firstLine="480" w:firstLineChars="200"/>
        <w:rPr>
          <w:rFonts w:ascii="宋体" w:hAnsi="宋体" w:eastAsia="宋体" w:cs="宋体"/>
          <w:sz w:val="24"/>
        </w:rPr>
      </w:pPr>
      <w:r>
        <w:rPr>
          <w:rFonts w:hint="eastAsia" w:ascii="宋体" w:hAnsi="宋体" w:eastAsia="宋体" w:cs="宋体"/>
          <w:sz w:val="24"/>
        </w:rPr>
        <w:t>f.不同投标人的投标保证金从同一单位或个人的账户转出。</w:t>
      </w:r>
    </w:p>
    <w:p>
      <w:pPr>
        <w:spacing w:line="360" w:lineRule="auto"/>
        <w:ind w:firstLine="480" w:firstLineChars="200"/>
        <w:rPr>
          <w:rFonts w:ascii="宋体" w:hAnsi="宋体" w:eastAsia="宋体" w:cs="宋体"/>
          <w:sz w:val="24"/>
        </w:rPr>
      </w:pPr>
      <w:r>
        <w:rPr>
          <w:rFonts w:hint="eastAsia" w:ascii="宋体" w:hAnsi="宋体" w:eastAsia="宋体" w:cs="宋体"/>
          <w:sz w:val="24"/>
        </w:rPr>
        <w:t>（3）有下列情形之一的，属于招标人与投标人串通投标：</w:t>
      </w:r>
    </w:p>
    <w:p>
      <w:pPr>
        <w:spacing w:line="360" w:lineRule="auto"/>
        <w:ind w:firstLine="480" w:firstLineChars="200"/>
        <w:rPr>
          <w:rFonts w:ascii="宋体" w:hAnsi="宋体" w:eastAsia="宋体" w:cs="宋体"/>
          <w:sz w:val="24"/>
        </w:rPr>
      </w:pPr>
      <w:r>
        <w:rPr>
          <w:rFonts w:hint="eastAsia" w:ascii="宋体" w:hAnsi="宋体" w:eastAsia="宋体" w:cs="宋体"/>
          <w:sz w:val="24"/>
        </w:rPr>
        <w:t>a.招标人在开标前开启投标文件并将有关信息泄露给其他投标人;</w:t>
      </w:r>
    </w:p>
    <w:p>
      <w:pPr>
        <w:spacing w:line="360" w:lineRule="auto"/>
        <w:ind w:firstLine="480" w:firstLineChars="200"/>
        <w:rPr>
          <w:rFonts w:ascii="宋体" w:hAnsi="宋体" w:eastAsia="宋体" w:cs="宋体"/>
          <w:sz w:val="24"/>
        </w:rPr>
      </w:pPr>
      <w:r>
        <w:rPr>
          <w:rFonts w:hint="eastAsia" w:ascii="宋体" w:hAnsi="宋体" w:eastAsia="宋体" w:cs="宋体"/>
          <w:sz w:val="24"/>
        </w:rPr>
        <w:t>b.招标人直接或间接向投标人泄露标底、评标委员会成员等信息；</w:t>
      </w:r>
    </w:p>
    <w:p>
      <w:pPr>
        <w:spacing w:line="360" w:lineRule="auto"/>
        <w:ind w:firstLine="480" w:firstLineChars="200"/>
        <w:rPr>
          <w:rFonts w:ascii="宋体" w:hAnsi="宋体" w:eastAsia="宋体" w:cs="宋体"/>
          <w:sz w:val="24"/>
        </w:rPr>
      </w:pPr>
      <w:r>
        <w:rPr>
          <w:rFonts w:hint="eastAsia" w:ascii="宋体" w:hAnsi="宋体" w:eastAsia="宋体" w:cs="宋体"/>
          <w:sz w:val="24"/>
        </w:rPr>
        <w:t>c.招标人明示或暗示投标人压低或抬高投标报价；</w:t>
      </w:r>
    </w:p>
    <w:p>
      <w:pPr>
        <w:spacing w:line="360" w:lineRule="auto"/>
        <w:ind w:firstLine="480" w:firstLineChars="200"/>
        <w:rPr>
          <w:rFonts w:ascii="宋体" w:hAnsi="宋体" w:eastAsia="宋体" w:cs="宋体"/>
          <w:sz w:val="24"/>
        </w:rPr>
      </w:pPr>
      <w:r>
        <w:rPr>
          <w:rFonts w:hint="eastAsia" w:ascii="宋体" w:hAnsi="宋体" w:eastAsia="宋体" w:cs="宋体"/>
          <w:sz w:val="24"/>
        </w:rPr>
        <w:t>d.招标人授意投标人撤换、修改投标文件；</w:t>
      </w:r>
    </w:p>
    <w:p>
      <w:pPr>
        <w:spacing w:line="360" w:lineRule="auto"/>
        <w:ind w:firstLine="480" w:firstLineChars="200"/>
        <w:rPr>
          <w:rFonts w:ascii="宋体" w:hAnsi="宋体" w:eastAsia="宋体" w:cs="宋体"/>
          <w:sz w:val="24"/>
        </w:rPr>
      </w:pPr>
      <w:r>
        <w:rPr>
          <w:rFonts w:hint="eastAsia" w:ascii="宋体" w:hAnsi="宋体" w:eastAsia="宋体" w:cs="宋体"/>
          <w:sz w:val="24"/>
        </w:rPr>
        <w:t>e.招标人明示或暗示投标人为特定投标人中标提供方便；</w:t>
      </w:r>
    </w:p>
    <w:p>
      <w:pPr>
        <w:spacing w:line="360" w:lineRule="auto"/>
        <w:ind w:firstLine="480" w:firstLineChars="200"/>
        <w:rPr>
          <w:rFonts w:ascii="宋体" w:hAnsi="宋体" w:eastAsia="宋体" w:cs="宋体"/>
          <w:sz w:val="24"/>
        </w:rPr>
      </w:pPr>
      <w:r>
        <w:rPr>
          <w:rFonts w:hint="eastAsia" w:ascii="宋体" w:hAnsi="宋体" w:eastAsia="宋体" w:cs="宋体"/>
          <w:sz w:val="24"/>
        </w:rPr>
        <w:t>f.招标人与投标人为谋求特定投标人中标而采取的其他串通行为。</w:t>
      </w:r>
    </w:p>
    <w:p>
      <w:pPr>
        <w:spacing w:line="360" w:lineRule="auto"/>
        <w:ind w:firstLine="480" w:firstLineChars="200"/>
        <w:rPr>
          <w:rFonts w:ascii="宋体" w:hAnsi="宋体" w:eastAsia="宋体" w:cs="宋体"/>
          <w:sz w:val="24"/>
        </w:rPr>
      </w:pPr>
      <w:r>
        <w:rPr>
          <w:rFonts w:hint="eastAsia" w:ascii="宋体" w:hAnsi="宋体" w:eastAsia="宋体" w:cs="宋体"/>
          <w:sz w:val="24"/>
        </w:rPr>
        <w:t>（4）投标人有下列情形之一的，属于弄虚作假的行为：</w:t>
      </w:r>
    </w:p>
    <w:p>
      <w:pPr>
        <w:spacing w:line="360" w:lineRule="auto"/>
        <w:ind w:firstLine="480" w:firstLineChars="200"/>
        <w:rPr>
          <w:rFonts w:ascii="宋体" w:hAnsi="宋体" w:eastAsia="宋体" w:cs="宋体"/>
          <w:sz w:val="24"/>
        </w:rPr>
      </w:pPr>
      <w:r>
        <w:rPr>
          <w:rFonts w:hint="eastAsia" w:ascii="宋体" w:hAnsi="宋体" w:eastAsia="宋体" w:cs="宋体"/>
          <w:sz w:val="24"/>
        </w:rPr>
        <w:t>a.使用通过受让或租借等方式获取的资格、资质证书投标；</w:t>
      </w:r>
    </w:p>
    <w:p>
      <w:pPr>
        <w:spacing w:line="360" w:lineRule="auto"/>
        <w:ind w:firstLine="480" w:firstLineChars="200"/>
        <w:rPr>
          <w:rFonts w:ascii="宋体" w:hAnsi="宋体" w:eastAsia="宋体" w:cs="宋体"/>
          <w:sz w:val="24"/>
        </w:rPr>
      </w:pPr>
      <w:r>
        <w:rPr>
          <w:rFonts w:hint="eastAsia" w:ascii="宋体" w:hAnsi="宋体" w:eastAsia="宋体" w:cs="宋体"/>
          <w:sz w:val="24"/>
        </w:rPr>
        <w:t>b.使用伪造、变造的许可证件；</w:t>
      </w:r>
    </w:p>
    <w:p>
      <w:pPr>
        <w:spacing w:line="360" w:lineRule="auto"/>
        <w:ind w:firstLine="480" w:firstLineChars="200"/>
        <w:rPr>
          <w:rFonts w:ascii="宋体" w:hAnsi="宋体" w:eastAsia="宋体" w:cs="宋体"/>
          <w:sz w:val="24"/>
        </w:rPr>
      </w:pPr>
      <w:r>
        <w:rPr>
          <w:rFonts w:hint="eastAsia" w:ascii="宋体" w:hAnsi="宋体" w:eastAsia="宋体" w:cs="宋体"/>
          <w:sz w:val="24"/>
        </w:rPr>
        <w:t>c.提供虚假的财务状况或业绩；</w:t>
      </w:r>
    </w:p>
    <w:p>
      <w:pPr>
        <w:spacing w:line="360" w:lineRule="auto"/>
        <w:ind w:firstLine="480" w:firstLineChars="200"/>
        <w:rPr>
          <w:rFonts w:ascii="宋体" w:hAnsi="宋体" w:eastAsia="宋体" w:cs="宋体"/>
          <w:sz w:val="24"/>
        </w:rPr>
      </w:pPr>
      <w:r>
        <w:rPr>
          <w:rFonts w:hint="eastAsia" w:ascii="宋体" w:hAnsi="宋体" w:eastAsia="宋体" w:cs="宋体"/>
          <w:sz w:val="24"/>
        </w:rPr>
        <w:t>d.提供虚假的项目负责人或主要技术人员简历、劳动关系证明；</w:t>
      </w:r>
    </w:p>
    <w:p>
      <w:pPr>
        <w:spacing w:line="360" w:lineRule="auto"/>
        <w:ind w:firstLine="480" w:firstLineChars="200"/>
        <w:rPr>
          <w:rFonts w:ascii="宋体" w:hAnsi="宋体" w:eastAsia="宋体" w:cs="宋体"/>
          <w:sz w:val="24"/>
        </w:rPr>
      </w:pPr>
      <w:r>
        <w:rPr>
          <w:rFonts w:hint="eastAsia" w:ascii="宋体" w:hAnsi="宋体" w:eastAsia="宋体" w:cs="宋体"/>
          <w:sz w:val="24"/>
        </w:rPr>
        <w:t>e.提供虚假的信用状况；</w:t>
      </w:r>
    </w:p>
    <w:p>
      <w:pPr>
        <w:spacing w:line="360" w:lineRule="auto"/>
        <w:ind w:firstLine="480" w:firstLineChars="200"/>
        <w:rPr>
          <w:rFonts w:ascii="宋体" w:hAnsi="宋体" w:eastAsia="宋体" w:cs="宋体"/>
          <w:sz w:val="24"/>
        </w:rPr>
      </w:pPr>
      <w:r>
        <w:rPr>
          <w:rFonts w:hint="eastAsia" w:ascii="宋体" w:hAnsi="宋体" w:eastAsia="宋体" w:cs="宋体"/>
          <w:sz w:val="24"/>
        </w:rPr>
        <w:t>f.其他弄虚作假的行为。</w:t>
      </w:r>
    </w:p>
    <w:p>
      <w:pPr>
        <w:pStyle w:val="4"/>
        <w:spacing w:before="0" w:after="0" w:line="360" w:lineRule="auto"/>
        <w:rPr>
          <w:rFonts w:asciiTheme="minorEastAsia" w:hAnsiTheme="minorEastAsia" w:eastAsiaTheme="minorEastAsia" w:cstheme="minorEastAsia"/>
          <w:sz w:val="24"/>
          <w:szCs w:val="24"/>
        </w:rPr>
      </w:pPr>
      <w:bookmarkStart w:id="39" w:name="_Toc15234"/>
      <w:bookmarkStart w:id="40" w:name="_Toc16808"/>
      <w:bookmarkStart w:id="41" w:name="_Toc234832940"/>
      <w:r>
        <w:rPr>
          <w:rFonts w:hint="eastAsia" w:asciiTheme="minorEastAsia" w:hAnsiTheme="minorEastAsia" w:eastAsiaTheme="minorEastAsia" w:cstheme="minorEastAsia"/>
          <w:sz w:val="24"/>
          <w:szCs w:val="24"/>
        </w:rPr>
        <w:t>3.6 投标文件的澄清和说明</w:t>
      </w:r>
      <w:bookmarkEnd w:id="39"/>
      <w:bookmarkEnd w:id="40"/>
    </w:p>
    <w:p>
      <w:pPr>
        <w:spacing w:line="360" w:lineRule="auto"/>
        <w:ind w:firstLine="480" w:firstLineChars="200"/>
        <w:rPr>
          <w:rFonts w:ascii="宋体" w:hAnsi="宋体" w:eastAsia="宋体" w:cs="宋体"/>
          <w:sz w:val="24"/>
        </w:rPr>
      </w:pPr>
      <w:r>
        <w:rPr>
          <w:rFonts w:hint="eastAsia" w:ascii="宋体" w:hAnsi="宋体" w:eastAsia="宋体" w:cs="宋体"/>
          <w:sz w:val="24"/>
        </w:rPr>
        <w:t>3.6.1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spacing w:line="360" w:lineRule="auto"/>
        <w:ind w:firstLine="480" w:firstLineChars="200"/>
        <w:rPr>
          <w:rFonts w:ascii="宋体" w:hAnsi="宋体" w:eastAsia="宋体" w:cs="宋体"/>
          <w:sz w:val="24"/>
        </w:rPr>
      </w:pPr>
      <w:r>
        <w:rPr>
          <w:rFonts w:hint="eastAsia" w:ascii="宋体" w:hAnsi="宋体" w:eastAsia="宋体" w:cs="宋体"/>
          <w:sz w:val="24"/>
        </w:rPr>
        <w:t>3.6.2 澄清和说明不得超出投标文件的范围或改变投标文件的实质性内容（算术性错误的修正除外）。投标人的书面澄清、说明属于投标文件的组成部分。</w:t>
      </w:r>
    </w:p>
    <w:p>
      <w:pPr>
        <w:spacing w:line="360" w:lineRule="auto"/>
        <w:ind w:firstLine="480" w:firstLineChars="200"/>
        <w:rPr>
          <w:rFonts w:ascii="宋体" w:hAnsi="宋体" w:eastAsia="宋体" w:cs="宋体"/>
          <w:sz w:val="24"/>
        </w:rPr>
      </w:pPr>
      <w:r>
        <w:rPr>
          <w:rFonts w:hint="eastAsia" w:ascii="宋体" w:hAnsi="宋体" w:eastAsia="宋体" w:cs="宋体"/>
          <w:sz w:val="24"/>
        </w:rPr>
        <w:t>3.6.3 评标委员会不得暗示或诱导投标人作出澄清、说明，对投</w:t>
      </w:r>
      <w:bookmarkStart w:id="47" w:name="_GoBack"/>
      <w:bookmarkEnd w:id="47"/>
      <w:r>
        <w:rPr>
          <w:rFonts w:hint="eastAsia" w:ascii="宋体" w:hAnsi="宋体" w:eastAsia="宋体" w:cs="宋体"/>
          <w:sz w:val="24"/>
        </w:rPr>
        <w:t>标人提交的澄清、说明有疑问的，可以要求投标人进一步澄清或说明，直至满足评标委员会的要求。</w:t>
      </w:r>
      <w:bookmarkEnd w:id="41"/>
    </w:p>
    <w:p>
      <w:pPr>
        <w:spacing w:line="360" w:lineRule="auto"/>
        <w:ind w:firstLine="480" w:firstLineChars="200"/>
        <w:rPr>
          <w:rFonts w:ascii="宋体" w:hAnsi="宋体" w:eastAsia="宋体" w:cs="宋体"/>
          <w:sz w:val="24"/>
        </w:rPr>
      </w:pPr>
      <w:r>
        <w:rPr>
          <w:rFonts w:hint="eastAsia" w:ascii="宋体" w:hAnsi="宋体" w:eastAsia="宋体" w:cs="宋体"/>
          <w:sz w:val="24"/>
        </w:rPr>
        <w:t>3.6.4 凡超出招标文件规定的或给发包人带来未曾要求的利益的变化、偏差或其他因素在评标时不予考虑。</w:t>
      </w:r>
    </w:p>
    <w:p>
      <w:pPr>
        <w:pStyle w:val="4"/>
        <w:spacing w:before="0" w:after="0" w:line="360" w:lineRule="auto"/>
        <w:rPr>
          <w:rFonts w:asciiTheme="minorEastAsia" w:hAnsiTheme="minorEastAsia" w:eastAsiaTheme="minorEastAsia" w:cstheme="minorEastAsia"/>
          <w:sz w:val="24"/>
          <w:szCs w:val="24"/>
        </w:rPr>
      </w:pPr>
      <w:bookmarkStart w:id="42" w:name="_Toc10269"/>
      <w:bookmarkStart w:id="43" w:name="_Toc7796"/>
      <w:r>
        <w:rPr>
          <w:rFonts w:hint="eastAsia" w:asciiTheme="minorEastAsia" w:hAnsiTheme="minorEastAsia" w:eastAsiaTheme="minorEastAsia" w:cstheme="minorEastAsia"/>
          <w:sz w:val="24"/>
          <w:szCs w:val="24"/>
        </w:rPr>
        <w:t>3.7 不得否决投标的情形</w:t>
      </w:r>
      <w:bookmarkEnd w:id="42"/>
      <w:bookmarkEnd w:id="43"/>
    </w:p>
    <w:p>
      <w:pPr>
        <w:spacing w:line="360" w:lineRule="auto"/>
        <w:ind w:firstLine="480" w:firstLineChars="200"/>
        <w:rPr>
          <w:rFonts w:ascii="宋体" w:hAnsi="宋体" w:eastAsia="宋体" w:cs="宋体"/>
          <w:sz w:val="24"/>
        </w:rPr>
      </w:pPr>
      <w:r>
        <w:rPr>
          <w:rFonts w:hint="eastAsia" w:ascii="宋体" w:hAnsi="宋体" w:eastAsia="宋体" w:cs="宋体"/>
          <w:sz w:val="24"/>
        </w:rPr>
        <w:t>投标文件存在第二章“投标人须知”第1.12.3项所列情形的，均视为细微偏差，评标委员会不得否决投标人的投标，应按照第二章“投标人须知”第1.12.4项规定的原则处理。</w:t>
      </w:r>
    </w:p>
    <w:p>
      <w:pPr>
        <w:pStyle w:val="4"/>
        <w:spacing w:before="0" w:after="0" w:line="360" w:lineRule="auto"/>
        <w:rPr>
          <w:rFonts w:asciiTheme="minorEastAsia" w:hAnsiTheme="minorEastAsia" w:eastAsiaTheme="minorEastAsia" w:cstheme="minorEastAsia"/>
          <w:sz w:val="24"/>
          <w:szCs w:val="24"/>
        </w:rPr>
      </w:pPr>
      <w:bookmarkStart w:id="44" w:name="_Toc28490"/>
      <w:bookmarkStart w:id="45" w:name="_Toc26139"/>
      <w:bookmarkStart w:id="46" w:name="_Toc234832941"/>
      <w:r>
        <w:rPr>
          <w:rFonts w:hint="eastAsia" w:asciiTheme="minorEastAsia" w:hAnsiTheme="minorEastAsia" w:eastAsiaTheme="minorEastAsia" w:cstheme="minorEastAsia"/>
          <w:sz w:val="24"/>
          <w:szCs w:val="24"/>
        </w:rPr>
        <w:t>3.8 评标结果</w:t>
      </w:r>
      <w:bookmarkEnd w:id="44"/>
      <w:bookmarkEnd w:id="45"/>
      <w:bookmarkEnd w:id="46"/>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3.8.1 除第二章“投标人须知”前附表授权直接确定中标人外，评标委员会按照得分由高到低的顺序推荐中标候选人，并标明排序。</w:t>
      </w:r>
    </w:p>
    <w:p>
      <w:pPr>
        <w:spacing w:line="360" w:lineRule="auto"/>
        <w:ind w:firstLine="480" w:firstLineChars="200"/>
      </w:pPr>
      <w:r>
        <w:rPr>
          <w:rFonts w:hint="eastAsia" w:ascii="宋体" w:hAnsi="宋体" w:eastAsia="宋体" w:cs="宋体"/>
          <w:sz w:val="24"/>
        </w:rPr>
        <w:t>3.8.2 评标委员会完成评标后，应向招标人提交评标报告。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8"/>
        <w:spacing w:line="320" w:lineRule="atLeast"/>
        <w:ind w:left="180" w:hanging="180" w:hangingChars="100"/>
        <w:jc w:val="both"/>
        <w:rPr>
          <w:rFonts w:hint="eastAsia"/>
          <w:szCs w:val="18"/>
        </w:rPr>
      </w:pPr>
      <w:r>
        <w:rPr>
          <w:rStyle w:val="12"/>
          <w:szCs w:val="18"/>
        </w:rPr>
        <w:footnoteRef/>
      </w:r>
      <w:r>
        <w:rPr>
          <w:rFonts w:hint="eastAsia"/>
          <w:szCs w:val="18"/>
        </w:rPr>
        <w:t xml:space="preserve"> “合理低价法”是综合评估法的评分因素中评标价得分为100分、其他评分因素分值为0分的特例。“合理低价法”中，第一个信封（商务及技术文件）的评审应采用合格制。</w:t>
      </w:r>
    </w:p>
  </w:footnote>
  <w:footnote w:id="1">
    <w:p>
      <w:pPr>
        <w:pStyle w:val="8"/>
      </w:pPr>
      <w:r>
        <w:rPr>
          <w:rStyle w:val="12"/>
        </w:rPr>
        <w:footnoteRef/>
      </w:r>
      <w:r>
        <w:t xml:space="preserve"> </w:t>
      </w:r>
      <w:r>
        <w:rPr>
          <w:rFonts w:hint="eastAsia"/>
          <w:szCs w:val="18"/>
        </w:rPr>
        <w:t>“评标办法前附表”用于明确评标的方法、因素、标准和程序，是对评标办法正文的补充和细化，应对照评标办法正文中同一编号的条款一起阅读和理解。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第三章 评标办法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NTFkNmZiZTY0N2M2YTllZDU0M2M5MmEyZTUyMmMifQ=="/>
  </w:docVars>
  <w:rsids>
    <w:rsidRoot w:val="00000000"/>
    <w:rsid w:val="16CA5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小标宋简体" w:hAnsi="Times New Roman" w:eastAsia="方正小标宋简体" w:cs="方正小标宋简体"/>
      <w:kern w:val="2"/>
      <w:sz w:val="21"/>
      <w:szCs w:val="24"/>
      <w:lang w:val="en-US" w:eastAsia="zh-CN" w:bidi="ar-SA"/>
    </w:rPr>
  </w:style>
  <w:style w:type="paragraph" w:styleId="2">
    <w:name w:val="heading 2"/>
    <w:basedOn w:val="1"/>
    <w:next w:val="1"/>
    <w:qFormat/>
    <w:uiPriority w:val="0"/>
    <w:pPr>
      <w:keepNext/>
      <w:keepLines/>
      <w:spacing w:before="260" w:after="260" w:line="415" w:lineRule="auto"/>
      <w:outlineLvl w:val="1"/>
    </w:pPr>
    <w:rPr>
      <w:b/>
      <w:bCs/>
      <w:sz w:val="32"/>
      <w:szCs w:val="32"/>
    </w:rPr>
  </w:style>
  <w:style w:type="paragraph" w:styleId="3">
    <w:name w:val="heading 3"/>
    <w:basedOn w:val="1"/>
    <w:next w:val="1"/>
    <w:qFormat/>
    <w:uiPriority w:val="0"/>
    <w:pPr>
      <w:keepNext/>
      <w:keepLines/>
      <w:spacing w:before="260" w:after="260" w:line="415" w:lineRule="auto"/>
      <w:outlineLvl w:val="2"/>
    </w:pPr>
    <w:rPr>
      <w:b/>
      <w:bCs/>
      <w:sz w:val="32"/>
      <w:szCs w:val="32"/>
    </w:rPr>
  </w:style>
  <w:style w:type="paragraph" w:styleId="4">
    <w:name w:val="heading 4"/>
    <w:basedOn w:val="1"/>
    <w:next w:val="1"/>
    <w:qFormat/>
    <w:uiPriority w:val="0"/>
    <w:pPr>
      <w:keepNext/>
      <w:keepLines/>
      <w:spacing w:before="280" w:after="290" w:line="374" w:lineRule="auto"/>
      <w:outlineLvl w:val="3"/>
    </w:pPr>
    <w:rPr>
      <w:b/>
      <w:bCs/>
      <w:sz w:val="28"/>
      <w:szCs w:val="28"/>
    </w:rPr>
  </w:style>
  <w:style w:type="character" w:default="1" w:styleId="11">
    <w:name w:val="Default Paragraph Font"/>
    <w:semiHidden/>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200" w:firstLineChars="200"/>
    </w:pPr>
  </w:style>
  <w:style w:type="paragraph" w:styleId="6">
    <w:name w:val="Body Text"/>
    <w:basedOn w:val="1"/>
    <w:qFormat/>
    <w:uiPriority w:val="0"/>
    <w:pPr>
      <w:spacing w:line="400" w:lineRule="exact"/>
      <w:ind w:firstLine="420" w:firstLineChars="200"/>
      <w:jc w:val="left"/>
    </w:pPr>
    <w:rPr>
      <w:rFonts w:cs="宋体" w:asciiTheme="minorEastAsia" w:hAnsiTheme="minorEastAsia" w:eastAsiaTheme="minorEastAsia"/>
      <w:szCs w:val="21"/>
    </w:rPr>
  </w:style>
  <w:style w:type="paragraph" w:styleId="7">
    <w:name w:val="header"/>
    <w:basedOn w:val="1"/>
    <w:qFormat/>
    <w:uiPriority w:val="0"/>
    <w:pPr>
      <w:pBdr>
        <w:bottom w:val="single" w:color="auto" w:sz="6" w:space="1"/>
      </w:pBdr>
      <w:tabs>
        <w:tab w:val="center" w:pos="4153"/>
        <w:tab w:val="right" w:pos="8306"/>
      </w:tabs>
      <w:snapToGrid w:val="0"/>
      <w:jc w:val="right"/>
    </w:pPr>
    <w:rPr>
      <w:rFonts w:ascii="黑体" w:hAnsi="黑体" w:eastAsia="黑体" w:cs="宋体"/>
      <w:sz w:val="24"/>
    </w:rPr>
  </w:style>
  <w:style w:type="paragraph" w:styleId="8">
    <w:name w:val="footnote text"/>
    <w:basedOn w:val="1"/>
    <w:qFormat/>
    <w:uiPriority w:val="0"/>
    <w:pPr>
      <w:snapToGrid w:val="0"/>
      <w:jc w:val="left"/>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2024-04-24T02:37:04Z</dcterms:created>
  <dc:creator>Admin</dc:creator>
  <cp:lastModifiedBy>Admin</cp:lastModifiedBy>
  <dcterms:modified xsi:type="dcterms:W3CDTF">2024-04-24T02:37:07Z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16AD9CF8A8CD4465A80799E1F348E484_12</vt:lpwstr>
  </property>
</Properties>
</file>