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 w:val="0"/>
        <w:spacing w:before="156" w:after="156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bookmarkStart w:id="0" w:name="_Toc5421"/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附件1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水库管理范围与保护范围划定标准、依据</w:t>
      </w:r>
      <w:bookmarkEnd w:id="0"/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89"/>
        <w:gridCol w:w="661"/>
        <w:gridCol w:w="3660"/>
        <w:gridCol w:w="3845"/>
        <w:gridCol w:w="236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4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工程名称（部位）</w:t>
            </w:r>
          </w:p>
        </w:tc>
        <w:tc>
          <w:tcPr>
            <w:tcW w:w="1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管理范围划定标准</w:t>
            </w:r>
          </w:p>
        </w:tc>
        <w:tc>
          <w:tcPr>
            <w:tcW w:w="1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依据</w:t>
            </w:r>
          </w:p>
        </w:tc>
        <w:tc>
          <w:tcPr>
            <w:tcW w:w="8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保护范围划定标准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库区</w:t>
            </w:r>
          </w:p>
        </w:tc>
        <w:tc>
          <w:tcPr>
            <w:tcW w:w="1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按照征地线或正常蓄水位</w:t>
            </w:r>
          </w:p>
        </w:tc>
        <w:tc>
          <w:tcPr>
            <w:tcW w:w="1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水库设计报告、历史确权资料</w:t>
            </w:r>
          </w:p>
        </w:tc>
        <w:tc>
          <w:tcPr>
            <w:tcW w:w="8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管理范围外延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200米且不超过分水岭脊线划定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《辽宁省水利工程管理条例》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1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8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大坝</w:t>
            </w:r>
          </w:p>
        </w:tc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坝下</w:t>
            </w:r>
          </w:p>
        </w:tc>
        <w:tc>
          <w:tcPr>
            <w:tcW w:w="1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大坝背水坡脚外</w:t>
            </w:r>
            <w:r>
              <w:rPr>
                <w:rFonts w:hint="eastAsia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为最大坝高（含基础）的十至三十倍长度对应的坝下区域</w:t>
            </w:r>
          </w:p>
        </w:tc>
        <w:tc>
          <w:tcPr>
            <w:tcW w:w="1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《辽宁省水利工程管理条例》</w:t>
            </w:r>
          </w:p>
        </w:tc>
        <w:tc>
          <w:tcPr>
            <w:tcW w:w="89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管理范围外延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200米且不超过分水岭脊线</w:t>
            </w:r>
          </w:p>
        </w:tc>
        <w:tc>
          <w:tcPr>
            <w:tcW w:w="66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《辽宁省水利工程管理条例》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1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两端</w:t>
            </w:r>
          </w:p>
        </w:tc>
        <w:tc>
          <w:tcPr>
            <w:tcW w:w="1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山谷型水库大坝两端至分水岭为半径</w:t>
            </w:r>
            <w:r>
              <w:rPr>
                <w:rFonts w:hint="eastAsia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圆弧与库区土地征用线河河道相交范内的区域；平原水库大坝两端外延五十米至五百米为半径的区域。</w:t>
            </w:r>
          </w:p>
        </w:tc>
        <w:tc>
          <w:tcPr>
            <w:tcW w:w="1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《辽宁省水利工程管理条例》。</w:t>
            </w:r>
          </w:p>
        </w:tc>
        <w:tc>
          <w:tcPr>
            <w:tcW w:w="89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6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  <w:jc w:val="center"/>
        </w:trPr>
        <w:tc>
          <w:tcPr>
            <w:tcW w:w="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输水洞</w:t>
            </w:r>
          </w:p>
        </w:tc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四周</w:t>
            </w:r>
          </w:p>
        </w:tc>
        <w:tc>
          <w:tcPr>
            <w:tcW w:w="1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泄水建筑物边线外延10-50m。</w:t>
            </w:r>
          </w:p>
        </w:tc>
        <w:tc>
          <w:tcPr>
            <w:tcW w:w="1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《水库工程管理设计规范》（SL2016-2017)</w:t>
            </w:r>
          </w:p>
        </w:tc>
        <w:tc>
          <w:tcPr>
            <w:tcW w:w="8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管理范围外延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200米且不超过分水岭脊线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《辽宁省水利工程管理条例》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  <w:jc w:val="center"/>
        </w:trPr>
        <w:tc>
          <w:tcPr>
            <w:tcW w:w="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溢洪道</w:t>
            </w:r>
          </w:p>
        </w:tc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四周</w:t>
            </w:r>
          </w:p>
        </w:tc>
        <w:tc>
          <w:tcPr>
            <w:tcW w:w="1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大中型：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轮廓线或开挖线向下游外延至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50m。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小型：泄水建筑物边线外延10-50m。</w:t>
            </w:r>
          </w:p>
        </w:tc>
        <w:tc>
          <w:tcPr>
            <w:tcW w:w="1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《水库工程管理设计规范》（SL106-2017）</w:t>
            </w:r>
          </w:p>
        </w:tc>
        <w:tc>
          <w:tcPr>
            <w:tcW w:w="8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管理范围外延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200米且不超过分水岭脊线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《辽宁省水利工程管理条例》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其他工程</w:t>
            </w:r>
          </w:p>
        </w:tc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四周</w:t>
            </w:r>
          </w:p>
        </w:tc>
        <w:tc>
          <w:tcPr>
            <w:tcW w:w="1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从工程外轮廓线或开挖线向外延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30-50m</w:t>
            </w:r>
          </w:p>
        </w:tc>
        <w:tc>
          <w:tcPr>
            <w:tcW w:w="1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《水库工程管理设计规范》（SL2016-2017)</w:t>
            </w:r>
          </w:p>
        </w:tc>
        <w:tc>
          <w:tcPr>
            <w:tcW w:w="8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管理范围外延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200米且不超过分水岭脊线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《辽宁省水利工程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vertAlign w:val="baseline"/>
                <w:lang w:eastAsia="zh-CN"/>
              </w:rPr>
              <w:t>管理条例》</w:t>
            </w:r>
          </w:p>
        </w:tc>
      </w:tr>
    </w:tbl>
    <w:p/>
    <w:sectPr>
      <w:footerReference r:id="rId3" w:type="default"/>
      <w:pgSz w:w="15840" w:h="12240" w:orient="landscape"/>
      <w:pgMar w:top="1701" w:right="1418" w:bottom="1701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E1YzQ3ZWQxMDcyNTVjMWRjNWY1MTI1MjJjOWZjZGYifQ=="/>
  </w:docVars>
  <w:rsids>
    <w:rsidRoot w:val="00DC055F"/>
    <w:rsid w:val="00174B6A"/>
    <w:rsid w:val="0033559C"/>
    <w:rsid w:val="00DC055F"/>
    <w:rsid w:val="03FB16E8"/>
    <w:rsid w:val="29483C01"/>
    <w:rsid w:val="41E97D6F"/>
    <w:rsid w:val="49057D6C"/>
    <w:rsid w:val="558E0FC6"/>
    <w:rsid w:val="5A67565B"/>
    <w:rsid w:val="5B591194"/>
    <w:rsid w:val="62C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50" w:beforeLines="50" w:after="50" w:afterLines="50"/>
      <w:jc w:val="left"/>
      <w:outlineLvl w:val="1"/>
    </w:pPr>
    <w:rPr>
      <w:rFonts w:ascii="Cambria" w:hAnsi="Cambria" w:eastAsia="黑体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0"/>
    <w:rPr>
      <w:rFonts w:hint="default" w:ascii="Cambria" w:hAnsi="Cambria" w:eastAsia="黑体" w:cs="Cambria"/>
      <w:b/>
      <w:bCs/>
      <w:kern w:val="2"/>
      <w:sz w:val="28"/>
      <w:szCs w:val="32"/>
    </w:rPr>
  </w:style>
  <w:style w:type="character" w:customStyle="1" w:styleId="9">
    <w:name w:val="页脚 Char"/>
    <w:link w:val="2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fhvk1987.com</Company>
  <Pages>2</Pages>
  <Words>495</Words>
  <Characters>553</Characters>
  <Lines>5</Lines>
  <Paragraphs>1</Paragraphs>
  <TotalTime>1</TotalTime>
  <ScaleCrop>false</ScaleCrop>
  <LinksUpToDate>false</LinksUpToDate>
  <CharactersWithSpaces>553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2021-11-30T07:27:00Z</dcterms:created>
  <dc:creator>Administrator</dc:creator>
  <cp:lastModifiedBy>逐风</cp:lastModifiedBy>
  <cp:lastPrinted>2021-12-01T07:49:00Z</cp:lastPrinted>
  <dcterms:modified xsi:type="dcterms:W3CDTF">2022-12-07T07:30:55Z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24B158FB009F4832BECAEE47745CC823</vt:lpwstr>
  </property>
</Properties>
</file>