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07" w:rsidRDefault="009C7107" w:rsidP="009C7107">
      <w:bookmarkStart w:id="0" w:name="OLE_LINK1"/>
      <w:bookmarkStart w:id="1" w:name="_GoBack"/>
    </w:p>
    <w:tbl>
      <w:tblPr>
        <w:tblW w:w="13920" w:type="dxa"/>
        <w:tblInd w:w="93" w:type="dxa"/>
        <w:tblLook w:val="0000" w:firstRow="0" w:lastRow="0" w:firstColumn="0" w:lastColumn="0" w:noHBand="0" w:noVBand="0"/>
      </w:tblPr>
      <w:tblGrid>
        <w:gridCol w:w="587"/>
        <w:gridCol w:w="1422"/>
        <w:gridCol w:w="2884"/>
        <w:gridCol w:w="7145"/>
        <w:gridCol w:w="1882"/>
      </w:tblGrid>
      <w:tr w:rsidR="009C7107" w:rsidTr="00BF7B8F">
        <w:trPr>
          <w:trHeight w:val="990"/>
        </w:trPr>
        <w:tc>
          <w:tcPr>
            <w:tcW w:w="13920" w:type="dxa"/>
            <w:gridSpan w:val="5"/>
            <w:tcBorders>
              <w:top w:val="nil"/>
              <w:left w:val="nil"/>
              <w:bottom w:val="nil"/>
              <w:right w:val="nil"/>
            </w:tcBorders>
            <w:vAlign w:val="center"/>
          </w:tcPr>
          <w:p w:rsidR="009C7107" w:rsidRDefault="009C7107" w:rsidP="00BF7B8F">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noProof/>
                <w:color w:val="000000"/>
                <w:kern w:val="0"/>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52525" cy="314325"/>
                  <wp:effectExtent l="0" t="0" r="9525" b="9525"/>
                  <wp:wrapNone/>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文本框_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方正小标宋简体" w:eastAsia="方正小标宋简体" w:hAnsi="方正小标宋简体" w:cs="方正小标宋简体" w:hint="eastAsia"/>
                <w:color w:val="000000"/>
                <w:kern w:val="0"/>
                <w:sz w:val="36"/>
                <w:szCs w:val="36"/>
                <w:lang w:bidi="ar"/>
              </w:rPr>
              <w:t>辽宁省推动经济稳中求进的若干举措责任分工（非直接奖补类）</w:t>
            </w:r>
          </w:p>
        </w:tc>
      </w:tr>
      <w:tr w:rsidR="009C7107" w:rsidTr="00BF7B8F">
        <w:trPr>
          <w:trHeight w:val="1163"/>
        </w:trPr>
        <w:tc>
          <w:tcPr>
            <w:tcW w:w="587" w:type="dxa"/>
            <w:tcBorders>
              <w:top w:val="single" w:sz="8"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序号</w:t>
            </w:r>
          </w:p>
        </w:tc>
        <w:tc>
          <w:tcPr>
            <w:tcW w:w="1422" w:type="dxa"/>
            <w:tcBorders>
              <w:top w:val="single" w:sz="8" w:space="0" w:color="000000"/>
              <w:left w:val="single" w:sz="4"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八大方面</w:t>
            </w:r>
          </w:p>
        </w:tc>
        <w:tc>
          <w:tcPr>
            <w:tcW w:w="2884" w:type="dxa"/>
            <w:tcBorders>
              <w:top w:val="single" w:sz="8"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省</w:t>
            </w:r>
            <w:r>
              <w:rPr>
                <w:rStyle w:val="font11"/>
                <w:lang w:bidi="ar"/>
              </w:rPr>
              <w:t>43</w:t>
            </w:r>
            <w:r>
              <w:rPr>
                <w:rStyle w:val="font41"/>
                <w:rFonts w:hint="default"/>
                <w:lang w:bidi="ar"/>
              </w:rPr>
              <w:t>条举措</w:t>
            </w:r>
          </w:p>
        </w:tc>
        <w:tc>
          <w:tcPr>
            <w:tcW w:w="7145" w:type="dxa"/>
            <w:tcBorders>
              <w:top w:val="single" w:sz="8" w:space="0" w:color="000000"/>
              <w:left w:val="single" w:sz="4"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具体内容</w:t>
            </w:r>
          </w:p>
        </w:tc>
        <w:tc>
          <w:tcPr>
            <w:tcW w:w="1882" w:type="dxa"/>
            <w:tcBorders>
              <w:top w:val="single" w:sz="8"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责任部门</w:t>
            </w:r>
          </w:p>
        </w:tc>
      </w:tr>
      <w:tr w:rsidR="009C7107" w:rsidTr="00BF7B8F">
        <w:trPr>
          <w:trHeight w:val="615"/>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一、积极促进消费升温</w:t>
            </w:r>
          </w:p>
        </w:tc>
        <w:tc>
          <w:tcPr>
            <w:tcW w:w="2884"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w:t>
            </w:r>
            <w:r>
              <w:rPr>
                <w:rFonts w:ascii="楷体" w:eastAsia="楷体" w:hAnsi="楷体" w:cs="楷体"/>
                <w:color w:val="000000"/>
                <w:kern w:val="0"/>
                <w:sz w:val="24"/>
                <w:lang w:bidi="ar"/>
              </w:rPr>
              <w:t>持续开展促消费活动</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鼓励各地发放汽车、电子产品、家居等大宗消费补贴和餐饮消费补贴，省级在一定额度内按不低于50%比例，对发放消费补贴的市予以配套支持。</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9C7107" w:rsidTr="00BF7B8F">
        <w:trPr>
          <w:trHeight w:val="633"/>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3.</w:t>
            </w:r>
            <w:r>
              <w:rPr>
                <w:rFonts w:ascii="楷体" w:eastAsia="楷体" w:hAnsi="楷体" w:cs="楷体"/>
                <w:color w:val="000000"/>
                <w:kern w:val="0"/>
                <w:sz w:val="24"/>
                <w:lang w:bidi="ar"/>
              </w:rPr>
              <w:t>拓展辽宁优质产品销售平台</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鼓励商场、超市、生鲜店、批发市场、电商平台等设立辽宁特色消费品专区（专柜），降低入场费，在开展促消费活动等方面给予支持。</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9C7107" w:rsidTr="00BF7B8F">
        <w:trPr>
          <w:trHeight w:val="1154"/>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支持各地开展优质农产品、特色轻工、纺织服装等“辽宁制造”优质产品产销对接活动，举办系列辽宁地工产品推介会，拓宽辽宁特色消费品销售渠道。</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市农业农村局、市商务局、市工信局，各县（市）区人民政府</w:t>
            </w:r>
          </w:p>
        </w:tc>
      </w:tr>
      <w:tr w:rsidR="009C7107" w:rsidTr="00BF7B8F">
        <w:trPr>
          <w:trHeight w:val="76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二、持续扩大有效投资</w:t>
            </w:r>
          </w:p>
        </w:tc>
        <w:tc>
          <w:tcPr>
            <w:tcW w:w="2884"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6.</w:t>
            </w:r>
            <w:r>
              <w:rPr>
                <w:rFonts w:ascii="楷体" w:eastAsia="楷体" w:hAnsi="楷体" w:cs="楷体"/>
                <w:color w:val="000000"/>
                <w:kern w:val="0"/>
                <w:sz w:val="24"/>
                <w:lang w:bidi="ar"/>
              </w:rPr>
              <w:t>完善省重大项目自然资源要素保障机制</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自然保护地整合归并优化调整过渡期内，采取“承诺制”或“容缺受理”，一体化审批省级以上重大项目用地用海用林用草申请。</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市自然资源局</w:t>
            </w:r>
          </w:p>
        </w:tc>
      </w:tr>
      <w:tr w:rsidR="009C7107" w:rsidTr="00BF7B8F">
        <w:trPr>
          <w:trHeight w:val="90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7.</w:t>
            </w:r>
            <w:r>
              <w:rPr>
                <w:rFonts w:ascii="楷体" w:eastAsia="楷体" w:hAnsi="楷体" w:cs="楷体"/>
                <w:color w:val="000000"/>
                <w:kern w:val="0"/>
                <w:sz w:val="24"/>
                <w:lang w:bidi="ar"/>
              </w:rPr>
              <w:t>优化矿业权涉林涉草审批</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地下开采的矿山项目，涉及Ⅱ级保护林地和基本草原的，由县级林草主管部门会同自然资源等部门进行论证（不包括法律法规明确禁止开采地下资源的情形）。</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市自然资源局，各县</w:t>
            </w:r>
            <w:r>
              <w:rPr>
                <w:rFonts w:ascii="仿宋_GB2312" w:eastAsia="仿宋_GB2312" w:hAnsi="宋体" w:cs="仿宋_GB2312" w:hint="eastAsia"/>
                <w:color w:val="000000"/>
                <w:kern w:val="0"/>
                <w:sz w:val="24"/>
                <w:lang w:bidi="ar"/>
              </w:rPr>
              <w:lastRenderedPageBreak/>
              <w:t>（市）区人民政府</w:t>
            </w:r>
          </w:p>
        </w:tc>
      </w:tr>
      <w:tr w:rsidR="009C7107" w:rsidTr="00BF7B8F">
        <w:trPr>
          <w:trHeight w:val="90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6</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对符合相关规定，不造成Ⅱ级保护林地损毁且不破坏植被和林业生产条件，不造成基本草原原生植被破坏且不改变原种植条件的，依法办理矿业权相关手续。</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市自然资源局，各县（市）区人民政府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8.</w:t>
            </w:r>
            <w:r>
              <w:rPr>
                <w:rFonts w:ascii="楷体" w:eastAsia="楷体" w:hAnsi="楷体" w:cs="楷体"/>
                <w:color w:val="000000"/>
                <w:kern w:val="0"/>
                <w:sz w:val="24"/>
                <w:lang w:bidi="ar"/>
              </w:rPr>
              <w:t>有效盘活存量资产</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完善土地二级市场，建立交易服务平台，为建设用地使用权转让、出租、抵押交易提供高效服务。</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市自然资源局，各县（市）区人民政府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对盘活停缓建项目，可根据需求，依法调整规划用途、土地使用年限、商业配套比例等规划设计条件。</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市发改委、市自然资源局，各县（市）区人民政府</w:t>
            </w:r>
          </w:p>
        </w:tc>
      </w:tr>
      <w:tr w:rsidR="009C7107" w:rsidTr="00BF7B8F">
        <w:trPr>
          <w:trHeight w:val="1440"/>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加强存量资产项目推介，创造条件吸引银行、信托、保险、金融资产管理、股权投资基金等机构积极参与盘活存量资产。</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人民银行朝阳市分行、国家金融监管总局朝阳监管分局，各县（市）区人民政府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三、推动外贸质效提升</w:t>
            </w: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11.</w:t>
            </w:r>
            <w:r>
              <w:rPr>
                <w:rFonts w:ascii="楷体" w:eastAsia="楷体" w:hAnsi="楷体" w:cs="楷体"/>
                <w:color w:val="000000"/>
                <w:kern w:val="0"/>
                <w:sz w:val="24"/>
                <w:lang w:bidi="ar"/>
              </w:rPr>
              <w:t>提升通关便利度</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对出境活动物、冰鲜肉制品、水产品和进出境蔬菜、水果等鲜活易腐农食产品开设优先查检和“5+2”预约查检绿色通道，设立并公开属地查检预约电话，实施节假日期间“不停歇”作业。</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辽宁朝阳海关，各县（市）区人民政府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11</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简化原产地签证办理流程，推广原产地证书无纸化申领、自助打印和智能审核等各项惠企措施。</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辽宁朝阳海关，各县（市）区人民政府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四、支持实体经济发展</w:t>
            </w: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12.</w:t>
            </w:r>
            <w:r>
              <w:rPr>
                <w:rFonts w:ascii="楷体" w:eastAsia="楷体" w:hAnsi="楷体" w:cs="楷体"/>
                <w:color w:val="000000"/>
                <w:kern w:val="0"/>
                <w:sz w:val="24"/>
                <w:lang w:bidi="ar"/>
              </w:rPr>
              <w:t>培育</w:t>
            </w:r>
            <w:r>
              <w:rPr>
                <w:rStyle w:val="font71"/>
                <w:lang w:bidi="ar"/>
              </w:rPr>
              <w:t>“</w:t>
            </w:r>
            <w:r>
              <w:rPr>
                <w:rFonts w:ascii="楷体" w:eastAsia="楷体" w:hAnsi="楷体" w:cs="楷体"/>
                <w:color w:val="000000"/>
                <w:kern w:val="0"/>
                <w:sz w:val="24"/>
                <w:lang w:bidi="ar"/>
              </w:rPr>
              <w:t>名特优新</w:t>
            </w:r>
            <w:r>
              <w:rPr>
                <w:rStyle w:val="font71"/>
                <w:lang w:bidi="ar"/>
              </w:rPr>
              <w:t>”</w:t>
            </w:r>
            <w:r>
              <w:rPr>
                <w:rFonts w:ascii="楷体" w:eastAsia="楷体" w:hAnsi="楷体" w:cs="楷体"/>
                <w:color w:val="000000"/>
                <w:kern w:val="0"/>
                <w:sz w:val="24"/>
                <w:lang w:bidi="ar"/>
              </w:rPr>
              <w:t>个体工商户</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建立全省“初创型”“成长型”“发展型”个体工商户数据库。</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市市场监管局，各县（市）区人民政府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按照“知名”“特色”“优质”“新兴”分类，选拔培育特色鲜明、发展潜力大的个体工商户，建立支持政策“免申即享”机制。</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市市场监管局，各县（市）区人民政府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依托辽宁小微企业名录系统建立“名特优新”榜单，推进“名特优新”个体工商户数据与金融机构信息共享和协调服务，加大宣传推介力度，引导“名特优新”个体工商户转型升级为企业。</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市市场监管局，各县（市）区人民政府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16.</w:t>
            </w:r>
            <w:r>
              <w:rPr>
                <w:rFonts w:ascii="楷体" w:eastAsia="楷体" w:hAnsi="楷体" w:cs="楷体"/>
                <w:color w:val="000000"/>
                <w:kern w:val="0"/>
                <w:sz w:val="24"/>
                <w:lang w:bidi="ar"/>
              </w:rPr>
              <w:t>加大企业上市扶持力度</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坚持“随报随审”原则拨付企业上市补助。</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市金融发展局，各县（市）区人民政府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16</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18.</w:t>
            </w:r>
            <w:r>
              <w:rPr>
                <w:rFonts w:ascii="楷体" w:eastAsia="楷体" w:hAnsi="楷体" w:cs="楷体"/>
                <w:color w:val="000000"/>
                <w:kern w:val="0"/>
                <w:sz w:val="24"/>
                <w:lang w:bidi="ar"/>
              </w:rPr>
              <w:t>加大金融信贷支持力度</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鼓励银行机构根据所在地有效信贷需求，加大对该地区实体经济信贷投放。</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人民银行朝阳市分行，各县（市）区人民政府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17</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人民银行辽宁省分行单列100亿元再贷款、再贴现额度，专项支持商业银行向省内科技型企业提供融资。</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人民银行朝阳市分行，各县（市）区人民政府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鼓励金融机构在依法合规、风险可控前提下开展产品服务创新。</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人民银行朝阳市分行，各县（市）区人民政府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19</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19.</w:t>
            </w:r>
            <w:r>
              <w:rPr>
                <w:rFonts w:ascii="楷体" w:eastAsia="楷体" w:hAnsi="楷体" w:cs="楷体"/>
                <w:color w:val="000000"/>
                <w:kern w:val="0"/>
                <w:sz w:val="24"/>
                <w:lang w:bidi="ar"/>
              </w:rPr>
              <w:t>优化企业汇率风险管理服务</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做深做实企业汇率风险中性政策宣导，向涉外企业提供专业化、定制化汇率避险服务，完善“清单式”管理，降低企业汇率避险交易成本。</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人民银行朝阳市分行，各县（市）区人民政府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五、加快构建现代化产业体系</w:t>
            </w:r>
          </w:p>
        </w:tc>
        <w:tc>
          <w:tcPr>
            <w:tcW w:w="2884"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20.</w:t>
            </w:r>
            <w:r>
              <w:rPr>
                <w:rFonts w:ascii="楷体" w:eastAsia="楷体" w:hAnsi="楷体" w:cs="楷体"/>
                <w:color w:val="000000"/>
                <w:kern w:val="0"/>
                <w:sz w:val="24"/>
                <w:lang w:bidi="ar"/>
              </w:rPr>
              <w:t>提高粮食生产能力</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提高大豆生产者补贴标准，亩均补贴较玉米生产者补贴标准提高350元以上（含）。</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市农业农村局，各县（市）区人民政府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21</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23.</w:t>
            </w:r>
            <w:r>
              <w:rPr>
                <w:rFonts w:ascii="楷体" w:eastAsia="楷体" w:hAnsi="楷体" w:cs="楷体"/>
                <w:color w:val="000000"/>
                <w:kern w:val="0"/>
                <w:sz w:val="24"/>
                <w:lang w:bidi="ar"/>
              </w:rPr>
              <w:t>完善农村寄递物流体系</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鼓励邮政、快递企业加强与农村集体经济主体、合作社、大农户合作，加大冷链前置仓建设力度，助力农村经营主体发展。</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市邮政管理局、市农业农村局，各县（市）区人民政府</w:t>
            </w:r>
          </w:p>
        </w:tc>
      </w:tr>
      <w:tr w:rsidR="009C7107" w:rsidTr="00BF7B8F">
        <w:trPr>
          <w:trHeight w:val="1154"/>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22</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鼓励各市和相关部门制定支持农村县乡村三级寄递物流体系建设的扶持政策。</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市邮政管理局、市农业农村局、市商务局，各县</w:t>
            </w:r>
            <w:r>
              <w:rPr>
                <w:rFonts w:ascii="仿宋_GB2312" w:eastAsia="仿宋_GB2312" w:hAnsi="宋体" w:cs="仿宋_GB2312" w:hint="eastAsia"/>
                <w:color w:val="000000"/>
                <w:kern w:val="0"/>
                <w:sz w:val="24"/>
                <w:lang w:bidi="ar"/>
              </w:rPr>
              <w:lastRenderedPageBreak/>
              <w:t>（市）区人民政府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23</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因地制宜打造农村客货邮融合发展模式，推广农村客运车辆代运邮件快件。</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市邮政管理局、市交通运输局，各县（市）区人民政府</w:t>
            </w:r>
          </w:p>
        </w:tc>
      </w:tr>
      <w:tr w:rsidR="009C7107" w:rsidTr="00BF7B8F">
        <w:trPr>
          <w:trHeight w:val="1513"/>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25.</w:t>
            </w:r>
            <w:r>
              <w:rPr>
                <w:rFonts w:ascii="楷体" w:eastAsia="楷体" w:hAnsi="楷体" w:cs="楷体"/>
                <w:color w:val="000000"/>
                <w:kern w:val="0"/>
                <w:sz w:val="24"/>
                <w:lang w:bidi="ar"/>
              </w:rPr>
              <w:t>促进快递物流业与制造业深度融合发展</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动快递物流企业为客户提供仓储、打包、发货一体化服务。鼓励各地政府和相关部门对快递物流企业进驻各类工业园区、电商园区等制定扶持政策。2024年，建设16个省级快递物流业与制造业深度融合发展试点先行区，培育22个省级快递物流业与制造业深度融合发展典型项目。</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市邮政管理局、市工信局、市商务局、市交通局、市农业农村局，各县（市）区人民政府</w:t>
            </w:r>
          </w:p>
        </w:tc>
      </w:tr>
      <w:tr w:rsidR="009C7107" w:rsidTr="00BF7B8F">
        <w:trPr>
          <w:trHeight w:val="1165"/>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25</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27.</w:t>
            </w:r>
            <w:r>
              <w:rPr>
                <w:rFonts w:ascii="楷体" w:eastAsia="楷体" w:hAnsi="楷体" w:cs="楷体"/>
                <w:color w:val="000000"/>
                <w:kern w:val="0"/>
                <w:sz w:val="24"/>
                <w:lang w:bidi="ar"/>
              </w:rPr>
              <w:t>提升开发区（园区）发展水平</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积极争取中央外经贸发展资金支持域内国家级经济开发区提升对外开放水平，安排1亿元专项奖补省级示范经济开发区，重点提升招商引资、市场开拓、营商环境和信息化建设能力。</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9C7107" w:rsidTr="00BF7B8F">
        <w:trPr>
          <w:trHeight w:val="65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26</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安排2亿元支持省级以上开发区基础设施和公共平台建设。</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9C7107" w:rsidTr="00BF7B8F">
        <w:trPr>
          <w:trHeight w:val="76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27</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依法赋予有条件的开发区（园区）市级用地审批权限，压减用地逐级报批流程为直报两级审批。</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9C7107" w:rsidTr="00BF7B8F">
        <w:trPr>
          <w:trHeight w:val="633"/>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28</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“一园一策”深化开发区（园区）选人用人、运营机制、放权赋能等领域改革。</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9C7107" w:rsidTr="00BF7B8F">
        <w:trPr>
          <w:trHeight w:val="582"/>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29</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六、以科技创新推动产业创新</w:t>
            </w:r>
          </w:p>
        </w:tc>
        <w:tc>
          <w:tcPr>
            <w:tcW w:w="2884"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28.</w:t>
            </w:r>
            <w:r>
              <w:rPr>
                <w:rFonts w:ascii="楷体" w:eastAsia="楷体" w:hAnsi="楷体" w:cs="楷体"/>
                <w:color w:val="000000"/>
                <w:kern w:val="0"/>
                <w:sz w:val="24"/>
                <w:lang w:bidi="ar"/>
              </w:rPr>
              <w:t>提升企业科技创新主体地位</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简化高新技术企业认定程序，实行常态化受理、全流程网上办理，探索将高新技术企业省级审核权委托给各市。</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市科技局，各县（市）区人民政府</w:t>
            </w:r>
          </w:p>
        </w:tc>
      </w:tr>
      <w:tr w:rsidR="009C7107" w:rsidTr="00BF7B8F">
        <w:trPr>
          <w:trHeight w:val="1316"/>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29.</w:t>
            </w:r>
            <w:r>
              <w:rPr>
                <w:rFonts w:ascii="楷体" w:eastAsia="楷体" w:hAnsi="楷体" w:cs="楷体"/>
                <w:color w:val="000000"/>
                <w:kern w:val="0"/>
                <w:sz w:val="24"/>
                <w:lang w:bidi="ar"/>
              </w:rPr>
              <w:t>加大企业科技特派员支持力度</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采用双向选择的遴选模式，从在辽高等学校、科研院所和科技服务机构中选派企业科技特派员上门服务企业。企业科技特派员在派驻期间，工资、职务、职称晋升和岗位变动与所在单位在职人员同等对待。支持企业科技特派员与派驻企业合作开展技术创新项目，经省科技厅备案后视同省级科技计划项目。对优秀企业科技特派员、派出单位及相关组织管理机构给予奖励支持。</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市科技局、市教育局、市人社局，各县（市）区人民政府</w:t>
            </w:r>
          </w:p>
        </w:tc>
      </w:tr>
      <w:tr w:rsidR="009C7107" w:rsidTr="00BF7B8F">
        <w:trPr>
          <w:trHeight w:val="1154"/>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31</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30.</w:t>
            </w:r>
            <w:r>
              <w:rPr>
                <w:rFonts w:ascii="楷体" w:eastAsia="楷体" w:hAnsi="楷体" w:cs="楷体"/>
                <w:color w:val="000000"/>
                <w:kern w:val="0"/>
                <w:sz w:val="24"/>
                <w:lang w:bidi="ar"/>
              </w:rPr>
              <w:t>支持创新产品和服务开拓市场</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专精特新”企业、高新技术企业等创新型企业或其他主体，首次投向市场、具有较大潜力和带动作用的科技创新产品或服务，在功能、质量等指标能够满足购买需求条件下，机关、事业单位、国有企业不得以既往商业业绩为“门槛”予以限制。</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市科技局、市工信局，各县（市）区人民政府</w:t>
            </w:r>
          </w:p>
        </w:tc>
      </w:tr>
      <w:tr w:rsidR="009C7107" w:rsidTr="00BF7B8F">
        <w:trPr>
          <w:trHeight w:val="582"/>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七、深化重点领域改革</w:t>
            </w: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32.</w:t>
            </w:r>
            <w:r>
              <w:rPr>
                <w:rFonts w:ascii="楷体" w:eastAsia="楷体" w:hAnsi="楷体" w:cs="楷体"/>
                <w:color w:val="000000"/>
                <w:kern w:val="0"/>
                <w:sz w:val="24"/>
                <w:lang w:bidi="ar"/>
              </w:rPr>
              <w:t>提高经营主体办事便利度</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全面推进惠企强企政策“免申即享、直达快享”，推动不少于40个“高效办成一件事”应用场景落实落地。</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市营商局，各县（市）区人民政府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33</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全力打造全省公共资源“一网交易”平台，加快推进公共资源交易各领域全流程电子化，积极为经营主体提供贷款、保函、保理等多渠道金融服务。</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市公共资源交易中心，各县（市）区人民政府</w:t>
            </w:r>
          </w:p>
        </w:tc>
      </w:tr>
      <w:tr w:rsidR="009C7107" w:rsidTr="00BF7B8F">
        <w:trPr>
          <w:trHeight w:val="793"/>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34</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33.</w:t>
            </w:r>
            <w:r>
              <w:rPr>
                <w:rFonts w:ascii="楷体" w:eastAsia="楷体" w:hAnsi="楷体" w:cs="楷体"/>
                <w:color w:val="000000"/>
                <w:kern w:val="0"/>
                <w:sz w:val="24"/>
                <w:lang w:bidi="ar"/>
              </w:rPr>
              <w:t>便利企业信用修复</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试行和推广行政处罚决定书与信用修复提醒函“两书同达”，主动告知企业公示期限及申请失信修复的政策和途径，确保处罚同时告知，期满即可修复。</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市发改委，各县（市）区人民政府</w:t>
            </w:r>
          </w:p>
        </w:tc>
      </w:tr>
      <w:tr w:rsidR="009C7107" w:rsidTr="00BF7B8F">
        <w:trPr>
          <w:trHeight w:val="582"/>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35</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改造升级国家企业信用信息公示系统（辽宁）和省“互联网+监管”系统，推行企业信用修复网上办理。</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市发改委，各县（市）区人民政府</w:t>
            </w:r>
          </w:p>
        </w:tc>
      </w:tr>
      <w:tr w:rsidR="009C7107" w:rsidTr="00BF7B8F">
        <w:trPr>
          <w:trHeight w:val="65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36</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35.</w:t>
            </w:r>
            <w:r>
              <w:rPr>
                <w:rFonts w:ascii="楷体" w:eastAsia="楷体" w:hAnsi="楷体" w:cs="楷体"/>
                <w:color w:val="000000"/>
                <w:kern w:val="0"/>
                <w:sz w:val="24"/>
                <w:lang w:bidi="ar"/>
              </w:rPr>
              <w:t>优化国有企业负责人经营业绩考核制度。</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国有企业研发投入可在考核时视同利润加回，对承担关键技术攻关任务等研发投入，可适度提高加回比例。</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市国资委，各县（市）区人民政府</w:t>
            </w:r>
          </w:p>
        </w:tc>
      </w:tr>
      <w:tr w:rsidR="009C7107" w:rsidTr="00BF7B8F">
        <w:trPr>
          <w:trHeight w:val="68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37</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服务国家及全省战略，落实省委省政府向社会公众让利等对企业经营业绩造成影响的，可在考核时予以加回。</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市国资委，各县（市）区人民政府</w:t>
            </w:r>
          </w:p>
        </w:tc>
      </w:tr>
      <w:tr w:rsidR="009C7107" w:rsidTr="00BF7B8F">
        <w:trPr>
          <w:trHeight w:val="86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38</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36.</w:t>
            </w:r>
            <w:r>
              <w:rPr>
                <w:rFonts w:ascii="楷体" w:eastAsia="楷体" w:hAnsi="楷体" w:cs="楷体"/>
                <w:color w:val="000000"/>
                <w:kern w:val="0"/>
                <w:sz w:val="24"/>
                <w:lang w:bidi="ar"/>
              </w:rPr>
              <w:t>支持鼓励中央企业分公司改制为子公司</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鼓励中央企业在辽宁将具备条件的分公司改制为独立法人子公司，在经营主体登记注册、税收优惠、划拨土地处置、资质资格承继等方面予以支持。</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市国资委、市市场监管局，各县（市）区人民政府</w:t>
            </w:r>
          </w:p>
        </w:tc>
      </w:tr>
      <w:tr w:rsidR="009C7107" w:rsidTr="00BF7B8F">
        <w:trPr>
          <w:trHeight w:val="582"/>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39</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支持和鼓励央企与我省本地企业组建联合体参与我省重大项目工程建设。</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市国资委，各县（市）区人民政府</w:t>
            </w:r>
          </w:p>
        </w:tc>
      </w:tr>
      <w:tr w:rsidR="009C7107" w:rsidTr="00BF7B8F">
        <w:trPr>
          <w:trHeight w:val="908"/>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37.</w:t>
            </w:r>
            <w:r>
              <w:rPr>
                <w:rFonts w:ascii="楷体" w:eastAsia="楷体" w:hAnsi="楷体" w:cs="楷体"/>
                <w:color w:val="000000"/>
                <w:kern w:val="0"/>
                <w:sz w:val="24"/>
                <w:lang w:bidi="ar"/>
              </w:rPr>
              <w:t>开展民营企业家培训</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面向万亿级先进装备制造产业基地、石化和精细化工产业基地、冶金新材料产业基地、优质特色消费品工业基地和22个重点产业集群建设需求，制定民营企业家培训规划和年度培训计划。</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市发改委、市人社局，各县（市）区人民政府</w:t>
            </w:r>
          </w:p>
        </w:tc>
      </w:tr>
      <w:tr w:rsidR="009C7107" w:rsidTr="00BF7B8F">
        <w:trPr>
          <w:trHeight w:val="670"/>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41</w:t>
            </w:r>
          </w:p>
        </w:tc>
        <w:tc>
          <w:tcPr>
            <w:tcW w:w="1422"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支持省内高校发挥高等教育资源优势，按照培训规划对民营企业家开展理论、政策、科技、管理和法规等方面培训，助力民营企业家提升职业能力。</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市发改委、市教育局</w:t>
            </w:r>
          </w:p>
        </w:tc>
      </w:tr>
      <w:tr w:rsidR="009C7107" w:rsidTr="00BF7B8F">
        <w:trPr>
          <w:trHeight w:val="65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42</w:t>
            </w:r>
          </w:p>
        </w:tc>
        <w:tc>
          <w:tcPr>
            <w:tcW w:w="1422" w:type="dxa"/>
            <w:vMerge w:val="restart"/>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八、加快推进绿色低碳发展</w:t>
            </w:r>
          </w:p>
        </w:tc>
        <w:tc>
          <w:tcPr>
            <w:tcW w:w="2884" w:type="dxa"/>
            <w:vMerge w:val="restart"/>
            <w:tcBorders>
              <w:top w:val="single" w:sz="4" w:space="0" w:color="000000"/>
              <w:left w:val="single" w:sz="4" w:space="0" w:color="000000"/>
              <w:bottom w:val="nil"/>
              <w:right w:val="single" w:sz="4" w:space="0" w:color="000000"/>
            </w:tcBorders>
            <w:vAlign w:val="center"/>
          </w:tcPr>
          <w:p w:rsidR="009C7107" w:rsidRDefault="009C7107" w:rsidP="00BF7B8F">
            <w:pPr>
              <w:widowControl/>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bidi="ar"/>
              </w:rPr>
              <w:t>38.优化涉企环境约束措施</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实施大气重点行业企业绩效分级管理，对绩效达到A级或引领性企业在重污染天气预警响应期间可以减少或免除应急减排措施。</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市生态环境局，各县（市）区人民政府</w:t>
            </w:r>
          </w:p>
        </w:tc>
      </w:tr>
      <w:tr w:rsidR="009C7107" w:rsidTr="00BF7B8F">
        <w:trPr>
          <w:trHeight w:val="59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43</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nil"/>
              <w:right w:val="single" w:sz="4" w:space="0" w:color="000000"/>
            </w:tcBorders>
            <w:vAlign w:val="center"/>
          </w:tcPr>
          <w:p w:rsidR="009C7107" w:rsidRDefault="009C7107" w:rsidP="00BF7B8F">
            <w:pPr>
              <w:rPr>
                <w:rFonts w:ascii="楷体_GB2312" w:eastAsia="楷体_GB2312" w:hAnsi="宋体" w:cs="楷体_GB2312"/>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实行危险废物“点对点”定向利用豁免管理，帮扶相关企业办理危险废物替代原料利用许可豁免，推进资源合理配置。</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市生态环境局，各县（市）区人民政府</w:t>
            </w:r>
          </w:p>
        </w:tc>
      </w:tr>
      <w:tr w:rsidR="009C7107" w:rsidTr="00BF7B8F">
        <w:trPr>
          <w:trHeight w:val="1735"/>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44</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39.</w:t>
            </w:r>
            <w:r>
              <w:rPr>
                <w:rFonts w:ascii="楷体" w:eastAsia="楷体" w:hAnsi="楷体" w:cs="楷体"/>
                <w:color w:val="000000"/>
                <w:kern w:val="0"/>
                <w:sz w:val="24"/>
                <w:lang w:bidi="ar"/>
              </w:rPr>
              <w:t>提升绿色金融服务质效</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引导金融机构通过“节水贷”、碳排放权抵质押贷款为绿色企业提供资金支持。</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市金融发展局、人民银行朝阳市分行、国家金融监管总局朝阳监管分局，各县（市）区人民政府</w:t>
            </w:r>
          </w:p>
        </w:tc>
      </w:tr>
      <w:tr w:rsidR="009C7107" w:rsidTr="00BF7B8F">
        <w:trPr>
          <w:trHeight w:val="1735"/>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45</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扩大“辽绿贷”“绿票通”、碳减排支持工具等使用规模。</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市金融发展局、人民银行朝阳市分行、国家金融监管总局朝阳监管分局，各县（市）区人民政府</w:t>
            </w:r>
          </w:p>
        </w:tc>
      </w:tr>
      <w:tr w:rsidR="009C7107" w:rsidTr="00BF7B8F">
        <w:trPr>
          <w:trHeight w:val="1815"/>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46</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持续完善“辽绿通”绿色金融服务平台和绿色项目库。</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市金融发展局、人民银行朝阳市分行、国家金融监管总局朝阳监管分局，各县（市）区人民政府</w:t>
            </w:r>
          </w:p>
        </w:tc>
      </w:tr>
      <w:tr w:rsidR="009C7107" w:rsidTr="00BF7B8F">
        <w:trPr>
          <w:trHeight w:val="877"/>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47</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40.</w:t>
            </w:r>
            <w:r>
              <w:rPr>
                <w:rFonts w:ascii="楷体" w:eastAsia="楷体" w:hAnsi="楷体" w:cs="楷体"/>
                <w:color w:val="000000"/>
                <w:kern w:val="0"/>
                <w:sz w:val="24"/>
                <w:lang w:bidi="ar"/>
              </w:rPr>
              <w:t>支持重点群体就业创业</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升级实施“春暖辽沈·惠企护航”保用工促就业助振兴攻坚行动，深入实施民营企业、中小微企业和个体工商户就业政策服务落实专项行动，全年解决用工缺口70万个以上。</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市人社局，各县（市）区人民政府</w:t>
            </w:r>
          </w:p>
        </w:tc>
      </w:tr>
      <w:tr w:rsidR="009C7107" w:rsidTr="00BF7B8F">
        <w:trPr>
          <w:trHeight w:val="59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48</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建设500个左右“舒心就业”指导服务站点。</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市人社局，各县（市）区人民政府</w:t>
            </w:r>
          </w:p>
        </w:tc>
      </w:tr>
      <w:tr w:rsidR="009C7107" w:rsidTr="00BF7B8F">
        <w:trPr>
          <w:trHeight w:val="59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49</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延续实施阶段性降低失业保险、工伤保险费率政策执行期至2025年底。</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市人社局，各县（市）区人民政府</w:t>
            </w:r>
          </w:p>
        </w:tc>
      </w:tr>
      <w:tr w:rsidR="009C7107" w:rsidTr="00BF7B8F">
        <w:trPr>
          <w:trHeight w:val="1449"/>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41.</w:t>
            </w:r>
            <w:r>
              <w:rPr>
                <w:rFonts w:ascii="楷体" w:eastAsia="楷体" w:hAnsi="楷体" w:cs="楷体"/>
                <w:color w:val="000000"/>
                <w:kern w:val="0"/>
                <w:sz w:val="24"/>
                <w:lang w:bidi="ar"/>
              </w:rPr>
              <w:t>降低房地产市场交易成本</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一年内出售自有住房并购买新建商品住房的，可由购房地给予一定额度的购房补贴，卖旧买新时间不分先后；对新购或租赁（自持）存量非住宅商品房的，可采取购房补贴、租金补贴、降低相关交易费用等方式予以支持；对转让非住宅商品房的，可适当降低相关交易费用，具体实施细则由各市县按实际情况制定。</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市住建局、市财政局、市税务局、市自然资源局,各县（市）区人民政府</w:t>
            </w:r>
          </w:p>
        </w:tc>
      </w:tr>
      <w:tr w:rsidR="009C7107" w:rsidTr="00BF7B8F">
        <w:trPr>
          <w:trHeight w:val="877"/>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51</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推动各市出台商业银行个人住房贷款转换为住房公积金贷款政策，鼓励采取顺位抵押等方式开展业务。</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人民银行朝阳分行、市住房</w:t>
            </w:r>
            <w:r>
              <w:rPr>
                <w:rFonts w:ascii="仿宋_GB2312" w:eastAsia="仿宋_GB2312" w:hAnsi="宋体" w:cs="仿宋_GB2312" w:hint="eastAsia"/>
                <w:color w:val="000000"/>
                <w:kern w:val="0"/>
                <w:sz w:val="24"/>
                <w:lang w:bidi="ar"/>
              </w:rPr>
              <w:lastRenderedPageBreak/>
              <w:t>公积金管理中心</w:t>
            </w:r>
          </w:p>
        </w:tc>
      </w:tr>
      <w:tr w:rsidR="009C7107" w:rsidTr="00BF7B8F">
        <w:trPr>
          <w:trHeight w:val="877"/>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52</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42.</w:t>
            </w:r>
            <w:r>
              <w:rPr>
                <w:rFonts w:ascii="楷体" w:eastAsia="楷体" w:hAnsi="楷体" w:cs="楷体"/>
                <w:color w:val="000000"/>
                <w:kern w:val="0"/>
                <w:sz w:val="24"/>
                <w:lang w:bidi="ar"/>
              </w:rPr>
              <w:t>推进保障性住房建设</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建设配售型保障性住房，重点保障住房困难的城镇家庭和引进人才。对在城镇稳定就业的农民工，通过建设筹集配租型和配售型保障性住房实施住房保障。</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市住建局，各县（市）区人民政府</w:t>
            </w:r>
          </w:p>
        </w:tc>
      </w:tr>
      <w:tr w:rsidR="009C7107" w:rsidTr="00BF7B8F">
        <w:trPr>
          <w:trHeight w:val="59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53</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val="restart"/>
            <w:tcBorders>
              <w:top w:val="nil"/>
              <w:left w:val="single" w:sz="4" w:space="0" w:color="000000"/>
              <w:bottom w:val="single" w:sz="8" w:space="0" w:color="000000"/>
              <w:right w:val="single" w:sz="4" w:space="0" w:color="000000"/>
            </w:tcBorders>
            <w:vAlign w:val="center"/>
          </w:tcPr>
          <w:p w:rsidR="009C7107" w:rsidRDefault="009C7107" w:rsidP="00BF7B8F">
            <w:pPr>
              <w:widowControl/>
              <w:textAlignment w:val="center"/>
              <w:rPr>
                <w:rFonts w:ascii="Times New Roman" w:hAnsi="Times New Roman"/>
                <w:color w:val="000000"/>
                <w:sz w:val="24"/>
              </w:rPr>
            </w:pPr>
            <w:r>
              <w:rPr>
                <w:rFonts w:ascii="Times New Roman" w:hAnsi="Times New Roman"/>
                <w:color w:val="000000"/>
                <w:kern w:val="0"/>
                <w:sz w:val="24"/>
                <w:lang w:bidi="ar"/>
              </w:rPr>
              <w:t>43.</w:t>
            </w:r>
            <w:r>
              <w:rPr>
                <w:rFonts w:ascii="楷体" w:eastAsia="楷体" w:hAnsi="楷体" w:cs="楷体"/>
                <w:color w:val="000000"/>
                <w:kern w:val="0"/>
                <w:sz w:val="24"/>
                <w:lang w:bidi="ar"/>
              </w:rPr>
              <w:t>增强医疗服务供给</w:t>
            </w: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鼓励以医疗健康为主业的央企等国有企业在符合区域医疗机构设置规划、坚持公益性并保持非营利性的前提下，参与政府办医疗机构改革。</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市卫健委，各县（市）区人民政府</w:t>
            </w:r>
          </w:p>
        </w:tc>
      </w:tr>
      <w:tr w:rsidR="009C7107" w:rsidTr="00BF7B8F">
        <w:trPr>
          <w:trHeight w:val="59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54</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nil"/>
              <w:left w:val="single" w:sz="4" w:space="0" w:color="000000"/>
              <w:bottom w:val="single" w:sz="8"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支持央企等国有企业办医疗机构牵头组建医联体，支持其医生加入家庭医生队伍。</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市卫健委，各县（市）区人民政府</w:t>
            </w:r>
          </w:p>
        </w:tc>
      </w:tr>
      <w:tr w:rsidR="009C7107" w:rsidTr="00BF7B8F">
        <w:trPr>
          <w:trHeight w:val="59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55</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nil"/>
              <w:left w:val="single" w:sz="4" w:space="0" w:color="000000"/>
              <w:bottom w:val="single" w:sz="8"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鼓励央企等国有企业办医疗机构转型为康复护理机构，提供医养结合、安宁疗护等医疗健康服务。</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市卫健委，各县（市）区人民政府</w:t>
            </w:r>
          </w:p>
        </w:tc>
      </w:tr>
      <w:tr w:rsidR="009C7107" w:rsidTr="00BF7B8F">
        <w:trPr>
          <w:trHeight w:val="591"/>
        </w:trPr>
        <w:tc>
          <w:tcPr>
            <w:tcW w:w="587" w:type="dxa"/>
            <w:tcBorders>
              <w:top w:val="single" w:sz="4" w:space="0" w:color="000000"/>
              <w:left w:val="single" w:sz="8" w:space="0" w:color="000000"/>
              <w:bottom w:val="single" w:sz="4"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56</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nil"/>
              <w:left w:val="single" w:sz="4" w:space="0" w:color="000000"/>
              <w:bottom w:val="single" w:sz="8"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对央企等国有企业办医疗机构在专科建设、人才培养等方面给予支持。</w:t>
            </w:r>
          </w:p>
        </w:tc>
        <w:tc>
          <w:tcPr>
            <w:tcW w:w="1882" w:type="dxa"/>
            <w:tcBorders>
              <w:top w:val="single" w:sz="4" w:space="0" w:color="000000"/>
              <w:left w:val="single" w:sz="4" w:space="0" w:color="000000"/>
              <w:bottom w:val="single" w:sz="4"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市卫健委，各县（市）区人民政府</w:t>
            </w:r>
          </w:p>
        </w:tc>
      </w:tr>
      <w:tr w:rsidR="009C7107" w:rsidTr="00BF7B8F">
        <w:trPr>
          <w:trHeight w:val="609"/>
        </w:trPr>
        <w:tc>
          <w:tcPr>
            <w:tcW w:w="587" w:type="dxa"/>
            <w:tcBorders>
              <w:top w:val="single" w:sz="4" w:space="0" w:color="000000"/>
              <w:left w:val="single" w:sz="8" w:space="0" w:color="000000"/>
              <w:bottom w:val="single" w:sz="8" w:space="0" w:color="000000"/>
              <w:right w:val="single" w:sz="4" w:space="0" w:color="000000"/>
            </w:tcBorders>
            <w:vAlign w:val="center"/>
          </w:tcPr>
          <w:p w:rsidR="009C7107" w:rsidRDefault="009C7107"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57</w:t>
            </w:r>
          </w:p>
        </w:tc>
        <w:tc>
          <w:tcPr>
            <w:tcW w:w="1422" w:type="dxa"/>
            <w:vMerge/>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jc w:val="center"/>
              <w:rPr>
                <w:rFonts w:ascii="黑体" w:eastAsia="黑体" w:hAnsi="宋体" w:cs="黑体"/>
                <w:color w:val="000000"/>
                <w:sz w:val="24"/>
              </w:rPr>
            </w:pPr>
          </w:p>
        </w:tc>
        <w:tc>
          <w:tcPr>
            <w:tcW w:w="2884" w:type="dxa"/>
            <w:vMerge/>
            <w:tcBorders>
              <w:top w:val="nil"/>
              <w:left w:val="single" w:sz="4" w:space="0" w:color="000000"/>
              <w:bottom w:val="single" w:sz="8" w:space="0" w:color="000000"/>
              <w:right w:val="single" w:sz="4" w:space="0" w:color="000000"/>
            </w:tcBorders>
            <w:vAlign w:val="center"/>
          </w:tcPr>
          <w:p w:rsidR="009C7107" w:rsidRDefault="009C7107" w:rsidP="00BF7B8F">
            <w:pPr>
              <w:rPr>
                <w:rFonts w:ascii="Times New Roman" w:hAnsi="Times New Roman"/>
                <w:color w:val="000000"/>
                <w:sz w:val="24"/>
              </w:rPr>
            </w:pPr>
          </w:p>
        </w:tc>
        <w:tc>
          <w:tcPr>
            <w:tcW w:w="7145" w:type="dxa"/>
            <w:tcBorders>
              <w:top w:val="single" w:sz="4" w:space="0" w:color="000000"/>
              <w:left w:val="single" w:sz="4" w:space="0" w:color="000000"/>
              <w:bottom w:val="single" w:sz="8" w:space="0" w:color="000000"/>
              <w:right w:val="single" w:sz="4" w:space="0" w:color="000000"/>
            </w:tcBorders>
            <w:vAlign w:val="center"/>
          </w:tcPr>
          <w:p w:rsidR="009C7107" w:rsidRDefault="009C7107"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鼓励各医疗机构改造病房等设施，为住院病人提供更优质服务。</w:t>
            </w:r>
          </w:p>
        </w:tc>
        <w:tc>
          <w:tcPr>
            <w:tcW w:w="1882" w:type="dxa"/>
            <w:tcBorders>
              <w:top w:val="single" w:sz="4" w:space="0" w:color="000000"/>
              <w:left w:val="single" w:sz="4" w:space="0" w:color="000000"/>
              <w:bottom w:val="single" w:sz="8" w:space="0" w:color="000000"/>
              <w:right w:val="single" w:sz="8" w:space="0" w:color="000000"/>
            </w:tcBorders>
            <w:vAlign w:val="center"/>
          </w:tcPr>
          <w:p w:rsidR="009C7107" w:rsidRDefault="009C7107"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市卫健委，各县（市）区人民政府</w:t>
            </w:r>
          </w:p>
        </w:tc>
      </w:tr>
    </w:tbl>
    <w:p w:rsidR="009C7107" w:rsidRDefault="009C7107" w:rsidP="009C7107"/>
    <w:bookmarkEnd w:id="0"/>
    <w:bookmarkEnd w:id="1"/>
    <w:p w:rsidR="004C6898" w:rsidRDefault="004C6898"/>
    <w:sectPr w:rsidR="004C6898">
      <w:footerReference w:type="default" r:id="rId7"/>
      <w:pgSz w:w="16838" w:h="11906" w:orient="landscape"/>
      <w:pgMar w:top="1800" w:right="1440" w:bottom="1800" w:left="1440" w:header="851" w:footer="992" w:gutter="0"/>
      <w:pgNumType w:start="4"/>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DB" w:rsidRDefault="00856EDB">
      <w:r>
        <w:separator/>
      </w:r>
    </w:p>
  </w:endnote>
  <w:endnote w:type="continuationSeparator" w:id="0">
    <w:p w:rsidR="00856EDB" w:rsidRDefault="0085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27" w:rsidRDefault="009C710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6205" cy="139700"/>
              <wp:effectExtent l="3175" t="0" r="4445"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F27" w:rsidRDefault="009C7107">
                          <w:pPr>
                            <w:pStyle w:val="a3"/>
                          </w:pPr>
                          <w:r>
                            <w:fldChar w:fldCharType="begin"/>
                          </w:r>
                          <w:r>
                            <w:instrText xml:space="preserve"> PAGE  \* MERGEFORMAT </w:instrText>
                          </w:r>
                          <w:r>
                            <w:fldChar w:fldCharType="separate"/>
                          </w:r>
                          <w:r w:rsidR="004E57F3">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2.05pt;margin-top:0;width:9.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031F27" w:rsidRDefault="009C7107">
                    <w:pPr>
                      <w:pStyle w:val="a3"/>
                    </w:pPr>
                    <w:r>
                      <w:fldChar w:fldCharType="begin"/>
                    </w:r>
                    <w:r>
                      <w:instrText xml:space="preserve"> PAGE  \* MERGEFORMAT </w:instrText>
                    </w:r>
                    <w:r>
                      <w:fldChar w:fldCharType="separate"/>
                    </w:r>
                    <w:r w:rsidR="004E57F3">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DB" w:rsidRDefault="00856EDB">
      <w:r>
        <w:separator/>
      </w:r>
    </w:p>
  </w:footnote>
  <w:footnote w:type="continuationSeparator" w:id="0">
    <w:p w:rsidR="00856EDB" w:rsidRDefault="00856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07"/>
    <w:rsid w:val="00031F27"/>
    <w:rsid w:val="004C6898"/>
    <w:rsid w:val="004E57F3"/>
    <w:rsid w:val="00856EDB"/>
    <w:rsid w:val="009C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212CA3-D1FE-436D-B06E-CFFBA504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10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C7107"/>
    <w:pPr>
      <w:tabs>
        <w:tab w:val="center" w:pos="4153"/>
        <w:tab w:val="right" w:pos="8306"/>
      </w:tabs>
      <w:snapToGrid w:val="0"/>
      <w:jc w:val="left"/>
    </w:pPr>
    <w:rPr>
      <w:sz w:val="18"/>
    </w:rPr>
  </w:style>
  <w:style w:type="character" w:customStyle="1" w:styleId="a4">
    <w:name w:val="页脚 字符"/>
    <w:basedOn w:val="a0"/>
    <w:link w:val="a3"/>
    <w:rsid w:val="009C7107"/>
    <w:rPr>
      <w:rFonts w:ascii="Calibri" w:eastAsia="宋体" w:hAnsi="Calibri" w:cs="Times New Roman"/>
      <w:sz w:val="18"/>
      <w:szCs w:val="24"/>
    </w:rPr>
  </w:style>
  <w:style w:type="character" w:customStyle="1" w:styleId="font11">
    <w:name w:val="font11"/>
    <w:basedOn w:val="a0"/>
    <w:rsid w:val="009C7107"/>
    <w:rPr>
      <w:rFonts w:ascii="Times New Roman" w:hAnsi="Times New Roman" w:cs="Times New Roman" w:hint="default"/>
      <w:i w:val="0"/>
      <w:color w:val="000000"/>
      <w:sz w:val="28"/>
      <w:szCs w:val="28"/>
      <w:u w:val="none"/>
    </w:rPr>
  </w:style>
  <w:style w:type="character" w:customStyle="1" w:styleId="font41">
    <w:name w:val="font41"/>
    <w:basedOn w:val="a0"/>
    <w:rsid w:val="009C7107"/>
    <w:rPr>
      <w:rFonts w:ascii="黑体" w:eastAsia="黑体" w:hAnsi="宋体" w:cs="黑体" w:hint="eastAsia"/>
      <w:i w:val="0"/>
      <w:color w:val="000000"/>
      <w:sz w:val="28"/>
      <w:szCs w:val="28"/>
      <w:u w:val="none"/>
    </w:rPr>
  </w:style>
  <w:style w:type="character" w:customStyle="1" w:styleId="font71">
    <w:name w:val="font71"/>
    <w:basedOn w:val="a0"/>
    <w:rsid w:val="009C7107"/>
    <w:rPr>
      <w:rFonts w:ascii="Times New Roman" w:hAnsi="Times New Roman" w:cs="Times New Roman" w:hint="default"/>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2024-03-21T06:45:00Z</dcterms:created>
  <dcterms:modified xsi:type="dcterms:W3CDTF">2024-03-21T07:06:00Z</dcterms:modified>
</cp:coreProperties>
</file>