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/>
          <w:color w:val="000000"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b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朝阳县2021年国民经济和社会发展</w:t>
      </w:r>
    </w:p>
    <w:p>
      <w:pPr>
        <w:jc w:val="center"/>
        <w:rPr>
          <w:rFonts w:hint="eastAsia" w:ascii="黑体" w:hAnsi="黑体" w:eastAsia="黑体" w:cs="黑体"/>
          <w:b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统计公报</w:t>
      </w:r>
    </w:p>
    <w:p>
      <w:pPr>
        <w:jc w:val="center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朝阳县统计局</w:t>
      </w:r>
    </w:p>
    <w:p>
      <w:pPr>
        <w:ind w:firstLine="680" w:firstLineChars="20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 xml:space="preserve"> </w:t>
      </w:r>
      <w:bookmarkStart w:id="0" w:name="_GoBack"/>
      <w:bookmarkEnd w:id="0"/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2021年，在县委、县政府的坚强领导下，全县上下坚持稳字当头稳中求进总基调，统筹推进疫情防控和经济社会发展，直面能耗双控等不利因素的瓶颈和薄弱环节，坚定信心，攻坚克难，经济运行保持恢复平稳发展态势，民生保障持续加强。</w:t>
      </w:r>
    </w:p>
    <w:p>
      <w:pPr>
        <w:keepNext/>
        <w:ind w:firstLine="512" w:firstLineChars="150"/>
        <w:jc w:val="left"/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lang w:val="en-US" w:eastAsia="zh-CN" w:bidi="ar-SA"/>
        </w:rPr>
        <w:t>一、经济总量</w:t>
      </w:r>
    </w:p>
    <w:p>
      <w:pPr>
        <w:keepNext/>
        <w:ind w:firstLine="510" w:firstLineChars="150"/>
        <w:jc w:val="left"/>
        <w:rPr>
          <w:rFonts w:asciiTheme="minorEastAsia" w:hAnsiTheme="minorEastAsia" w:eastAsiaTheme="minorEastAsia"/>
          <w:color w:val="000000"/>
          <w:sz w:val="28"/>
          <w:szCs w:val="28"/>
          <w:highlight w:val="yellow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初步核算，全县实现地区生产总值108.2亿元，按可比价格计算，同比增长3.8%。其中，第一产业增加值38.5亿元，同比增长7.1%；第二产业增加值22.9亿元，同比下降4.1%；第三产业增加值46.7亿元，同比增长5.1%，三次产业增加值比重为35.6:21.2:43.2。分季度看，一季度地区生产总值同比增长11.5%，二季度增长6.8%，三季度增长4.9%，四季度增长3.8%。全县人均地区生产总值2.7万元（按常住人口平均）。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drawing>
          <wp:inline distT="0" distB="0" distL="0" distR="0">
            <wp:extent cx="5166995" cy="3920490"/>
            <wp:effectExtent l="0" t="0" r="14605" b="3810"/>
            <wp:docPr id="12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widowControl/>
        <w:ind w:firstLine="420" w:firstLineChars="150"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drawing>
          <wp:inline distT="0" distB="0" distL="0" distR="0">
            <wp:extent cx="4610100" cy="3133090"/>
            <wp:effectExtent l="0" t="0" r="0" b="1016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keepNext/>
        <w:ind w:firstLine="512" w:firstLineChars="150"/>
        <w:jc w:val="left"/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lang w:val="en-US" w:eastAsia="zh-CN" w:bidi="ar-SA"/>
        </w:rPr>
        <w:t xml:space="preserve">二、农  业 </w:t>
      </w:r>
    </w:p>
    <w:p>
      <w:pPr>
        <w:keepNext/>
        <w:ind w:firstLine="510" w:firstLineChars="150"/>
        <w:jc w:val="left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全年粮食产量52.6万吨。主要农作物产量中：玉米产量49.5万吨，谷子产量0.7万吨，高粱产量1.5万吨，豆类产量1758吨。在非粮食作物中，油料产量0.3万吨，同比增长24.6%；蔬菜产量41万吨，同比增长4.8%；水果产量17万吨，同比下降1.3%，其中，大枣产量8.8万吨，同比下降4.2%。</w:t>
      </w:r>
    </w:p>
    <w:p>
      <w:pPr>
        <w:keepNext/>
        <w:ind w:firstLine="510" w:firstLineChars="150"/>
        <w:jc w:val="left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全年畜牧业持续快速发展，牛、羊、禽、猪存栏和出栏均实现稳步增长。牛饲养量达到18.4万头，同比增长6.7%；羊饲养量达到102.2万头，同比增长2.9%；禽饲养量达到 1833.6万只，同比增长17.6%；生猪饲养量160.2万头，同比增长8.8%。肉类总产量14万吨，同比增长10.2%。其中，猪肉产量9.2万吨，同比增长10.5%；牛肉产量1.5万吨，同比增长3.5%；羊肉产量1万吨, 同比增长1.3%；禽肉产量2.3万吨，同比增长18.4%；牛奶产量730吨，同比增长4%；禽蛋产量4.4万吨，同比增长0.4%。</w:t>
      </w:r>
    </w:p>
    <w:p>
      <w:pPr>
        <w:keepNext/>
        <w:ind w:firstLine="510" w:firstLineChars="150"/>
        <w:jc w:val="left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农业科技推广应用规模扩大，生产条件进一步改善。2021年，全县高标准农田建设项目4.8万亩。其中，高效节水灌溉面积3.0万亩。土地平整工程32亩。年末全县农业机械总动力达到39.6万千瓦特。</w:t>
      </w:r>
    </w:p>
    <w:p>
      <w:pPr>
        <w:keepNext/>
        <w:ind w:firstLine="512" w:firstLineChars="150"/>
        <w:jc w:val="left"/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lang w:val="en-US" w:eastAsia="zh-CN" w:bidi="ar-SA"/>
        </w:rPr>
        <w:t>三、工业</w:t>
      </w:r>
    </w:p>
    <w:p>
      <w:pPr>
        <w:keepNext/>
        <w:ind w:firstLine="510" w:firstLineChars="150"/>
        <w:jc w:val="left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全年完成全口径工业总产值69亿元，同比增长23.9%。全县规模以上工业企业52户，其中，产值超亿元的企业14户，超5000万元（含超亿元企业11户）的企业30户。规模以上工业总产值比上年下降0.5%。其中采矿业产值同比增长6.9%；制造业同比下降7%；电力、热力、燃气及水的生产和供应业同比增长35.4%。规模以上工业增加值同比下降18.6%。</w:t>
      </w:r>
    </w:p>
    <w:p>
      <w:pPr>
        <w:keepNext/>
        <w:ind w:firstLine="510" w:firstLineChars="150"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 xml:space="preserve"> 规模以上工业企业业务收入60.1亿元，比上年增长4.9%；利税总额8.2亿元，比上年增长12.7%，其中税金4.8亿元，比上年增长20.5%，利润总额4.4亿元，比上年增长16.3%。</w:t>
      </w:r>
    </w:p>
    <w:p>
      <w:pPr>
        <w:keepNext/>
        <w:ind w:firstLine="512" w:firstLineChars="150"/>
        <w:jc w:val="left"/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lang w:val="en-US" w:eastAsia="zh-CN" w:bidi="ar-SA"/>
        </w:rPr>
        <w:t xml:space="preserve"> 四、建筑业 </w:t>
      </w:r>
    </w:p>
    <w:p>
      <w:pPr>
        <w:keepNext/>
        <w:ind w:firstLine="510" w:firstLineChars="150"/>
        <w:jc w:val="left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具有建筑业资质等级的总承包和专业承包建筑企业户数44户，比同期增长14户。完成建筑业总产值8.6亿元，同比增长12.3%，实际施工的房屋面积56.1万平方米，同比下降12.5%，其中,新开工面积20.3万平方米，同比下降24.5%。</w:t>
      </w:r>
    </w:p>
    <w:p>
      <w:pPr>
        <w:widowControl/>
        <w:ind w:firstLine="683" w:firstLineChars="200"/>
        <w:jc w:val="left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lang w:val="en-US" w:eastAsia="zh-CN" w:bidi="ar-SA"/>
        </w:rPr>
        <w:t>五、固定资产投资　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　</w:t>
      </w:r>
    </w:p>
    <w:p>
      <w:pPr>
        <w:keepNext/>
        <w:ind w:firstLine="510" w:firstLineChars="150"/>
        <w:jc w:val="left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全年固定资产投资比上年增长2.6%。其中：建设项目投资下降5.8%;房地产开发投资同比增长41.6%。</w:t>
      </w:r>
    </w:p>
    <w:p>
      <w:pPr>
        <w:keepNext/>
        <w:ind w:firstLine="510" w:firstLineChars="150"/>
        <w:jc w:val="left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 全年房地产开发投资12.8亿元，同比增长41.6%，其中商品住宅投资12.3亿元，同比增长1.7倍。房地产开发房屋施工面积121.4万平方米，比同比增长4.1%。商品房销售面积9.4万平方米，同比增长84.4%，其中住宅销售面积9.3万平方米，同比增长82.8%。商品房销售额3.2亿元，同比增长64.2%，其中住宅销售额3.2亿元，同比增长60.9%。</w:t>
      </w:r>
    </w:p>
    <w:p>
      <w:pPr>
        <w:widowControl/>
        <w:ind w:firstLine="683" w:firstLineChars="200"/>
        <w:jc w:val="left"/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lang w:val="en-US" w:eastAsia="zh-CN" w:bidi="ar-SA"/>
        </w:rPr>
        <w:t>六、国内贸易和市场物价</w:t>
      </w:r>
    </w:p>
    <w:p>
      <w:pPr>
        <w:keepNext/>
        <w:ind w:firstLine="680" w:firstLineChars="200"/>
        <w:jc w:val="left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社会消费品零售总额实现31.4亿元，同比增长8.7%。</w:t>
      </w:r>
    </w:p>
    <w:p>
      <w:pPr>
        <w:widowControl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drawing>
          <wp:inline distT="0" distB="0" distL="0" distR="0">
            <wp:extent cx="5274310" cy="3076575"/>
            <wp:effectExtent l="0" t="0" r="2540" b="9525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ind w:firstLine="850" w:firstLineChars="25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全年居民消费价格总水平上涨10.6%。分八大类别看，食品烟酒类上涨7.5%；衣着类上涨16.0%；居住类上涨5.2%；生活用品及服务类上涨12.8%；交通和通信类上涨11.3%；教育文化和娱乐类上涨46.6%；医疗保健类下降4.8%；其他用品和服务类上涨6.5%。</w:t>
      </w:r>
    </w:p>
    <w:p>
      <w:pPr>
        <w:widowControl/>
        <w:jc w:val="left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　　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lang w:val="en-US" w:eastAsia="zh-CN" w:bidi="ar-SA"/>
        </w:rPr>
        <w:t>七、对外经济</w:t>
      </w:r>
    </w:p>
    <w:p>
      <w:pPr>
        <w:ind w:firstLine="680" w:firstLineChars="20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全年实际利用外资完成1294万美元，完成计划指标的53.9%；引进省外资金39.02亿元，完成计划指标的115.4%，超额完成全年任务；外贸进出口9437.1万元人民币，完成计划指标的129.3%，超额完成全年任务。</w:t>
      </w:r>
    </w:p>
    <w:p>
      <w:pPr>
        <w:widowControl/>
        <w:ind w:firstLine="683" w:firstLineChars="200"/>
        <w:jc w:val="left"/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lang w:val="en-US" w:eastAsia="zh-CN" w:bidi="ar-SA"/>
        </w:rPr>
        <w:t>八、交通运输、邮电通讯业</w:t>
      </w:r>
    </w:p>
    <w:p>
      <w:pPr>
        <w:ind w:firstLine="700" w:firstLineChars="25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 xml:space="preserve"> </w:t>
      </w: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截止2021年末，全县公路总长度达到3431.7公里（含村道2413.9公里）。全县共有营运车辆2385辆，其中普通营运货车2220辆，班线客车165台。</w:t>
      </w:r>
    </w:p>
    <w:p>
      <w:pPr>
        <w:ind w:firstLine="850" w:firstLineChars="25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 xml:space="preserve">2021年联通完成业务总收入0.9亿元，其中,移动网业务收入0.5亿元，固网业务收入0.4亿元；移动完成全年业务总收入1.2亿元；电信完成全年业务总收入988万元，其中，移动网业务730万元，固网固话业务258万元。邮政业务总量1400.4万件，总收入2043万元。邮件揽收104.2万件，同比增长8%；投递1296.2万件，同比增长60%。 </w:t>
      </w:r>
    </w:p>
    <w:p>
      <w:pPr>
        <w:ind w:firstLine="853" w:firstLineChars="25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lang w:val="en-US" w:eastAsia="zh-CN" w:bidi="ar-SA"/>
        </w:rPr>
        <w:t>九、财政、金融　</w:t>
      </w: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　</w:t>
      </w:r>
    </w:p>
    <w:p>
      <w:pPr>
        <w:ind w:firstLine="850" w:firstLineChars="25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2021年一般公共预算收入7.5 亿元，同比增长5.4%。一般公共预算税收收入5.7亿元，同比增长14.5%。其中增值税2.1亿元，同比增长14.3%；资源税1.0亿元，同比增长19.7%；企业所得税0.5亿元，同比下降47.8%；个人所得税0.1亿元，同比下降16.3%；契税0.3亿元，同比增长45.0%。</w:t>
      </w:r>
    </w:p>
    <w:p>
      <w:pPr>
        <w:ind w:firstLine="850" w:firstLineChars="25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 xml:space="preserve"> </w:t>
      </w:r>
    </w:p>
    <w:p>
      <w:pPr>
        <w:ind w:firstLine="850" w:firstLineChars="25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drawing>
          <wp:inline distT="0" distB="0" distL="0" distR="0">
            <wp:extent cx="4705350" cy="3076575"/>
            <wp:effectExtent l="0" t="0" r="0" b="9525"/>
            <wp:docPr id="3" name="图表 3" title="亿元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ind w:firstLine="850" w:firstLineChars="25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</w:p>
    <w:p>
      <w:pPr>
        <w:ind w:firstLine="850" w:firstLineChars="25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2021年一般公共预算支出34.3亿元，同比下降8.6%。一般公共服务支出3.5亿元，同比下降5.4%；公共安全支出1.2亿元，同比下降5.1%；教育支出6.4亿元，同比增长3.5%；科学技术支出0.01亿元，与上年持平；文化体育与传媒支出0.8亿元，同比下降1.7%；社会保障和就业支出6.5亿元，同比增长9.1%；卫生健康支出2.7亿元，同比增长8.6%；节能环保支出0.2亿元，与上年持平；城乡社区事务支出1.5亿元，同比下降15.7%；农林水事务支出6.0亿元，同比增长1.5%；自然资源气象等事务支出0.2亿元，同比增长2.3%；住房保障支出1.4亿元，同比增长3.1%。</w:t>
      </w:r>
    </w:p>
    <w:p>
      <w:pPr>
        <w:ind w:firstLine="850" w:firstLineChars="25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drawing>
          <wp:inline distT="0" distB="0" distL="0" distR="0">
            <wp:extent cx="4464050" cy="2259330"/>
            <wp:effectExtent l="4445" t="5080" r="8255" b="2159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ind w:firstLine="850" w:firstLineChars="25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 xml:space="preserve">2021年全县主要金融机构各项存款余额155.9亿元，同比增长10.2%，比年初增加14.4亿元。金融机构各项贷款余额64.1亿元，同比下降23.5%，比年初降低19.7亿元。 </w:t>
      </w:r>
    </w:p>
    <w:p>
      <w:pPr>
        <w:ind w:firstLine="853" w:firstLineChars="250"/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lang w:val="en-US" w:eastAsia="zh-CN" w:bidi="ar-SA"/>
        </w:rPr>
        <w:t>十、教育、卫生</w:t>
      </w:r>
    </w:p>
    <w:p>
      <w:pPr>
        <w:ind w:firstLine="850" w:firstLineChars="25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高中阶段教育毛入学率100%，初中毕业生升学率98.7%，小学学龄儿童入学率100%。全县各级各类学校共232所，其中小学110所（含小学教学点33所）；初级中学 24所；九年一贯制学校4所；完全中学1所；高级中学2所；十二年一贯制学校1所；师范进修学校1所；职业中专1所；特殊教育学校1所；幼儿园87所。在校学生54447人，其中小学在校生22680人(其中特教学校109人)；初级中学在校生15569人；高中在校生7755人；职业中专在校生1490人；幼儿园及附设幼儿班学生6953人。</w:t>
      </w:r>
    </w:p>
    <w:p>
      <w:pPr>
        <w:ind w:firstLine="850" w:firstLineChars="25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卫生医疗服务继续改善。2021年末，全县共有医疗卫生单位738家，其中：乡镇卫生院28家，二级医院1家，一级综合医院1家，民营医院3家，中医院1家，村卫生室696家，个体诊所8家，疾控、监督、结防、妇幼保健各1家，卫生计生管理办公室28家。</w:t>
      </w:r>
    </w:p>
    <w:p>
      <w:pPr>
        <w:ind w:firstLine="680" w:firstLineChars="20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实有床位1042张，其中：县级医院404张（含中医院19张），一级综合医院50张，中心卫生院257张，乡镇卫生院211张，康宁医院50张，民营医院60张，妇幼保健中心10张。</w:t>
      </w:r>
    </w:p>
    <w:p>
      <w:pPr>
        <w:ind w:firstLine="680" w:firstLineChars="20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卫生计生人员1712人，其中：执业医师（含助理）1212人，注册护士500人。</w:t>
      </w:r>
    </w:p>
    <w:p>
      <w:pPr>
        <w:ind w:firstLine="683" w:firstLineChars="200"/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lang w:val="en-US" w:eastAsia="zh-CN" w:bidi="ar-SA"/>
        </w:rPr>
        <w:t>十一、人口和社会保障</w:t>
      </w:r>
    </w:p>
    <w:p>
      <w:pPr>
        <w:ind w:firstLine="680" w:firstLineChars="20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2021年末全县总户数为167073户，户籍总人口为53.9万人。 在总人口中男性人口为28.1万人，占总人口的 52.1%；女性人口为 25.8万人，占总人口的47.9%。0-17岁人口9.9万人，占总人口的18.3%；18-34岁人口11.6万人，占总人口的21.6%；35-59岁人口20.2万人，占总人口的37.5%；60岁及以上人口12.2万人，占总人口的22.7%。全年出生人口3016人，死亡人口5827人。</w:t>
      </w:r>
    </w:p>
    <w:p>
      <w:pPr>
        <w:ind w:firstLine="850" w:firstLineChars="25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 xml:space="preserve"> </w:t>
      </w:r>
    </w:p>
    <w:p>
      <w:pPr>
        <w:ind w:firstLine="850" w:firstLineChars="25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</w:p>
    <w:p>
      <w:pPr>
        <w:ind w:firstLine="850" w:firstLineChars="25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</w:p>
    <w:p>
      <w:pPr>
        <w:ind w:firstLine="850" w:firstLineChars="25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 xml:space="preserve">                                             </w:t>
      </w:r>
    </w:p>
    <w:tbl>
      <w:tblPr>
        <w:tblStyle w:val="9"/>
        <w:tblW w:w="71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6"/>
        <w:gridCol w:w="2024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853" w:firstLineChars="250"/>
              <w:rPr>
                <w:rFonts w:hint="eastAsia" w:ascii="仿宋_GB2312" w:hAnsi="ˎ̥" w:eastAsia="仿宋_GB2312" w:cs="Times New Roman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b/>
                <w:bCs/>
                <w:kern w:val="2"/>
                <w:sz w:val="34"/>
                <w:szCs w:val="34"/>
                <w:lang w:val="en-US" w:eastAsia="zh-CN" w:bidi="ar-SA"/>
              </w:rPr>
              <w:t>表1 2021年末人口数及其构成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3586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550" w:firstLineChars="250"/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>指   标</w:t>
            </w:r>
          </w:p>
        </w:tc>
        <w:tc>
          <w:tcPr>
            <w:tcW w:w="2024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>年末数（万人）</w:t>
            </w:r>
          </w:p>
        </w:tc>
        <w:tc>
          <w:tcPr>
            <w:tcW w:w="153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>比重（%）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550" w:firstLineChars="250"/>
              <w:jc w:val="left"/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>全县总人口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50" w:firstLineChars="250"/>
              <w:jc w:val="center"/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>53.9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550" w:firstLineChars="250"/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550" w:firstLineChars="250"/>
              <w:jc w:val="left"/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>其中 ：男性</w:t>
            </w:r>
          </w:p>
        </w:tc>
        <w:tc>
          <w:tcPr>
            <w:tcW w:w="20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50" w:firstLineChars="250"/>
              <w:jc w:val="center"/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>28.1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550" w:firstLineChars="250"/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 xml:space="preserve">52.1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1320" w:firstLineChars="600"/>
              <w:jc w:val="left"/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>女性</w:t>
            </w:r>
          </w:p>
        </w:tc>
        <w:tc>
          <w:tcPr>
            <w:tcW w:w="20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50" w:firstLineChars="250"/>
              <w:jc w:val="center"/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>25.8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550" w:firstLineChars="250"/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 xml:space="preserve">47.9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550" w:firstLineChars="250"/>
              <w:jc w:val="left"/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>其中：0-17岁</w:t>
            </w:r>
          </w:p>
        </w:tc>
        <w:tc>
          <w:tcPr>
            <w:tcW w:w="20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50" w:firstLineChars="250"/>
              <w:jc w:val="center"/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>9.9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550" w:firstLineChars="250"/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 xml:space="preserve">18.3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1210" w:firstLineChars="550"/>
              <w:jc w:val="left"/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>18-34岁</w:t>
            </w:r>
          </w:p>
        </w:tc>
        <w:tc>
          <w:tcPr>
            <w:tcW w:w="20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50" w:firstLineChars="250"/>
              <w:jc w:val="center"/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>11.6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550" w:firstLineChars="250"/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 xml:space="preserve">21.6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1210" w:firstLineChars="550"/>
              <w:jc w:val="left"/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>35-59岁</w:t>
            </w:r>
          </w:p>
        </w:tc>
        <w:tc>
          <w:tcPr>
            <w:tcW w:w="202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50" w:firstLineChars="250"/>
              <w:jc w:val="center"/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>20.2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550" w:firstLineChars="250"/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 xml:space="preserve">37.5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586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1210" w:firstLineChars="550"/>
              <w:jc w:val="left"/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>60岁及以上</w:t>
            </w:r>
          </w:p>
        </w:tc>
        <w:tc>
          <w:tcPr>
            <w:tcW w:w="2024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550" w:firstLineChars="250"/>
              <w:jc w:val="center"/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>12.2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550" w:firstLineChars="250"/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ˎ̥" w:eastAsia="仿宋_GB2312" w:cs="Times New Roman"/>
                <w:kern w:val="2"/>
                <w:sz w:val="22"/>
                <w:szCs w:val="22"/>
                <w:lang w:val="en-US" w:eastAsia="zh-CN" w:bidi="ar-SA"/>
              </w:rPr>
              <w:t xml:space="preserve">22.7 </w:t>
            </w:r>
          </w:p>
        </w:tc>
      </w:tr>
    </w:tbl>
    <w:p>
      <w:pPr>
        <w:ind w:firstLine="850" w:firstLineChars="25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城乡居民收入增加，生活水平继续提高。全年实现农村居民可支配收入16406元，同比增长10.8%。</w:t>
      </w:r>
    </w:p>
    <w:p>
      <w:pPr>
        <w:ind w:firstLine="850" w:firstLineChars="25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年末参加城镇职工基本养老保险人数8.2万人，其中城镇职工基本退休养老保险人数2.4万人，参加城乡居民基本养老保险人数28.8万人。年末参加基本医疗保险人数43.3万人，其中参加城镇职工基本医疗保险人数5.3万人，参加城乡居民基本医疗保险人数38万人。参加失业保险人数2.4万人。全县城镇268户337人和农村12585户24712人得到政府最低生活保障。</w:t>
      </w:r>
    </w:p>
    <w:p>
      <w:pPr>
        <w:ind w:firstLine="853" w:firstLineChars="250"/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b/>
          <w:bCs/>
          <w:kern w:val="2"/>
          <w:sz w:val="34"/>
          <w:szCs w:val="34"/>
          <w:lang w:val="en-US" w:eastAsia="zh-CN" w:bidi="ar-SA"/>
        </w:rPr>
        <w:t>十二、公用事业、环境保护</w:t>
      </w:r>
    </w:p>
    <w:p>
      <w:pPr>
        <w:ind w:firstLine="850" w:firstLineChars="25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随着县城建设力度的深入推进，县城建成区规模不断扩增，县城城区内的基础设施已日益完善；截至目前，县城已建成城区道路31.4公里、道路面积65.5万平方米，路灯959盏，综合管网124.2公里；其中，污水管道26.3公里、雨水管道29.2公里、给水管道达64.7公里、燃气中压管道3.9公里，综合管廊完成启城路干线管廊2.5公里，淑城路1缆线管廊北段约0.8公里。</w:t>
      </w:r>
    </w:p>
    <w:p>
      <w:pPr>
        <w:ind w:firstLine="680" w:firstLineChars="20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>全面开展造林绿化工作，全县共完成造林绿化总面积25.8万亩，完成城市绿化面积25.8万平方米。完成对有害生物防治任务16.1万亩，防治效果显著。</w:t>
      </w:r>
    </w:p>
    <w:p>
      <w:pPr>
        <w:ind w:firstLine="680" w:firstLineChars="20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 xml:space="preserve">全年城市生活垃圾无害化处理率达到100%。城市污水厂日处理能力0.3万吨，城市污水处理率100%。 </w:t>
      </w:r>
      <w:r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  <w:tab/>
      </w:r>
    </w:p>
    <w:p>
      <w:pPr>
        <w:ind w:firstLine="700" w:firstLineChars="250"/>
        <w:rPr>
          <w:rFonts w:hint="eastAsia" w:ascii="仿宋_GB2312" w:hAnsi="ˎ̥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28"/>
          <w:szCs w:val="28"/>
          <w:lang w:val="en-US" w:eastAsia="zh-CN" w:bidi="ar-SA"/>
        </w:rPr>
        <w:t>注：1.本公报中数据均为初步统计数，部分指标数据在年报时可能还有调整，部分数据四舍五入的原因，存在着与分项合计不等的情况。</w:t>
      </w:r>
    </w:p>
    <w:p>
      <w:pPr>
        <w:ind w:firstLine="700" w:firstLineChars="250"/>
        <w:rPr>
          <w:rFonts w:hint="eastAsia" w:ascii="仿宋_GB2312" w:hAnsi="ˎ̥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28"/>
          <w:szCs w:val="28"/>
          <w:lang w:val="en-US" w:eastAsia="zh-CN" w:bidi="ar-SA"/>
        </w:rPr>
        <w:t>2.公报中地区生产总值（GDP）、各产业增加值、人均地区生产总值绝对数按现价计算，增长速度按可比价格计算。</w:t>
      </w:r>
    </w:p>
    <w:p>
      <w:pPr>
        <w:ind w:firstLine="700" w:firstLineChars="250"/>
        <w:rPr>
          <w:rFonts w:hint="eastAsia" w:ascii="仿宋_GB2312" w:hAnsi="ˎ̥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28"/>
          <w:szCs w:val="28"/>
          <w:lang w:val="en-US" w:eastAsia="zh-CN" w:bidi="ar-SA"/>
        </w:rPr>
        <w:t>3.畜牧业数据由农业农村局提供。</w:t>
      </w:r>
    </w:p>
    <w:p>
      <w:pPr>
        <w:ind w:firstLine="700" w:firstLineChars="250"/>
        <w:rPr>
          <w:rFonts w:hint="eastAsia" w:ascii="仿宋_GB2312" w:hAnsi="ˎ̥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28"/>
          <w:szCs w:val="28"/>
          <w:lang w:val="en-US" w:eastAsia="zh-CN" w:bidi="ar-SA"/>
        </w:rPr>
        <w:t>4.规模以上工业企业为年主营业务收入2000万元及以上的工业法人单位；限额以上批发和零售业为年主营业务收入2000万元及以上的批发业、年主营业务收入500万元及以上的零售业法人单位；限额以上住宿和餐饮业为年主营业务收入200万元及以上的住宿和餐饮位；固定资产投资为计划总投资500万元及以上的项目。</w:t>
      </w:r>
    </w:p>
    <w:p>
      <w:pPr>
        <w:ind w:firstLine="700" w:firstLineChars="250"/>
        <w:rPr>
          <w:rFonts w:hint="eastAsia" w:ascii="仿宋_GB2312" w:hAnsi="ˎ̥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28"/>
          <w:szCs w:val="28"/>
          <w:lang w:val="en-US" w:eastAsia="zh-CN" w:bidi="ar-SA"/>
        </w:rPr>
        <w:t>5. 全口径工业数据由朝阳县工信局提供。</w:t>
      </w:r>
    </w:p>
    <w:p>
      <w:pPr>
        <w:ind w:firstLine="700" w:firstLineChars="250"/>
        <w:rPr>
          <w:rFonts w:hint="eastAsia" w:ascii="仿宋_GB2312" w:hAnsi="ˎ̥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28"/>
          <w:szCs w:val="28"/>
          <w:lang w:val="en-US" w:eastAsia="zh-CN" w:bidi="ar-SA"/>
        </w:rPr>
        <w:t>6. 人口数据由朝阳县公安局提供，为户籍人口数据。</w:t>
      </w:r>
    </w:p>
    <w:p>
      <w:pPr>
        <w:ind w:firstLine="700" w:firstLineChars="250"/>
        <w:rPr>
          <w:rFonts w:hint="eastAsia" w:ascii="仿宋_GB2312" w:hAnsi="ˎ̥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28"/>
          <w:szCs w:val="28"/>
          <w:lang w:val="en-US" w:eastAsia="zh-CN" w:bidi="ar-SA"/>
        </w:rPr>
        <w:t>7. 卫生数据由卫生健康局提供。</w:t>
      </w:r>
    </w:p>
    <w:p>
      <w:pPr>
        <w:ind w:firstLine="700" w:firstLineChars="250"/>
        <w:rPr>
          <w:rFonts w:hint="eastAsia" w:ascii="仿宋_GB2312" w:hAnsi="ˎ̥" w:eastAsia="仿宋_GB2312" w:cs="Times New Roman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ˎ̥" w:eastAsia="仿宋_GB2312" w:cs="Times New Roman"/>
          <w:kern w:val="2"/>
          <w:sz w:val="28"/>
          <w:szCs w:val="28"/>
          <w:lang w:val="en-US" w:eastAsia="zh-CN" w:bidi="ar-SA"/>
        </w:rPr>
        <w:t>8. 公用事业数据由住建局提供。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11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RkZDdiYmVjMGQyZjFiMzE4NmM0MDYzOTNhY2IxZDUifQ=="/>
  </w:docVars>
  <w:rsids>
    <w:rsidRoot w:val="00056691"/>
    <w:rsid w:val="00000691"/>
    <w:rsid w:val="00000703"/>
    <w:rsid w:val="0001397E"/>
    <w:rsid w:val="00021174"/>
    <w:rsid w:val="00021909"/>
    <w:rsid w:val="00031497"/>
    <w:rsid w:val="00042ED5"/>
    <w:rsid w:val="00050979"/>
    <w:rsid w:val="00051866"/>
    <w:rsid w:val="00056691"/>
    <w:rsid w:val="000630CF"/>
    <w:rsid w:val="0006671D"/>
    <w:rsid w:val="000712C6"/>
    <w:rsid w:val="00077E58"/>
    <w:rsid w:val="00080736"/>
    <w:rsid w:val="00081AB2"/>
    <w:rsid w:val="00092190"/>
    <w:rsid w:val="000A0C5F"/>
    <w:rsid w:val="000B052D"/>
    <w:rsid w:val="000B3556"/>
    <w:rsid w:val="000B57CE"/>
    <w:rsid w:val="000C197D"/>
    <w:rsid w:val="000C547F"/>
    <w:rsid w:val="000D2065"/>
    <w:rsid w:val="000D59C6"/>
    <w:rsid w:val="000F3FF6"/>
    <w:rsid w:val="000F6AEA"/>
    <w:rsid w:val="001105D1"/>
    <w:rsid w:val="00115570"/>
    <w:rsid w:val="0011642E"/>
    <w:rsid w:val="00131A6D"/>
    <w:rsid w:val="001371CE"/>
    <w:rsid w:val="001405A8"/>
    <w:rsid w:val="00147D0E"/>
    <w:rsid w:val="00150872"/>
    <w:rsid w:val="001714DE"/>
    <w:rsid w:val="00195B00"/>
    <w:rsid w:val="001B3778"/>
    <w:rsid w:val="001B73EF"/>
    <w:rsid w:val="001D1641"/>
    <w:rsid w:val="001D330E"/>
    <w:rsid w:val="001D4AE6"/>
    <w:rsid w:val="001E59B3"/>
    <w:rsid w:val="001E73AF"/>
    <w:rsid w:val="001F2CCD"/>
    <w:rsid w:val="001F54CC"/>
    <w:rsid w:val="001F58FA"/>
    <w:rsid w:val="00200B27"/>
    <w:rsid w:val="00203C5F"/>
    <w:rsid w:val="00213FE2"/>
    <w:rsid w:val="00221E54"/>
    <w:rsid w:val="002659E6"/>
    <w:rsid w:val="0026761C"/>
    <w:rsid w:val="002722A3"/>
    <w:rsid w:val="00273A90"/>
    <w:rsid w:val="00275055"/>
    <w:rsid w:val="00290CC3"/>
    <w:rsid w:val="002A5ABE"/>
    <w:rsid w:val="002B1E16"/>
    <w:rsid w:val="002B3AD2"/>
    <w:rsid w:val="002B4369"/>
    <w:rsid w:val="002D08C2"/>
    <w:rsid w:val="002E4F60"/>
    <w:rsid w:val="002F5EA8"/>
    <w:rsid w:val="003111F4"/>
    <w:rsid w:val="0031508B"/>
    <w:rsid w:val="00317537"/>
    <w:rsid w:val="0032186A"/>
    <w:rsid w:val="00326048"/>
    <w:rsid w:val="003265A4"/>
    <w:rsid w:val="003347BA"/>
    <w:rsid w:val="00335418"/>
    <w:rsid w:val="003369AF"/>
    <w:rsid w:val="00342FA0"/>
    <w:rsid w:val="003457C3"/>
    <w:rsid w:val="00356BFB"/>
    <w:rsid w:val="003615A2"/>
    <w:rsid w:val="00364076"/>
    <w:rsid w:val="003833B5"/>
    <w:rsid w:val="003903CC"/>
    <w:rsid w:val="00393F3C"/>
    <w:rsid w:val="003A231E"/>
    <w:rsid w:val="003D326A"/>
    <w:rsid w:val="003D79F3"/>
    <w:rsid w:val="003E201D"/>
    <w:rsid w:val="003F17E3"/>
    <w:rsid w:val="003F31BA"/>
    <w:rsid w:val="003F491F"/>
    <w:rsid w:val="003F5D90"/>
    <w:rsid w:val="00413AB8"/>
    <w:rsid w:val="00414AC6"/>
    <w:rsid w:val="0042201D"/>
    <w:rsid w:val="00423B2C"/>
    <w:rsid w:val="00443028"/>
    <w:rsid w:val="0044411A"/>
    <w:rsid w:val="00446D65"/>
    <w:rsid w:val="00454DE5"/>
    <w:rsid w:val="00462909"/>
    <w:rsid w:val="00465C78"/>
    <w:rsid w:val="0048333D"/>
    <w:rsid w:val="00487CD1"/>
    <w:rsid w:val="00495A3C"/>
    <w:rsid w:val="004A4300"/>
    <w:rsid w:val="004B007A"/>
    <w:rsid w:val="004B4F41"/>
    <w:rsid w:val="004F2AEE"/>
    <w:rsid w:val="004F5D89"/>
    <w:rsid w:val="00502A89"/>
    <w:rsid w:val="00505358"/>
    <w:rsid w:val="00517B51"/>
    <w:rsid w:val="00531C09"/>
    <w:rsid w:val="00535465"/>
    <w:rsid w:val="00560FAD"/>
    <w:rsid w:val="00576158"/>
    <w:rsid w:val="0058467D"/>
    <w:rsid w:val="00590637"/>
    <w:rsid w:val="00590EF8"/>
    <w:rsid w:val="00595FC6"/>
    <w:rsid w:val="005B7794"/>
    <w:rsid w:val="005D59DE"/>
    <w:rsid w:val="005F6408"/>
    <w:rsid w:val="006060BC"/>
    <w:rsid w:val="00606913"/>
    <w:rsid w:val="00633CBC"/>
    <w:rsid w:val="006621C0"/>
    <w:rsid w:val="006700AA"/>
    <w:rsid w:val="00692B70"/>
    <w:rsid w:val="00695AD5"/>
    <w:rsid w:val="00696F34"/>
    <w:rsid w:val="006A0BC5"/>
    <w:rsid w:val="006A7E1E"/>
    <w:rsid w:val="006C0645"/>
    <w:rsid w:val="006C36E7"/>
    <w:rsid w:val="006C640A"/>
    <w:rsid w:val="006D3B95"/>
    <w:rsid w:val="006D571F"/>
    <w:rsid w:val="006F1F73"/>
    <w:rsid w:val="00714778"/>
    <w:rsid w:val="00720841"/>
    <w:rsid w:val="00720B11"/>
    <w:rsid w:val="00721DFE"/>
    <w:rsid w:val="007233C9"/>
    <w:rsid w:val="0073689B"/>
    <w:rsid w:val="00741210"/>
    <w:rsid w:val="00745165"/>
    <w:rsid w:val="00746F00"/>
    <w:rsid w:val="007554A7"/>
    <w:rsid w:val="00793B14"/>
    <w:rsid w:val="007949CE"/>
    <w:rsid w:val="007B3F51"/>
    <w:rsid w:val="007B446E"/>
    <w:rsid w:val="007C10F0"/>
    <w:rsid w:val="007D79F3"/>
    <w:rsid w:val="007E3ED3"/>
    <w:rsid w:val="007F680F"/>
    <w:rsid w:val="00804FC0"/>
    <w:rsid w:val="0081025F"/>
    <w:rsid w:val="00823E2F"/>
    <w:rsid w:val="008336CF"/>
    <w:rsid w:val="00833F0B"/>
    <w:rsid w:val="008454C9"/>
    <w:rsid w:val="00847E32"/>
    <w:rsid w:val="0086117C"/>
    <w:rsid w:val="00861299"/>
    <w:rsid w:val="00873EA3"/>
    <w:rsid w:val="00892E05"/>
    <w:rsid w:val="008A3750"/>
    <w:rsid w:val="008B1523"/>
    <w:rsid w:val="008C346E"/>
    <w:rsid w:val="008C43C6"/>
    <w:rsid w:val="008C4CE9"/>
    <w:rsid w:val="008E0F5D"/>
    <w:rsid w:val="008E42EA"/>
    <w:rsid w:val="008F0C4A"/>
    <w:rsid w:val="00901836"/>
    <w:rsid w:val="00906185"/>
    <w:rsid w:val="00916383"/>
    <w:rsid w:val="00920B8A"/>
    <w:rsid w:val="009215A6"/>
    <w:rsid w:val="00921DDE"/>
    <w:rsid w:val="0093186E"/>
    <w:rsid w:val="00935029"/>
    <w:rsid w:val="00942B0B"/>
    <w:rsid w:val="009568DF"/>
    <w:rsid w:val="00980CEC"/>
    <w:rsid w:val="00985986"/>
    <w:rsid w:val="00985B65"/>
    <w:rsid w:val="00986D4F"/>
    <w:rsid w:val="00987F1D"/>
    <w:rsid w:val="00990860"/>
    <w:rsid w:val="009B2F69"/>
    <w:rsid w:val="009C5818"/>
    <w:rsid w:val="009E0861"/>
    <w:rsid w:val="009F0358"/>
    <w:rsid w:val="009F53BE"/>
    <w:rsid w:val="009F555C"/>
    <w:rsid w:val="00A1696E"/>
    <w:rsid w:val="00A31EAA"/>
    <w:rsid w:val="00A33107"/>
    <w:rsid w:val="00A65498"/>
    <w:rsid w:val="00A67A50"/>
    <w:rsid w:val="00A7346B"/>
    <w:rsid w:val="00A76BC3"/>
    <w:rsid w:val="00A81EF2"/>
    <w:rsid w:val="00A948BC"/>
    <w:rsid w:val="00A96B97"/>
    <w:rsid w:val="00AB552A"/>
    <w:rsid w:val="00AC3237"/>
    <w:rsid w:val="00AC7B07"/>
    <w:rsid w:val="00AD57F3"/>
    <w:rsid w:val="00AE11D5"/>
    <w:rsid w:val="00AE64F1"/>
    <w:rsid w:val="00AF25F1"/>
    <w:rsid w:val="00B0617C"/>
    <w:rsid w:val="00B1767E"/>
    <w:rsid w:val="00B20109"/>
    <w:rsid w:val="00B214BB"/>
    <w:rsid w:val="00B24AFD"/>
    <w:rsid w:val="00B27FAE"/>
    <w:rsid w:val="00B30C6F"/>
    <w:rsid w:val="00B318A6"/>
    <w:rsid w:val="00B446F5"/>
    <w:rsid w:val="00B509C9"/>
    <w:rsid w:val="00B53196"/>
    <w:rsid w:val="00B57902"/>
    <w:rsid w:val="00B62904"/>
    <w:rsid w:val="00B64197"/>
    <w:rsid w:val="00B81D05"/>
    <w:rsid w:val="00B84DA7"/>
    <w:rsid w:val="00B8719D"/>
    <w:rsid w:val="00BA0BB3"/>
    <w:rsid w:val="00BA4770"/>
    <w:rsid w:val="00BA78B4"/>
    <w:rsid w:val="00BB3084"/>
    <w:rsid w:val="00BC0C47"/>
    <w:rsid w:val="00BC4CFE"/>
    <w:rsid w:val="00BE0B1A"/>
    <w:rsid w:val="00BE653B"/>
    <w:rsid w:val="00BF4927"/>
    <w:rsid w:val="00BF628A"/>
    <w:rsid w:val="00C01B5E"/>
    <w:rsid w:val="00C164E4"/>
    <w:rsid w:val="00C263B3"/>
    <w:rsid w:val="00C4064A"/>
    <w:rsid w:val="00C50DAD"/>
    <w:rsid w:val="00C511F5"/>
    <w:rsid w:val="00C5639F"/>
    <w:rsid w:val="00C65921"/>
    <w:rsid w:val="00C67DB5"/>
    <w:rsid w:val="00C83642"/>
    <w:rsid w:val="00C90425"/>
    <w:rsid w:val="00CB26BD"/>
    <w:rsid w:val="00CB46E0"/>
    <w:rsid w:val="00CC5D30"/>
    <w:rsid w:val="00CF2F4F"/>
    <w:rsid w:val="00D00982"/>
    <w:rsid w:val="00D00C8C"/>
    <w:rsid w:val="00D01165"/>
    <w:rsid w:val="00D0161B"/>
    <w:rsid w:val="00D1135C"/>
    <w:rsid w:val="00D22195"/>
    <w:rsid w:val="00D232C1"/>
    <w:rsid w:val="00D23E1B"/>
    <w:rsid w:val="00D33B0B"/>
    <w:rsid w:val="00D4776D"/>
    <w:rsid w:val="00D74DFA"/>
    <w:rsid w:val="00D8046A"/>
    <w:rsid w:val="00D94DBA"/>
    <w:rsid w:val="00D97296"/>
    <w:rsid w:val="00D97D68"/>
    <w:rsid w:val="00DA0F6A"/>
    <w:rsid w:val="00DB25A7"/>
    <w:rsid w:val="00DC4A8A"/>
    <w:rsid w:val="00DC78CA"/>
    <w:rsid w:val="00DF4828"/>
    <w:rsid w:val="00E00708"/>
    <w:rsid w:val="00E024FB"/>
    <w:rsid w:val="00E0496D"/>
    <w:rsid w:val="00E06D0C"/>
    <w:rsid w:val="00E1174F"/>
    <w:rsid w:val="00E11903"/>
    <w:rsid w:val="00E152F2"/>
    <w:rsid w:val="00E231F4"/>
    <w:rsid w:val="00E350D2"/>
    <w:rsid w:val="00E61D9B"/>
    <w:rsid w:val="00E63434"/>
    <w:rsid w:val="00E711E6"/>
    <w:rsid w:val="00E90A82"/>
    <w:rsid w:val="00E966DC"/>
    <w:rsid w:val="00E96A79"/>
    <w:rsid w:val="00EA078C"/>
    <w:rsid w:val="00EA3A02"/>
    <w:rsid w:val="00EA4705"/>
    <w:rsid w:val="00EB015C"/>
    <w:rsid w:val="00EC7A18"/>
    <w:rsid w:val="00EE45CF"/>
    <w:rsid w:val="00F30615"/>
    <w:rsid w:val="00F3146E"/>
    <w:rsid w:val="00F41FFE"/>
    <w:rsid w:val="00F46895"/>
    <w:rsid w:val="00F57D1D"/>
    <w:rsid w:val="00F71E98"/>
    <w:rsid w:val="00F97010"/>
    <w:rsid w:val="00F97C8F"/>
    <w:rsid w:val="00FB2534"/>
    <w:rsid w:val="00FF6027"/>
    <w:rsid w:val="0488307F"/>
    <w:rsid w:val="04E91053"/>
    <w:rsid w:val="062D21B6"/>
    <w:rsid w:val="067C168D"/>
    <w:rsid w:val="078D4193"/>
    <w:rsid w:val="087562CB"/>
    <w:rsid w:val="09F061FF"/>
    <w:rsid w:val="0A197857"/>
    <w:rsid w:val="0B9455CD"/>
    <w:rsid w:val="0C976211"/>
    <w:rsid w:val="0F6F655C"/>
    <w:rsid w:val="125D0284"/>
    <w:rsid w:val="12B10BF5"/>
    <w:rsid w:val="13C12E46"/>
    <w:rsid w:val="13EA4541"/>
    <w:rsid w:val="149A45F6"/>
    <w:rsid w:val="159F7A47"/>
    <w:rsid w:val="167666D9"/>
    <w:rsid w:val="185E590B"/>
    <w:rsid w:val="188F07E6"/>
    <w:rsid w:val="18CB76C5"/>
    <w:rsid w:val="1A4941F0"/>
    <w:rsid w:val="1B9943AD"/>
    <w:rsid w:val="2172176A"/>
    <w:rsid w:val="255E3809"/>
    <w:rsid w:val="28861086"/>
    <w:rsid w:val="297847F8"/>
    <w:rsid w:val="2B3D36DC"/>
    <w:rsid w:val="2D87266D"/>
    <w:rsid w:val="30CC265B"/>
    <w:rsid w:val="30F72C4A"/>
    <w:rsid w:val="31A20521"/>
    <w:rsid w:val="31B80B17"/>
    <w:rsid w:val="32D96EF3"/>
    <w:rsid w:val="34542B75"/>
    <w:rsid w:val="354C2961"/>
    <w:rsid w:val="361F23BE"/>
    <w:rsid w:val="36A51536"/>
    <w:rsid w:val="39D11E70"/>
    <w:rsid w:val="3A4600A0"/>
    <w:rsid w:val="43FA1B33"/>
    <w:rsid w:val="44587568"/>
    <w:rsid w:val="455719DD"/>
    <w:rsid w:val="46CD1679"/>
    <w:rsid w:val="48362974"/>
    <w:rsid w:val="48511D39"/>
    <w:rsid w:val="48AD35C3"/>
    <w:rsid w:val="4AD47724"/>
    <w:rsid w:val="4C1C646E"/>
    <w:rsid w:val="4CC3365A"/>
    <w:rsid w:val="4D4A6A5C"/>
    <w:rsid w:val="4E8212F5"/>
    <w:rsid w:val="4FE128A6"/>
    <w:rsid w:val="505A3604"/>
    <w:rsid w:val="50AF0AB8"/>
    <w:rsid w:val="513E0E3D"/>
    <w:rsid w:val="51F01873"/>
    <w:rsid w:val="52A40B3A"/>
    <w:rsid w:val="535E69AD"/>
    <w:rsid w:val="543915DE"/>
    <w:rsid w:val="545E128D"/>
    <w:rsid w:val="554A05CF"/>
    <w:rsid w:val="55512169"/>
    <w:rsid w:val="56CE321C"/>
    <w:rsid w:val="57497538"/>
    <w:rsid w:val="589D3075"/>
    <w:rsid w:val="5A2E3E8E"/>
    <w:rsid w:val="5B466FA3"/>
    <w:rsid w:val="5D0702E1"/>
    <w:rsid w:val="5D3946A1"/>
    <w:rsid w:val="5F1431BE"/>
    <w:rsid w:val="5F246543"/>
    <w:rsid w:val="5F6D2724"/>
    <w:rsid w:val="5FC1132F"/>
    <w:rsid w:val="60B67F77"/>
    <w:rsid w:val="613A6556"/>
    <w:rsid w:val="62952155"/>
    <w:rsid w:val="65605F1D"/>
    <w:rsid w:val="677518C7"/>
    <w:rsid w:val="6A484E17"/>
    <w:rsid w:val="6CE56E9F"/>
    <w:rsid w:val="6D2129CE"/>
    <w:rsid w:val="6E7F5FCF"/>
    <w:rsid w:val="75FA4EEC"/>
    <w:rsid w:val="76CC72D3"/>
    <w:rsid w:val="781221E5"/>
    <w:rsid w:val="78C653F2"/>
    <w:rsid w:val="7A08415A"/>
    <w:rsid w:val="7AAB2866"/>
    <w:rsid w:val="7CAE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4"/>
    <w:semiHidden/>
    <w:qFormat/>
    <w:uiPriority w:val="99"/>
    <w:rPr>
      <w:kern w:val="2"/>
      <w:sz w:val="21"/>
      <w:szCs w:val="24"/>
    </w:rPr>
  </w:style>
  <w:style w:type="character" w:customStyle="1" w:styleId="15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3.xml"/><Relationship Id="rId8" Type="http://schemas.openxmlformats.org/officeDocument/2006/relationships/chart" Target="charts/chart2.xml"/><Relationship Id="rId7" Type="http://schemas.openxmlformats.org/officeDocument/2006/relationships/chart" Target="charts/chart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chart" Target="charts/chart5.xml"/><Relationship Id="rId10" Type="http://schemas.openxmlformats.org/officeDocument/2006/relationships/chart" Target="charts/chart4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package" Target="../embeddings/Workbook4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package" Target="../embeddings/Workbook3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package" Target="../embeddings/Workbook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/>
              <a:t>图</a:t>
            </a:r>
            <a:r>
              <a:rPr lang="en-US"/>
              <a:t>1   2021</a:t>
            </a:r>
            <a:r>
              <a:rPr lang="zh-CN"/>
              <a:t>年朝阳县地区生产总值和增速</a:t>
            </a:r>
            <a:endParaRPr lang="zh-CN"/>
          </a:p>
        </c:rich>
      </c:tx>
      <c:layout>
        <c:manualLayout>
          <c:xMode val="edge"/>
          <c:yMode val="edge"/>
          <c:x val="0.158625"/>
          <c:y val="0.038026627107765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91075"/>
          <c:y val="0.132"/>
          <c:w val="0.905175"/>
          <c:h val="0.760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GDP(亿元）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20.7</a:t>
                    </a:r>
                    <a:endParaRPr lang="en-US" altLang="zh-CN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72.8</a:t>
                    </a:r>
                    <a:endParaRPr lang="en-US" altLang="zh-CN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一季度</c:v>
                </c:pt>
                <c:pt idx="1">
                  <c:v>二季度</c:v>
                </c:pt>
                <c:pt idx="2">
                  <c:v>三季度</c:v>
                </c:pt>
                <c:pt idx="3">
                  <c:v>四季度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20.8</c:v>
                </c:pt>
                <c:pt idx="1">
                  <c:v>47.5</c:v>
                </c:pt>
                <c:pt idx="2">
                  <c:v>72.8</c:v>
                </c:pt>
                <c:pt idx="3">
                  <c:v>108.2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axId val="497098848"/>
        <c:axId val="492520688"/>
      </c:barChart>
      <c:lineChart>
        <c:grouping val="standard"/>
        <c:varyColors val="0"/>
        <c:ser>
          <c:idx val="2"/>
          <c:order val="1"/>
          <c:tx>
            <c:strRef>
              <c:f>Sheet1!$C$1</c:f>
              <c:strCache>
                <c:ptCount val="1"/>
                <c:pt idx="0">
                  <c:v>增速（%）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0.0714541043682063"/>
                  <c:y val="-0.011218750717384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11.5%</a:t>
                    </a:r>
                    <a:endParaRPr lang="en-US" altLang="zh-CN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6"/>
                  <c:y val="-0.032263020433246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6.8%</a:t>
                    </a:r>
                    <a:endParaRPr lang="en-US" altLang="zh-CN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0.020740513135658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4.9%</a:t>
                    </a:r>
                    <a:endParaRPr lang="en-US" altLang="zh-CN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39375"/>
                  <c:y val="-0.0092180058380703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3.8%</a:t>
                    </a:r>
                    <a:endParaRPr lang="en-US" altLang="zh-CN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一季度</c:v>
                </c:pt>
                <c:pt idx="1">
                  <c:v>二季度</c:v>
                </c:pt>
                <c:pt idx="2">
                  <c:v>三季度</c:v>
                </c:pt>
                <c:pt idx="3">
                  <c:v>四季度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11.5</c:v>
                </c:pt>
                <c:pt idx="1">
                  <c:v>6.8</c:v>
                </c:pt>
                <c:pt idx="2">
                  <c:v>4.9</c:v>
                </c:pt>
                <c:pt idx="3">
                  <c:v>3.8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497098848"/>
        <c:axId val="492520688"/>
      </c:lineChart>
      <c:catAx>
        <c:axId val="4970988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92520688"/>
        <c:crosses val="autoZero"/>
        <c:auto val="1"/>
        <c:lblAlgn val="ctr"/>
        <c:lblOffset val="100"/>
        <c:noMultiLvlLbl val="0"/>
      </c:catAx>
      <c:valAx>
        <c:axId val="492520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97098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/>
              <a:t>图</a:t>
            </a:r>
            <a:r>
              <a:rPr lang="en-US"/>
              <a:t>2  2021</a:t>
            </a:r>
            <a:r>
              <a:rPr lang="zh-CN"/>
              <a:t>年三次产业增加值占地区生产总值比重</a:t>
            </a:r>
            <a:endParaRPr lang="zh-CN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图1  2020年三次产业增加值占地区生产总值比重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105119721821433"/>
                  <c:y val="-0.061460877761796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CN" altLang="en-US" baseline="0"/>
                      <a:t>第一产业</a:t>
                    </a:r>
                    <a:r>
                      <a:rPr lang="en-US" altLang="zh-CN" baseline="0"/>
                      <a:t>, 35.6%</a:t>
                    </a:r>
                    <a:endParaRPr lang="en-US" altLang="zh-CN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25547161619245"/>
                  <c:y val="-0.0081948270398088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CN" altLang="en-US" baseline="0"/>
                      <a:t>第二产业</a:t>
                    </a:r>
                    <a:r>
                      <a:rPr lang="en-US" altLang="zh-CN" baseline="0"/>
                      <a:t>, 21.2%</a:t>
                    </a:r>
                    <a:endParaRPr lang="zh-CN" alt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824591273550474"/>
                  <c:y val="-0.067960313010409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CN" altLang="en-US" baseline="0"/>
                      <a:t>第三产业</a:t>
                    </a:r>
                    <a:r>
                      <a:rPr lang="en-US" altLang="zh-CN" baseline="0"/>
                      <a:t>,43.2%</a:t>
                    </a:r>
                    <a:endParaRPr lang="zh-CN" alt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第一产业</c:v>
                </c:pt>
                <c:pt idx="1">
                  <c:v>第二产业</c:v>
                </c:pt>
                <c:pt idx="2">
                  <c:v>第三产业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35.6</c:v>
                </c:pt>
                <c:pt idx="1">
                  <c:v>21.2</c:v>
                </c:pt>
                <c:pt idx="2">
                  <c:v>43.2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200" b="1">
                <a:latin typeface="+mn-ea"/>
                <a:ea typeface="+mn-ea"/>
              </a:rPr>
              <a:t>图</a:t>
            </a:r>
            <a:r>
              <a:rPr lang="en-US" altLang="zh-CN" sz="1200" b="1">
                <a:latin typeface="+mn-ea"/>
                <a:ea typeface="+mn-ea"/>
              </a:rPr>
              <a:t>3  2015-2021</a:t>
            </a:r>
            <a:r>
              <a:rPr lang="zh-CN" altLang="en-US" sz="1200" b="1">
                <a:latin typeface="+mn-ea"/>
                <a:ea typeface="+mn-ea"/>
              </a:rPr>
              <a:t>年社会消费品零售总额及增速</a:t>
            </a:r>
            <a:endParaRPr lang="zh-CN" altLang="en-US" sz="1200" b="1">
              <a:latin typeface="+mn-ea"/>
              <a:ea typeface="+mn-ea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454611124488322"/>
          <c:y val="0.161816305469556"/>
          <c:w val="0.892222489766434"/>
          <c:h val="0.75281733746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2015-2020年社会消费品零售总额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25.4</a:t>
                    </a:r>
                    <a:r>
                      <a:rPr lang="zh-CN" altLang="en-US"/>
                      <a:t>亿</a:t>
                    </a:r>
                    <a:endParaRPr lang="zh-CN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25.6</a:t>
                    </a:r>
                    <a:r>
                      <a:rPr lang="zh-CN" altLang="en-US"/>
                      <a:t>亿</a:t>
                    </a:r>
                    <a:endParaRPr lang="zh-CN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24.9</a:t>
                    </a:r>
                    <a:r>
                      <a:rPr lang="zh-CN" altLang="en-US"/>
                      <a:t>亿</a:t>
                    </a:r>
                    <a:endParaRPr lang="zh-CN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25.7</a:t>
                    </a:r>
                    <a:r>
                      <a:rPr lang="zh-CN" altLang="en-US"/>
                      <a:t>亿</a:t>
                    </a:r>
                    <a:endParaRPr lang="zh-CN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27.9</a:t>
                    </a:r>
                    <a:r>
                      <a:rPr lang="zh-CN" altLang="en-US"/>
                      <a:t>亿</a:t>
                    </a:r>
                    <a:endParaRPr lang="zh-CN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28.9</a:t>
                    </a:r>
                    <a:r>
                      <a:rPr lang="zh-CN" altLang="en-US"/>
                      <a:t>亿</a:t>
                    </a:r>
                    <a:endParaRPr lang="zh-CN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31.4亿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  <c:pt idx="5">
                  <c:v>2020年</c:v>
                </c:pt>
                <c:pt idx="6">
                  <c:v>2021年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25.4</c:v>
                </c:pt>
                <c:pt idx="1">
                  <c:v>25.6</c:v>
                </c:pt>
                <c:pt idx="2">
                  <c:v>24.9</c:v>
                </c:pt>
                <c:pt idx="3">
                  <c:v>25.7</c:v>
                </c:pt>
                <c:pt idx="4">
                  <c:v>27.9</c:v>
                </c:pt>
                <c:pt idx="5">
                  <c:v>28.9</c:v>
                </c:pt>
                <c:pt idx="6">
                  <c:v>31.4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axId val="492521472"/>
        <c:axId val="495354200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增速（%）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12.9%</a:t>
                    </a:r>
                    <a:endParaRPr lang="en-US" altLang="zh-CN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0.8%</a:t>
                    </a:r>
                    <a:endParaRPr lang="en-US" altLang="zh-CN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-2.7%</a:t>
                    </a:r>
                    <a:endParaRPr lang="en-US" altLang="zh-CN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3.2%</a:t>
                    </a:r>
                    <a:endParaRPr lang="en-US" altLang="zh-CN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8.6%</a:t>
                    </a:r>
                    <a:endParaRPr lang="en-US" altLang="zh-CN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3.2%</a:t>
                    </a:r>
                    <a:endParaRPr lang="en-US" altLang="zh-CN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8.7%</a:t>
                    </a:r>
                    <a:endParaRPr lang="en-US" altLang="zh-CN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  <c:pt idx="5">
                  <c:v>2020年</c:v>
                </c:pt>
                <c:pt idx="6">
                  <c:v>2021年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12.9</c:v>
                </c:pt>
                <c:pt idx="1">
                  <c:v>0.8</c:v>
                </c:pt>
                <c:pt idx="2">
                  <c:v>-2.7</c:v>
                </c:pt>
                <c:pt idx="3">
                  <c:v>3.2</c:v>
                </c:pt>
                <c:pt idx="4">
                  <c:v>8.6</c:v>
                </c:pt>
                <c:pt idx="5">
                  <c:v>3.2</c:v>
                </c:pt>
                <c:pt idx="6">
                  <c:v>8.7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358796464"/>
        <c:axId val="358796856"/>
      </c:lineChart>
      <c:catAx>
        <c:axId val="49252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95354200"/>
        <c:crosses val="autoZero"/>
        <c:auto val="1"/>
        <c:lblAlgn val="ctr"/>
        <c:lblOffset val="100"/>
        <c:noMultiLvlLbl val="0"/>
      </c:catAx>
      <c:valAx>
        <c:axId val="495354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92521472"/>
        <c:crosses val="autoZero"/>
        <c:crossBetween val="between"/>
      </c:valAx>
      <c:catAx>
        <c:axId val="3587964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58796856"/>
        <c:crosses val="autoZero"/>
        <c:auto val="1"/>
        <c:lblAlgn val="ctr"/>
        <c:lblOffset val="100"/>
        <c:noMultiLvlLbl val="0"/>
      </c:catAx>
      <c:valAx>
        <c:axId val="358796856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58796464"/>
        <c:crosses val="max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zh-CN" altLang="en-US" sz="1200" b="1">
                <a:latin typeface="+mn-ea"/>
                <a:ea typeface="+mn-ea"/>
              </a:rPr>
              <a:t>图</a:t>
            </a:r>
            <a:r>
              <a:rPr lang="en-US" altLang="zh-CN" sz="1200" b="1">
                <a:latin typeface="+mn-ea"/>
                <a:ea typeface="+mn-ea"/>
              </a:rPr>
              <a:t>4</a:t>
            </a:r>
            <a:r>
              <a:rPr lang="zh-CN" altLang="en-US" sz="1200" b="1">
                <a:latin typeface="+mn-ea"/>
                <a:ea typeface="+mn-ea"/>
              </a:rPr>
              <a:t>  </a:t>
            </a:r>
            <a:r>
              <a:rPr lang="en-US" altLang="zh-CN" sz="1200" b="1">
                <a:latin typeface="+mn-ea"/>
                <a:ea typeface="+mn-ea"/>
              </a:rPr>
              <a:t>2015-2021</a:t>
            </a:r>
            <a:r>
              <a:rPr lang="zh-CN" altLang="en-US" sz="1200" b="1">
                <a:latin typeface="+mn-ea"/>
                <a:ea typeface="+mn-ea"/>
              </a:rPr>
              <a:t>年一般公共财政预算收入</a:t>
            </a:r>
            <a:endParaRPr lang="zh-CN" altLang="en-US" sz="1200" b="1">
              <a:latin typeface="+mn-ea"/>
              <a:ea typeface="+mn-ea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图3  2015-2020年地方公共财政预算收入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4.4</a:t>
                    </a:r>
                    <a:r>
                      <a:rPr lang="zh-CN" altLang="en-US"/>
                      <a:t>亿</a:t>
                    </a:r>
                    <a:endParaRPr lang="zh-CN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4.2</a:t>
                    </a:r>
                    <a:r>
                      <a:rPr lang="zh-CN" altLang="en-US"/>
                      <a:t>亿</a:t>
                    </a:r>
                    <a:endParaRPr lang="zh-CN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4.5</a:t>
                    </a:r>
                    <a:r>
                      <a:rPr lang="zh-CN" altLang="en-US"/>
                      <a:t>亿</a:t>
                    </a:r>
                    <a:endParaRPr lang="zh-CN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5.1</a:t>
                    </a:r>
                    <a:r>
                      <a:rPr lang="zh-CN" altLang="en-US"/>
                      <a:t>亿</a:t>
                    </a:r>
                    <a:endParaRPr lang="zh-CN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6.2</a:t>
                    </a:r>
                    <a:r>
                      <a:rPr lang="zh-CN" altLang="en-US"/>
                      <a:t>亿</a:t>
                    </a:r>
                    <a:endParaRPr lang="zh-CN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7.1</a:t>
                    </a:r>
                    <a:r>
                      <a:rPr lang="zh-CN" altLang="en-US"/>
                      <a:t>亿</a:t>
                    </a:r>
                    <a:endParaRPr lang="zh-CN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7.5</a:t>
                    </a:r>
                    <a:r>
                      <a:rPr lang="zh-CN" altLang="en-US"/>
                      <a:t>亿</a:t>
                    </a:r>
                    <a:endParaRPr lang="zh-CN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  <c:pt idx="5">
                  <c:v>2020年</c:v>
                </c:pt>
                <c:pt idx="6">
                  <c:v>2021年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4.4</c:v>
                </c:pt>
                <c:pt idx="1">
                  <c:v>4.2</c:v>
                </c:pt>
                <c:pt idx="2">
                  <c:v>4.5</c:v>
                </c:pt>
                <c:pt idx="3">
                  <c:v>5.2</c:v>
                </c:pt>
                <c:pt idx="4">
                  <c:v>6.2</c:v>
                </c:pt>
                <c:pt idx="5">
                  <c:v>7.1</c:v>
                </c:pt>
                <c:pt idx="6">
                  <c:v>7.5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358797640"/>
        <c:axId val="358798032"/>
      </c:barChart>
      <c:catAx>
        <c:axId val="3587976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58798032"/>
        <c:crossesAt val="0"/>
        <c:auto val="1"/>
        <c:lblAlgn val="ctr"/>
        <c:lblOffset val="100"/>
        <c:noMultiLvlLbl val="0"/>
      </c:catAx>
      <c:valAx>
        <c:axId val="358798032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0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5879764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defTabSz="914400">
              <a:defRPr lang="zh-CN"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ea"/>
                <a:ea typeface="+mn-ea"/>
                <a:cs typeface="+mn-cs"/>
              </a:defRPr>
            </a:pPr>
            <a:r>
              <a:rPr lang="zh-CN" altLang="en-US" b="1"/>
              <a:t>图</a:t>
            </a:r>
            <a:r>
              <a:rPr lang="en-US" altLang="zh-CN" b="1"/>
              <a:t>5</a:t>
            </a:r>
            <a:r>
              <a:rPr lang="zh-CN" altLang="en-US" b="1"/>
              <a:t> </a:t>
            </a:r>
            <a:r>
              <a:rPr lang="en-US" altLang="zh-CN" b="1"/>
              <a:t>2015-2021</a:t>
            </a:r>
            <a:r>
              <a:rPr lang="zh-CN" altLang="en-US" b="1"/>
              <a:t>年一般公共预算支出</a:t>
            </a:r>
            <a:endParaRPr lang="zh-CN" altLang="en-US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图4 2015-2020年地方公共财政预算支出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</c:dPt>
          <c:dLbls>
            <c:dLbl>
              <c:idx val="0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25.2</a:t>
                    </a:r>
                    <a:r>
                      <a:rPr lang="zh-CN" altLang="en-US"/>
                      <a:t>亿</a:t>
                    </a:r>
                    <a:endParaRPr lang="zh-CN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28.6</a:t>
                    </a:r>
                    <a:r>
                      <a:rPr lang="zh-CN" altLang="en-US"/>
                      <a:t>亿</a:t>
                    </a:r>
                    <a:endParaRPr lang="zh-CN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32.3</a:t>
                    </a:r>
                    <a:r>
                      <a:rPr lang="zh-CN" altLang="en-US"/>
                      <a:t>亿</a:t>
                    </a:r>
                    <a:endParaRPr lang="zh-CN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37.2</a:t>
                    </a:r>
                    <a:r>
                      <a:rPr lang="zh-CN" altLang="en-US"/>
                      <a:t>亿</a:t>
                    </a:r>
                    <a:endParaRPr lang="zh-CN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44.5</a:t>
                    </a:r>
                    <a:r>
                      <a:rPr lang="zh-CN" altLang="en-US"/>
                      <a:t>亿</a:t>
                    </a:r>
                    <a:endParaRPr lang="zh-CN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CN" altLang="en-US"/>
                      <a:t> </a:t>
                    </a:r>
                    <a:r>
                      <a:rPr lang="en-US" altLang="zh-CN"/>
                      <a:t>43.3</a:t>
                    </a:r>
                    <a:r>
                      <a:rPr lang="zh-CN" altLang="en-US"/>
                      <a:t>亿</a:t>
                    </a:r>
                    <a:endParaRPr lang="zh-CN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/>
              <c:tx>
                <c:rich>
                  <a:bodyPr rot="0" spcFirstLastPara="1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34.3</a:t>
                    </a:r>
                    <a:r>
                      <a:rPr altLang="en-US"/>
                      <a:t>亿</a:t>
                    </a:r>
                    <a:endParaRPr lang="en-US" altLang="zh-CN"/>
                  </a:p>
                </c:rich>
              </c:tx>
              <c:dLblPos val="outEnd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  <c:pt idx="5">
                  <c:v>2020年</c:v>
                </c:pt>
                <c:pt idx="6">
                  <c:v>2021年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25.8</c:v>
                </c:pt>
                <c:pt idx="1">
                  <c:v>28.6</c:v>
                </c:pt>
                <c:pt idx="2">
                  <c:v>31.5</c:v>
                </c:pt>
                <c:pt idx="3">
                  <c:v>37.2</c:v>
                </c:pt>
                <c:pt idx="4">
                  <c:v>44.4</c:v>
                </c:pt>
                <c:pt idx="5">
                  <c:v>43.3</c:v>
                </c:pt>
                <c:pt idx="6">
                  <c:v>34.3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8798816"/>
        <c:axId val="358799208"/>
      </c:barChart>
      <c:catAx>
        <c:axId val="358798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58799208"/>
        <c:crosses val="autoZero"/>
        <c:auto val="1"/>
        <c:lblAlgn val="ctr"/>
        <c:lblOffset val="100"/>
        <c:noMultiLvlLbl val="0"/>
      </c:catAx>
      <c:valAx>
        <c:axId val="35879920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58798816"/>
        <c:crosses val="autoZero"/>
        <c:crossBetween val="between"/>
        <c:minorUnit val="2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8B2F20-0482-44AA-B003-784CA26C9A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3461</Words>
  <Characters>4308</Characters>
  <Lines>33</Lines>
  <Paragraphs>9</Paragraphs>
  <TotalTime>21</TotalTime>
  <ScaleCrop>false</ScaleCrop>
  <LinksUpToDate>false</LinksUpToDate>
  <CharactersWithSpaces>4397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2022-03-11T01:05:00Z</dcterms:created>
  <dc:creator>AutoBVT</dc:creator>
  <cp:lastModifiedBy>cyxtjj-fg</cp:lastModifiedBy>
  <cp:lastPrinted>2022-04-06T05:55:00Z</cp:lastPrinted>
  <dcterms:modified xsi:type="dcterms:W3CDTF">2022-05-17T02:30:57Z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6230CD3FDAD14619A5905F93D8B86616</vt:lpwstr>
  </property>
</Properties>
</file>