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rFonts w:hint="eastAsia" w:ascii="方正小标宋简体" w:hAnsi="方正小标宋简体" w:eastAsia="方正小标宋简体" w:cs="方正小标宋简体"/>
          <w:kern w:val="0"/>
          <w:sz w:val="44"/>
          <w:szCs w:val="44"/>
          <w:lang w:val="en-US" w:eastAsia="zh-CN" w:bidi="ar"/>
        </w:rPr>
      </w:pPr>
      <w:permStart w:id="0" w:edGrp="everyone"/>
      <w:permEnd w:id="0"/>
      <w:r>
        <w:rPr>
          <w:rFonts w:hint="eastAsia" w:ascii="方正小标宋简体" w:hAnsi="方正小标宋简体" w:eastAsia="方正小标宋简体" w:cs="方正小标宋简体"/>
          <w:kern w:val="0"/>
          <w:sz w:val="44"/>
          <w:szCs w:val="44"/>
          <w:lang w:val="en-US" w:eastAsia="zh-CN" w:bidi="ar"/>
        </w:rPr>
        <w:t>建平县2021年国民经济和社会发展</w:t>
      </w:r>
    </w:p>
    <w:p>
      <w:pPr>
        <w:keepNext w:val="0"/>
        <w:keepLines w:val="0"/>
        <w:widowControl/>
        <w:suppressLineNumbers w:val="0"/>
        <w:pBdr>
          <w:top w:val="none" w:color="auto" w:sz="0" w:space="0"/>
          <w:left w:val="none" w:color="auto" w:sz="0" w:space="0"/>
          <w:bottom w:val="none" w:color="auto" w:sz="0" w:space="0"/>
          <w:right w:val="none" w:color="auto" w:sz="0" w:space="0"/>
        </w:pBdr>
        <w:spacing w:line="60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
        </w:rPr>
        <w:t>统计公报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jc w:val="center"/>
        <w:rPr>
          <w:rFonts w:hint="eastAsia" w:ascii="仿宋_GB2312" w:hAnsi="仿宋_GB2312" w:eastAsia="仿宋_GB2312" w:cs="仿宋_GB2312"/>
          <w:i w:val="0"/>
          <w:iCs w:val="0"/>
          <w:caps w:val="0"/>
          <w:color w:val="333333"/>
          <w:spacing w:val="0"/>
          <w:sz w:val="34"/>
          <w:szCs w:val="34"/>
        </w:rPr>
      </w:pPr>
      <w:r>
        <w:rPr>
          <w:rStyle w:val="7"/>
          <w:rFonts w:hint="eastAsia" w:ascii="仿宋_GB2312" w:hAnsi="仿宋_GB2312" w:eastAsia="仿宋_GB2312" w:cs="仿宋_GB2312"/>
          <w:i w:val="0"/>
          <w:iCs w:val="0"/>
          <w:caps w:val="0"/>
          <w:color w:val="333333"/>
          <w:spacing w:val="0"/>
          <w:sz w:val="34"/>
          <w:szCs w:val="34"/>
          <w:shd w:val="clear" w:fill="FFFFFF"/>
          <w:lang w:eastAsia="zh-CN"/>
        </w:rPr>
        <w:t>建平县</w:t>
      </w:r>
      <w:r>
        <w:rPr>
          <w:rStyle w:val="7"/>
          <w:rFonts w:hint="eastAsia" w:ascii="仿宋_GB2312" w:hAnsi="仿宋_GB2312" w:eastAsia="仿宋_GB2312" w:cs="仿宋_GB2312"/>
          <w:i w:val="0"/>
          <w:iCs w:val="0"/>
          <w:caps w:val="0"/>
          <w:color w:val="333333"/>
          <w:spacing w:val="0"/>
          <w:sz w:val="34"/>
          <w:szCs w:val="34"/>
          <w:shd w:val="clear" w:fill="FFFFFF"/>
        </w:rPr>
        <w:t>统计局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jc w:val="center"/>
        <w:rPr>
          <w:rFonts w:hint="eastAsia" w:ascii="仿宋_GB2312" w:hAnsi="仿宋_GB2312" w:eastAsia="仿宋_GB2312" w:cs="仿宋_GB2312"/>
          <w:i w:val="0"/>
          <w:iCs w:val="0"/>
          <w:caps w:val="0"/>
          <w:color w:val="333333"/>
          <w:spacing w:val="0"/>
          <w:sz w:val="34"/>
          <w:szCs w:val="34"/>
        </w:rPr>
      </w:pPr>
      <w:r>
        <w:rPr>
          <w:rStyle w:val="7"/>
          <w:rFonts w:hint="eastAsia" w:ascii="仿宋_GB2312" w:hAnsi="仿宋_GB2312" w:eastAsia="仿宋_GB2312" w:cs="仿宋_GB2312"/>
          <w:i w:val="0"/>
          <w:iCs w:val="0"/>
          <w:caps w:val="0"/>
          <w:color w:val="333333"/>
          <w:spacing w:val="0"/>
          <w:sz w:val="34"/>
          <w:szCs w:val="34"/>
          <w:shd w:val="clear" w:fill="FFFFFF"/>
        </w:rPr>
        <w:t>202</w:t>
      </w:r>
      <w:r>
        <w:rPr>
          <w:rStyle w:val="7"/>
          <w:rFonts w:hint="eastAsia" w:ascii="仿宋_GB2312" w:hAnsi="仿宋_GB2312" w:eastAsia="仿宋_GB2312" w:cs="仿宋_GB2312"/>
          <w:i w:val="0"/>
          <w:iCs w:val="0"/>
          <w:caps w:val="0"/>
          <w:color w:val="333333"/>
          <w:spacing w:val="0"/>
          <w:sz w:val="34"/>
          <w:szCs w:val="34"/>
          <w:shd w:val="clear" w:fill="FFFFFF"/>
          <w:lang w:val="en-US"/>
        </w:rPr>
        <w:t>2</w:t>
      </w:r>
      <w:r>
        <w:rPr>
          <w:rStyle w:val="7"/>
          <w:rFonts w:hint="eastAsia" w:ascii="仿宋_GB2312" w:hAnsi="仿宋_GB2312" w:eastAsia="仿宋_GB2312" w:cs="仿宋_GB2312"/>
          <w:i w:val="0"/>
          <w:iCs w:val="0"/>
          <w:caps w:val="0"/>
          <w:color w:val="333333"/>
          <w:spacing w:val="0"/>
          <w:sz w:val="34"/>
          <w:szCs w:val="34"/>
          <w:shd w:val="clear" w:fill="FFFFFF"/>
        </w:rPr>
        <w:t>年</w:t>
      </w:r>
      <w:r>
        <w:rPr>
          <w:rStyle w:val="7"/>
          <w:rFonts w:hint="eastAsia" w:ascii="仿宋_GB2312" w:hAnsi="仿宋_GB2312" w:eastAsia="仿宋_GB2312" w:cs="仿宋_GB2312"/>
          <w:i w:val="0"/>
          <w:iCs w:val="0"/>
          <w:caps w:val="0"/>
          <w:color w:val="333333"/>
          <w:spacing w:val="0"/>
          <w:sz w:val="34"/>
          <w:szCs w:val="34"/>
          <w:shd w:val="clear" w:fill="FFFFFF"/>
          <w:lang w:val="en-US"/>
        </w:rPr>
        <w:t>4</w:t>
      </w:r>
      <w:r>
        <w:rPr>
          <w:rStyle w:val="7"/>
          <w:rFonts w:hint="eastAsia" w:ascii="仿宋_GB2312" w:hAnsi="仿宋_GB2312" w:eastAsia="仿宋_GB2312" w:cs="仿宋_GB2312"/>
          <w:i w:val="0"/>
          <w:iCs w:val="0"/>
          <w:caps w:val="0"/>
          <w:color w:val="333333"/>
          <w:spacing w:val="0"/>
          <w:sz w:val="34"/>
          <w:szCs w:val="34"/>
          <w:shd w:val="clear" w:fill="FFFFFF"/>
        </w:rPr>
        <w:t>月</w:t>
      </w:r>
      <w:r>
        <w:rPr>
          <w:rStyle w:val="7"/>
          <w:rFonts w:hint="eastAsia" w:ascii="仿宋_GB2312" w:hAnsi="仿宋_GB2312" w:eastAsia="仿宋_GB2312" w:cs="仿宋_GB2312"/>
          <w:i w:val="0"/>
          <w:iCs w:val="0"/>
          <w:caps w:val="0"/>
          <w:color w:val="333333"/>
          <w:spacing w:val="0"/>
          <w:sz w:val="34"/>
          <w:szCs w:val="34"/>
          <w:shd w:val="clear" w:fill="FFFFFF"/>
          <w:lang w:val="en-US"/>
        </w:rPr>
        <w:t>14</w:t>
      </w:r>
      <w:r>
        <w:rPr>
          <w:rStyle w:val="7"/>
          <w:rFonts w:hint="eastAsia" w:ascii="仿宋_GB2312" w:hAnsi="仿宋_GB2312" w:eastAsia="仿宋_GB2312" w:cs="仿宋_GB2312"/>
          <w:i w:val="0"/>
          <w:iCs w:val="0"/>
          <w:caps w:val="0"/>
          <w:color w:val="333333"/>
          <w:spacing w:val="0"/>
          <w:sz w:val="34"/>
          <w:szCs w:val="34"/>
          <w:shd w:val="clear" w:fill="FFFFFF"/>
        </w:rPr>
        <w:t>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2021年，全县上下在以习近平同志为核心的党中央坚强领导下，按照县委、县政府工作部署，坚持以习近平新时代中国特色社会主义思想为指导，全面贯彻落实党的十九大和十九届历次全会精神，统筹推进新冠肺炎疫情防控和经济社会发展，坚持稳中求进工作总基调，扎实做好“六稳”工作，全面落实“六保”任务，坚持依法统计，笃定高质量发展不动摇，</w:t>
      </w:r>
      <w:r>
        <w:rPr>
          <w:rFonts w:hint="eastAsia" w:ascii="仿宋_GB2312" w:hAnsi="仿宋_GB2312" w:eastAsia="仿宋_GB2312" w:cs="仿宋_GB2312"/>
          <w:i w:val="0"/>
          <w:iCs w:val="0"/>
          <w:caps w:val="0"/>
          <w:color w:val="333333"/>
          <w:spacing w:val="0"/>
          <w:sz w:val="34"/>
          <w:szCs w:val="34"/>
          <w:highlight w:val="none"/>
          <w:shd w:val="clear" w:fill="FFFFFF"/>
        </w:rPr>
        <w:t>各项社会事业不断进步，民生福祉持续改善。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一、经济总量</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初步核算，全年地区生产总值</w:t>
      </w:r>
      <w:r>
        <w:rPr>
          <w:rFonts w:hint="eastAsia" w:ascii="仿宋_GB2312" w:hAnsi="仿宋_GB2312" w:eastAsia="仿宋_GB2312" w:cs="仿宋_GB2312"/>
          <w:i w:val="0"/>
          <w:iCs w:val="0"/>
          <w:caps w:val="0"/>
          <w:color w:val="333333"/>
          <w:spacing w:val="0"/>
          <w:sz w:val="34"/>
          <w:szCs w:val="34"/>
          <w:highlight w:val="none"/>
          <w:shd w:val="clear" w:fill="FFFFFF"/>
          <w:lang w:val="en-US"/>
        </w:rPr>
        <w:t>128.1</w:t>
      </w:r>
      <w:r>
        <w:rPr>
          <w:rFonts w:hint="eastAsia" w:ascii="仿宋_GB2312" w:hAnsi="仿宋_GB2312" w:eastAsia="仿宋_GB2312" w:cs="仿宋_GB2312"/>
          <w:i w:val="0"/>
          <w:iCs w:val="0"/>
          <w:caps w:val="0"/>
          <w:color w:val="333333"/>
          <w:spacing w:val="0"/>
          <w:sz w:val="34"/>
          <w:szCs w:val="34"/>
          <w:highlight w:val="none"/>
          <w:shd w:val="clear" w:fill="FFFFFF"/>
        </w:rPr>
        <w:t>亿元，比上年增长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6.9</w:t>
      </w:r>
      <w:r>
        <w:rPr>
          <w:rFonts w:hint="eastAsia" w:ascii="仿宋_GB2312" w:hAnsi="仿宋_GB2312" w:eastAsia="仿宋_GB2312" w:cs="仿宋_GB2312"/>
          <w:i w:val="0"/>
          <w:iCs w:val="0"/>
          <w:caps w:val="0"/>
          <w:color w:val="333333"/>
          <w:spacing w:val="0"/>
          <w:sz w:val="34"/>
          <w:szCs w:val="34"/>
          <w:highlight w:val="none"/>
          <w:shd w:val="clear" w:fill="FFFFFF"/>
        </w:rPr>
        <w:t>%。其中，第一产业增加值</w:t>
      </w:r>
      <w:r>
        <w:rPr>
          <w:rFonts w:hint="eastAsia" w:ascii="仿宋_GB2312" w:hAnsi="仿宋_GB2312" w:eastAsia="仿宋_GB2312" w:cs="仿宋_GB2312"/>
          <w:i w:val="0"/>
          <w:iCs w:val="0"/>
          <w:caps w:val="0"/>
          <w:color w:val="333333"/>
          <w:spacing w:val="0"/>
          <w:sz w:val="34"/>
          <w:szCs w:val="34"/>
          <w:highlight w:val="none"/>
          <w:shd w:val="clear" w:fill="FFFFFF"/>
          <w:lang w:val="en-US"/>
        </w:rPr>
        <w:t>38.4</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7.1</w:t>
      </w:r>
      <w:r>
        <w:rPr>
          <w:rFonts w:hint="eastAsia" w:ascii="仿宋_GB2312" w:hAnsi="仿宋_GB2312" w:eastAsia="仿宋_GB2312" w:cs="仿宋_GB2312"/>
          <w:i w:val="0"/>
          <w:iCs w:val="0"/>
          <w:caps w:val="0"/>
          <w:color w:val="333333"/>
          <w:spacing w:val="0"/>
          <w:sz w:val="34"/>
          <w:szCs w:val="34"/>
          <w:highlight w:val="none"/>
          <w:shd w:val="clear" w:fill="FFFFFF"/>
        </w:rPr>
        <w:t>%；第二产业增加值</w:t>
      </w:r>
      <w:r>
        <w:rPr>
          <w:rFonts w:hint="eastAsia" w:ascii="仿宋_GB2312" w:hAnsi="仿宋_GB2312" w:eastAsia="仿宋_GB2312" w:cs="仿宋_GB2312"/>
          <w:i w:val="0"/>
          <w:iCs w:val="0"/>
          <w:caps w:val="0"/>
          <w:color w:val="333333"/>
          <w:spacing w:val="0"/>
          <w:sz w:val="34"/>
          <w:szCs w:val="34"/>
          <w:highlight w:val="none"/>
          <w:shd w:val="clear" w:fill="FFFFFF"/>
          <w:lang w:val="en-US"/>
        </w:rPr>
        <w:t>31.5</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7.3</w:t>
      </w:r>
      <w:r>
        <w:rPr>
          <w:rFonts w:hint="eastAsia" w:ascii="仿宋_GB2312" w:hAnsi="仿宋_GB2312" w:eastAsia="仿宋_GB2312" w:cs="仿宋_GB2312"/>
          <w:i w:val="0"/>
          <w:iCs w:val="0"/>
          <w:caps w:val="0"/>
          <w:color w:val="333333"/>
          <w:spacing w:val="0"/>
          <w:sz w:val="34"/>
          <w:szCs w:val="34"/>
          <w:highlight w:val="none"/>
          <w:shd w:val="clear" w:fill="FFFFFF"/>
        </w:rPr>
        <w:t>%；第三产业增加值</w:t>
      </w:r>
      <w:r>
        <w:rPr>
          <w:rFonts w:hint="eastAsia" w:ascii="仿宋_GB2312" w:hAnsi="仿宋_GB2312" w:eastAsia="仿宋_GB2312" w:cs="仿宋_GB2312"/>
          <w:i w:val="0"/>
          <w:iCs w:val="0"/>
          <w:caps w:val="0"/>
          <w:color w:val="333333"/>
          <w:spacing w:val="0"/>
          <w:sz w:val="34"/>
          <w:szCs w:val="34"/>
          <w:highlight w:val="none"/>
          <w:shd w:val="clear" w:fill="FFFFFF"/>
          <w:lang w:val="en-US"/>
        </w:rPr>
        <w:t>58.2</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6.5</w:t>
      </w:r>
      <w:r>
        <w:rPr>
          <w:rFonts w:hint="eastAsia" w:ascii="仿宋_GB2312" w:hAnsi="仿宋_GB2312" w:eastAsia="仿宋_GB2312" w:cs="仿宋_GB2312"/>
          <w:i w:val="0"/>
          <w:iCs w:val="0"/>
          <w:caps w:val="0"/>
          <w:color w:val="333333"/>
          <w:spacing w:val="0"/>
          <w:sz w:val="34"/>
          <w:szCs w:val="34"/>
          <w:highlight w:val="none"/>
          <w:shd w:val="clear" w:fill="FFFFFF"/>
        </w:rPr>
        <w:t>%。三次产业增加值比重为</w:t>
      </w:r>
      <w:r>
        <w:rPr>
          <w:rFonts w:hint="eastAsia" w:ascii="仿宋_GB2312" w:hAnsi="仿宋_GB2312" w:eastAsia="仿宋_GB2312" w:cs="仿宋_GB2312"/>
          <w:i w:val="0"/>
          <w:iCs w:val="0"/>
          <w:caps w:val="0"/>
          <w:color w:val="333333"/>
          <w:spacing w:val="0"/>
          <w:sz w:val="34"/>
          <w:szCs w:val="34"/>
          <w:highlight w:val="none"/>
          <w:shd w:val="clear" w:fill="FFFFFF"/>
          <w:lang w:val="en-US"/>
        </w:rPr>
        <w:t>30.0</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val="en-US"/>
        </w:rPr>
        <w:t>24.6</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val="en-US"/>
        </w:rPr>
        <w:t>45.4</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二、农 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全年粮食作物播种面积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155.5</w:t>
      </w:r>
      <w:r>
        <w:rPr>
          <w:rFonts w:hint="eastAsia" w:ascii="仿宋_GB2312" w:hAnsi="仿宋_GB2312" w:eastAsia="仿宋_GB2312" w:cs="仿宋_GB2312"/>
          <w:i w:val="0"/>
          <w:iCs w:val="0"/>
          <w:caps w:val="0"/>
          <w:color w:val="333333"/>
          <w:spacing w:val="0"/>
          <w:sz w:val="34"/>
          <w:szCs w:val="34"/>
          <w:highlight w:val="none"/>
          <w:shd w:val="clear" w:fill="FFFFFF"/>
        </w:rPr>
        <w:t>千公顷。其中，玉米播种面积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88.8</w:t>
      </w:r>
      <w:r>
        <w:rPr>
          <w:rFonts w:hint="eastAsia" w:ascii="仿宋_GB2312" w:hAnsi="仿宋_GB2312" w:eastAsia="仿宋_GB2312" w:cs="仿宋_GB2312"/>
          <w:i w:val="0"/>
          <w:iCs w:val="0"/>
          <w:caps w:val="0"/>
          <w:color w:val="333333"/>
          <w:spacing w:val="0"/>
          <w:sz w:val="34"/>
          <w:szCs w:val="34"/>
          <w:highlight w:val="none"/>
          <w:shd w:val="clear" w:fill="FFFFFF"/>
        </w:rPr>
        <w:t>千公顷。全年经济作物播种面积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7.1</w:t>
      </w:r>
      <w:r>
        <w:rPr>
          <w:rFonts w:hint="eastAsia" w:ascii="仿宋_GB2312" w:hAnsi="仿宋_GB2312" w:eastAsia="仿宋_GB2312" w:cs="仿宋_GB2312"/>
          <w:i w:val="0"/>
          <w:iCs w:val="0"/>
          <w:caps w:val="0"/>
          <w:color w:val="333333"/>
          <w:spacing w:val="0"/>
          <w:sz w:val="34"/>
          <w:szCs w:val="34"/>
          <w:highlight w:val="none"/>
          <w:shd w:val="clear" w:fill="FFFFFF"/>
        </w:rPr>
        <w:t>千公顷。其中，油料作物播种面积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0.7</w:t>
      </w:r>
      <w:r>
        <w:rPr>
          <w:rFonts w:hint="eastAsia" w:ascii="仿宋_GB2312" w:hAnsi="仿宋_GB2312" w:eastAsia="仿宋_GB2312" w:cs="仿宋_GB2312"/>
          <w:i w:val="0"/>
          <w:iCs w:val="0"/>
          <w:caps w:val="0"/>
          <w:color w:val="333333"/>
          <w:spacing w:val="0"/>
          <w:sz w:val="34"/>
          <w:szCs w:val="34"/>
          <w:highlight w:val="none"/>
          <w:shd w:val="clear" w:fill="FFFFFF"/>
        </w:rPr>
        <w:t>千公顷，蔬菜及食用菌播种面积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4.6</w:t>
      </w:r>
      <w:r>
        <w:rPr>
          <w:rFonts w:hint="eastAsia" w:ascii="仿宋_GB2312" w:hAnsi="仿宋_GB2312" w:eastAsia="仿宋_GB2312" w:cs="仿宋_GB2312"/>
          <w:i w:val="0"/>
          <w:iCs w:val="0"/>
          <w:caps w:val="0"/>
          <w:color w:val="333333"/>
          <w:spacing w:val="0"/>
          <w:sz w:val="34"/>
          <w:szCs w:val="34"/>
          <w:highlight w:val="none"/>
          <w:shd w:val="clear" w:fill="FFFFFF"/>
        </w:rPr>
        <w:t>千公顷。全年果园面积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2.0</w:t>
      </w:r>
      <w:r>
        <w:rPr>
          <w:rFonts w:hint="eastAsia" w:ascii="仿宋_GB2312" w:hAnsi="仿宋_GB2312" w:eastAsia="仿宋_GB2312" w:cs="仿宋_GB2312"/>
          <w:i w:val="0"/>
          <w:iCs w:val="0"/>
          <w:caps w:val="0"/>
          <w:color w:val="333333"/>
          <w:spacing w:val="0"/>
          <w:sz w:val="34"/>
          <w:szCs w:val="34"/>
          <w:highlight w:val="none"/>
          <w:shd w:val="clear" w:fill="FFFFFF"/>
        </w:rPr>
        <w:t>千公顷。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全年粮食总产量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105.9</w:t>
      </w:r>
      <w:r>
        <w:rPr>
          <w:rFonts w:hint="eastAsia" w:ascii="仿宋_GB2312" w:hAnsi="仿宋_GB2312" w:eastAsia="仿宋_GB2312" w:cs="仿宋_GB2312"/>
          <w:i w:val="0"/>
          <w:iCs w:val="0"/>
          <w:caps w:val="0"/>
          <w:color w:val="333333"/>
          <w:spacing w:val="0"/>
          <w:sz w:val="34"/>
          <w:szCs w:val="34"/>
          <w:highlight w:val="none"/>
          <w:shd w:val="clear" w:fill="FFFFFF"/>
        </w:rPr>
        <w:t>万吨。其中，玉米产量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79.2</w:t>
      </w:r>
      <w:r>
        <w:rPr>
          <w:rFonts w:hint="eastAsia" w:ascii="仿宋_GB2312" w:hAnsi="仿宋_GB2312" w:eastAsia="仿宋_GB2312" w:cs="仿宋_GB2312"/>
          <w:i w:val="0"/>
          <w:iCs w:val="0"/>
          <w:caps w:val="0"/>
          <w:color w:val="333333"/>
          <w:spacing w:val="0"/>
          <w:sz w:val="34"/>
          <w:szCs w:val="34"/>
          <w:highlight w:val="none"/>
          <w:shd w:val="clear" w:fill="FFFFFF"/>
        </w:rPr>
        <w:t>万吨。全年油料产量0.</w:t>
      </w:r>
      <w:r>
        <w:rPr>
          <w:rFonts w:hint="eastAsia" w:ascii="仿宋_GB2312" w:hAnsi="仿宋_GB2312" w:eastAsia="仿宋_GB2312" w:cs="仿宋_GB2312"/>
          <w:i w:val="0"/>
          <w:iCs w:val="0"/>
          <w:caps w:val="0"/>
          <w:color w:val="333333"/>
          <w:spacing w:val="0"/>
          <w:sz w:val="34"/>
          <w:szCs w:val="34"/>
          <w:highlight w:val="none"/>
          <w:shd w:val="clear" w:fill="FFFFFF"/>
          <w:lang w:val="en-US"/>
        </w:rPr>
        <w:t>2</w:t>
      </w:r>
      <w:r>
        <w:rPr>
          <w:rFonts w:hint="eastAsia" w:ascii="仿宋_GB2312" w:hAnsi="仿宋_GB2312" w:eastAsia="仿宋_GB2312" w:cs="仿宋_GB2312"/>
          <w:i w:val="0"/>
          <w:iCs w:val="0"/>
          <w:caps w:val="0"/>
          <w:color w:val="333333"/>
          <w:spacing w:val="0"/>
          <w:sz w:val="34"/>
          <w:szCs w:val="34"/>
          <w:highlight w:val="none"/>
          <w:shd w:val="clear" w:fill="FFFFFF"/>
        </w:rPr>
        <w:t>万吨，蔬菜及食用菌产量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29.2</w:t>
      </w:r>
      <w:r>
        <w:rPr>
          <w:rFonts w:hint="eastAsia" w:ascii="仿宋_GB2312" w:hAnsi="仿宋_GB2312" w:eastAsia="仿宋_GB2312" w:cs="仿宋_GB2312"/>
          <w:i w:val="0"/>
          <w:iCs w:val="0"/>
          <w:caps w:val="0"/>
          <w:color w:val="333333"/>
          <w:spacing w:val="0"/>
          <w:sz w:val="34"/>
          <w:szCs w:val="34"/>
          <w:highlight w:val="none"/>
          <w:shd w:val="clear" w:fill="FFFFFF"/>
        </w:rPr>
        <w:t>万吨。全年水果产量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5.6</w:t>
      </w:r>
      <w:r>
        <w:rPr>
          <w:rFonts w:hint="eastAsia" w:ascii="仿宋_GB2312" w:hAnsi="仿宋_GB2312" w:eastAsia="仿宋_GB2312" w:cs="仿宋_GB2312"/>
          <w:i w:val="0"/>
          <w:iCs w:val="0"/>
          <w:caps w:val="0"/>
          <w:color w:val="333333"/>
          <w:spacing w:val="0"/>
          <w:sz w:val="34"/>
          <w:szCs w:val="34"/>
          <w:highlight w:val="none"/>
          <w:shd w:val="clear" w:fill="FFFFFF"/>
        </w:rPr>
        <w:t>万吨。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sz w:val="34"/>
          <w:szCs w:val="34"/>
        </w:rPr>
        <w:drawing>
          <wp:inline distT="0" distB="0" distL="114300" distR="114300">
            <wp:extent cx="5269865" cy="3172460"/>
            <wp:effectExtent l="0" t="0" r="6985" b="8890"/>
            <wp:docPr id="2437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全年造林总面积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4</w:t>
      </w:r>
      <w:r>
        <w:rPr>
          <w:rFonts w:hint="eastAsia" w:ascii="仿宋_GB2312" w:hAnsi="仿宋_GB2312" w:eastAsia="仿宋_GB2312" w:cs="仿宋_GB2312"/>
          <w:i w:val="0"/>
          <w:iCs w:val="0"/>
          <w:caps w:val="0"/>
          <w:color w:val="333333"/>
          <w:spacing w:val="0"/>
          <w:sz w:val="34"/>
          <w:szCs w:val="34"/>
          <w:highlight w:val="none"/>
          <w:shd w:val="clear" w:fill="FFFFFF"/>
        </w:rPr>
        <w:t>万亩，育苗面积</w:t>
      </w:r>
      <w:r>
        <w:rPr>
          <w:rFonts w:hint="eastAsia" w:ascii="仿宋_GB2312" w:hAnsi="仿宋_GB2312" w:eastAsia="仿宋_GB2312" w:cs="仿宋_GB2312"/>
          <w:i w:val="0"/>
          <w:iCs w:val="0"/>
          <w:caps w:val="0"/>
          <w:color w:val="333333"/>
          <w:spacing w:val="0"/>
          <w:sz w:val="34"/>
          <w:szCs w:val="34"/>
          <w:highlight w:val="none"/>
          <w:shd w:val="clear" w:fill="FFFFFF"/>
          <w:lang w:val="en-US"/>
        </w:rPr>
        <w:t>2876</w:t>
      </w:r>
      <w:r>
        <w:rPr>
          <w:rFonts w:hint="eastAsia" w:ascii="仿宋_GB2312" w:hAnsi="仿宋_GB2312" w:eastAsia="仿宋_GB2312" w:cs="仿宋_GB2312"/>
          <w:i w:val="0"/>
          <w:iCs w:val="0"/>
          <w:caps w:val="0"/>
          <w:color w:val="333333"/>
          <w:spacing w:val="0"/>
          <w:sz w:val="34"/>
          <w:szCs w:val="34"/>
          <w:highlight w:val="none"/>
          <w:shd w:val="clear" w:fill="FFFFFF"/>
        </w:rPr>
        <w:t>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全年猪、牛、羊、禽等肉类总产量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17.9</w:t>
      </w:r>
      <w:r>
        <w:rPr>
          <w:rFonts w:hint="eastAsia" w:ascii="仿宋_GB2312" w:hAnsi="仿宋_GB2312" w:eastAsia="仿宋_GB2312" w:cs="仿宋_GB2312"/>
          <w:i w:val="0"/>
          <w:iCs w:val="0"/>
          <w:caps w:val="0"/>
          <w:color w:val="333333"/>
          <w:spacing w:val="0"/>
          <w:sz w:val="34"/>
          <w:szCs w:val="34"/>
          <w:highlight w:val="none"/>
          <w:shd w:val="clear" w:fill="FFFFFF"/>
        </w:rPr>
        <w:t>万吨。其中，猪肉产量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11</w:t>
      </w:r>
      <w:r>
        <w:rPr>
          <w:rFonts w:hint="eastAsia" w:ascii="仿宋_GB2312" w:hAnsi="仿宋_GB2312" w:eastAsia="仿宋_GB2312" w:cs="仿宋_GB2312"/>
          <w:i w:val="0"/>
          <w:iCs w:val="0"/>
          <w:caps w:val="0"/>
          <w:color w:val="333333"/>
          <w:spacing w:val="0"/>
          <w:sz w:val="34"/>
          <w:szCs w:val="34"/>
          <w:highlight w:val="none"/>
          <w:shd w:val="clear" w:fill="FFFFFF"/>
        </w:rPr>
        <w:t>万吨，牛肉产量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1.7</w:t>
      </w:r>
      <w:r>
        <w:rPr>
          <w:rFonts w:hint="eastAsia" w:ascii="仿宋_GB2312" w:hAnsi="仿宋_GB2312" w:eastAsia="仿宋_GB2312" w:cs="仿宋_GB2312"/>
          <w:i w:val="0"/>
          <w:iCs w:val="0"/>
          <w:caps w:val="0"/>
          <w:color w:val="333333"/>
          <w:spacing w:val="0"/>
          <w:sz w:val="34"/>
          <w:szCs w:val="34"/>
          <w:highlight w:val="none"/>
          <w:shd w:val="clear" w:fill="FFFFFF"/>
        </w:rPr>
        <w:t>万吨，羊肉产量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1.6</w:t>
      </w:r>
      <w:r>
        <w:rPr>
          <w:rFonts w:hint="eastAsia" w:ascii="仿宋_GB2312" w:hAnsi="仿宋_GB2312" w:eastAsia="仿宋_GB2312" w:cs="仿宋_GB2312"/>
          <w:i w:val="0"/>
          <w:iCs w:val="0"/>
          <w:caps w:val="0"/>
          <w:color w:val="333333"/>
          <w:spacing w:val="0"/>
          <w:sz w:val="34"/>
          <w:szCs w:val="34"/>
          <w:highlight w:val="none"/>
          <w:shd w:val="clear" w:fill="FFFFFF"/>
        </w:rPr>
        <w:t>万吨，禽肉产量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3.5</w:t>
      </w:r>
      <w:r>
        <w:rPr>
          <w:rFonts w:hint="eastAsia" w:ascii="仿宋_GB2312" w:hAnsi="仿宋_GB2312" w:eastAsia="仿宋_GB2312" w:cs="仿宋_GB2312"/>
          <w:i w:val="0"/>
          <w:iCs w:val="0"/>
          <w:caps w:val="0"/>
          <w:color w:val="333333"/>
          <w:spacing w:val="0"/>
          <w:sz w:val="34"/>
          <w:szCs w:val="34"/>
          <w:highlight w:val="none"/>
          <w:shd w:val="clear" w:fill="FFFFFF"/>
        </w:rPr>
        <w:t>万吨。全年禽蛋产量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4.2</w:t>
      </w:r>
      <w:r>
        <w:rPr>
          <w:rFonts w:hint="eastAsia" w:ascii="仿宋_GB2312" w:hAnsi="仿宋_GB2312" w:eastAsia="仿宋_GB2312" w:cs="仿宋_GB2312"/>
          <w:i w:val="0"/>
          <w:iCs w:val="0"/>
          <w:caps w:val="0"/>
          <w:color w:val="333333"/>
          <w:spacing w:val="0"/>
          <w:sz w:val="34"/>
          <w:szCs w:val="34"/>
          <w:highlight w:val="none"/>
          <w:shd w:val="clear" w:fill="FFFFFF"/>
        </w:rPr>
        <w:t>万吨。全年牛奶产量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1.1</w:t>
      </w:r>
      <w:r>
        <w:rPr>
          <w:rFonts w:hint="eastAsia" w:ascii="仿宋_GB2312" w:hAnsi="仿宋_GB2312" w:eastAsia="仿宋_GB2312" w:cs="仿宋_GB2312"/>
          <w:i w:val="0"/>
          <w:iCs w:val="0"/>
          <w:caps w:val="0"/>
          <w:color w:val="333333"/>
          <w:spacing w:val="0"/>
          <w:sz w:val="34"/>
          <w:szCs w:val="34"/>
          <w:highlight w:val="none"/>
          <w:shd w:val="clear" w:fill="FFFFFF"/>
        </w:rPr>
        <w:t>万吨。全年猪出栏</w:t>
      </w:r>
      <w:r>
        <w:rPr>
          <w:rFonts w:hint="eastAsia" w:ascii="仿宋_GB2312" w:hAnsi="仿宋_GB2312" w:eastAsia="仿宋_GB2312" w:cs="仿宋_GB2312"/>
          <w:i w:val="0"/>
          <w:iCs w:val="0"/>
          <w:caps w:val="0"/>
          <w:color w:val="333333"/>
          <w:spacing w:val="0"/>
          <w:sz w:val="34"/>
          <w:szCs w:val="34"/>
          <w:highlight w:val="none"/>
          <w:shd w:val="clear" w:fill="FFFFFF"/>
          <w:lang w:val="en-US"/>
        </w:rPr>
        <w:t>121.8</w:t>
      </w:r>
      <w:r>
        <w:rPr>
          <w:rFonts w:hint="eastAsia" w:ascii="仿宋_GB2312" w:hAnsi="仿宋_GB2312" w:eastAsia="仿宋_GB2312" w:cs="仿宋_GB2312"/>
          <w:i w:val="0"/>
          <w:iCs w:val="0"/>
          <w:caps w:val="0"/>
          <w:color w:val="333333"/>
          <w:spacing w:val="0"/>
          <w:sz w:val="34"/>
          <w:szCs w:val="34"/>
          <w:highlight w:val="none"/>
          <w:shd w:val="clear" w:fill="FFFFFF"/>
        </w:rPr>
        <w:t>万头，年末存栏</w:t>
      </w:r>
      <w:r>
        <w:rPr>
          <w:rFonts w:hint="eastAsia" w:ascii="仿宋_GB2312" w:hAnsi="仿宋_GB2312" w:eastAsia="仿宋_GB2312" w:cs="仿宋_GB2312"/>
          <w:i w:val="0"/>
          <w:iCs w:val="0"/>
          <w:caps w:val="0"/>
          <w:color w:val="333333"/>
          <w:spacing w:val="0"/>
          <w:sz w:val="34"/>
          <w:szCs w:val="34"/>
          <w:highlight w:val="none"/>
          <w:shd w:val="clear" w:fill="FFFFFF"/>
          <w:lang w:val="en-US"/>
        </w:rPr>
        <w:t>64.2</w:t>
      </w:r>
      <w:r>
        <w:rPr>
          <w:rFonts w:hint="eastAsia" w:ascii="仿宋_GB2312" w:hAnsi="仿宋_GB2312" w:eastAsia="仿宋_GB2312" w:cs="仿宋_GB2312"/>
          <w:i w:val="0"/>
          <w:iCs w:val="0"/>
          <w:caps w:val="0"/>
          <w:color w:val="333333"/>
          <w:spacing w:val="0"/>
          <w:sz w:val="34"/>
          <w:szCs w:val="34"/>
          <w:highlight w:val="none"/>
          <w:shd w:val="clear" w:fill="FFFFFF"/>
        </w:rPr>
        <w:t>万头。</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全年水产品产量</w:t>
      </w:r>
      <w:r>
        <w:rPr>
          <w:rFonts w:hint="eastAsia" w:ascii="仿宋_GB2312" w:hAnsi="仿宋_GB2312" w:eastAsia="仿宋_GB2312" w:cs="仿宋_GB2312"/>
          <w:i w:val="0"/>
          <w:iCs w:val="0"/>
          <w:caps w:val="0"/>
          <w:color w:val="333333"/>
          <w:spacing w:val="0"/>
          <w:sz w:val="34"/>
          <w:szCs w:val="34"/>
          <w:highlight w:val="none"/>
          <w:shd w:val="clear" w:fill="FFFFFF"/>
          <w:lang w:val="en-US"/>
        </w:rPr>
        <w:t>115</w:t>
      </w:r>
      <w:r>
        <w:rPr>
          <w:rFonts w:hint="eastAsia" w:ascii="仿宋_GB2312" w:hAnsi="仿宋_GB2312" w:eastAsia="仿宋_GB2312" w:cs="仿宋_GB2312"/>
          <w:i w:val="0"/>
          <w:iCs w:val="0"/>
          <w:caps w:val="0"/>
          <w:color w:val="333333"/>
          <w:spacing w:val="0"/>
          <w:sz w:val="34"/>
          <w:szCs w:val="34"/>
          <w:highlight w:val="none"/>
          <w:shd w:val="clear" w:fill="FFFFFF"/>
        </w:rPr>
        <w:t>吨。年末农业机械总动力</w:t>
      </w:r>
      <w:r>
        <w:rPr>
          <w:rFonts w:hint="eastAsia" w:ascii="仿宋_GB2312" w:hAnsi="仿宋_GB2312" w:eastAsia="仿宋_GB2312" w:cs="仿宋_GB2312"/>
          <w:i w:val="0"/>
          <w:iCs w:val="0"/>
          <w:caps w:val="0"/>
          <w:color w:val="333333"/>
          <w:spacing w:val="0"/>
          <w:sz w:val="34"/>
          <w:szCs w:val="34"/>
          <w:highlight w:val="none"/>
          <w:shd w:val="clear" w:fill="FFFFFF"/>
          <w:lang w:val="en-US"/>
        </w:rPr>
        <w:t>71</w:t>
      </w:r>
      <w:r>
        <w:rPr>
          <w:rFonts w:hint="eastAsia" w:ascii="仿宋_GB2312" w:hAnsi="仿宋_GB2312" w:eastAsia="仿宋_GB2312" w:cs="仿宋_GB2312"/>
          <w:i w:val="0"/>
          <w:iCs w:val="0"/>
          <w:caps w:val="0"/>
          <w:color w:val="333333"/>
          <w:spacing w:val="0"/>
          <w:sz w:val="34"/>
          <w:szCs w:val="34"/>
          <w:highlight w:val="none"/>
          <w:shd w:val="clear" w:fill="FFFFFF"/>
        </w:rPr>
        <w:t>万千瓦，比上年末增加</w:t>
      </w:r>
      <w:r>
        <w:rPr>
          <w:rFonts w:hint="eastAsia" w:ascii="仿宋_GB2312" w:hAnsi="仿宋_GB2312" w:eastAsia="仿宋_GB2312" w:cs="仿宋_GB2312"/>
          <w:i w:val="0"/>
          <w:iCs w:val="0"/>
          <w:caps w:val="0"/>
          <w:color w:val="333333"/>
          <w:spacing w:val="0"/>
          <w:sz w:val="34"/>
          <w:szCs w:val="34"/>
          <w:highlight w:val="none"/>
          <w:shd w:val="clear" w:fill="FFFFFF"/>
          <w:lang w:val="en-US"/>
        </w:rPr>
        <w:t>6.9</w:t>
      </w:r>
      <w:r>
        <w:rPr>
          <w:rFonts w:hint="eastAsia" w:ascii="仿宋_GB2312" w:hAnsi="仿宋_GB2312" w:eastAsia="仿宋_GB2312" w:cs="仿宋_GB2312"/>
          <w:i w:val="0"/>
          <w:iCs w:val="0"/>
          <w:caps w:val="0"/>
          <w:color w:val="333333"/>
          <w:spacing w:val="0"/>
          <w:sz w:val="34"/>
          <w:szCs w:val="34"/>
          <w:highlight w:val="none"/>
          <w:shd w:val="clear" w:fill="FFFFFF"/>
        </w:rPr>
        <w:t>万千瓦。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三、工业和建筑业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全年规模以上工业增加值比上年增长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14</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分门类看，全年规模以上采矿业增加值比上年增长1</w:t>
      </w:r>
      <w:r>
        <w:rPr>
          <w:rFonts w:hint="eastAsia" w:ascii="仿宋_GB2312" w:hAnsi="仿宋_GB2312" w:eastAsia="仿宋_GB2312" w:cs="仿宋_GB2312"/>
          <w:i w:val="0"/>
          <w:iCs w:val="0"/>
          <w:caps w:val="0"/>
          <w:color w:val="333333"/>
          <w:spacing w:val="0"/>
          <w:sz w:val="34"/>
          <w:szCs w:val="34"/>
          <w:highlight w:val="none"/>
          <w:shd w:val="clear" w:fill="FFFFFF"/>
          <w:lang w:val="en-US"/>
        </w:rPr>
        <w:t>4.5</w:t>
      </w:r>
      <w:r>
        <w:rPr>
          <w:rFonts w:hint="eastAsia" w:ascii="仿宋_GB2312" w:hAnsi="仿宋_GB2312" w:eastAsia="仿宋_GB2312" w:cs="仿宋_GB2312"/>
          <w:i w:val="0"/>
          <w:iCs w:val="0"/>
          <w:caps w:val="0"/>
          <w:color w:val="333333"/>
          <w:spacing w:val="0"/>
          <w:sz w:val="34"/>
          <w:szCs w:val="34"/>
          <w:highlight w:val="none"/>
          <w:shd w:val="clear" w:fill="FFFFFF"/>
        </w:rPr>
        <w:t>%，制造业增加值增长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10.2</w:t>
      </w:r>
      <w:r>
        <w:rPr>
          <w:rFonts w:hint="eastAsia" w:ascii="仿宋_GB2312" w:hAnsi="仿宋_GB2312" w:eastAsia="仿宋_GB2312" w:cs="仿宋_GB2312"/>
          <w:i w:val="0"/>
          <w:iCs w:val="0"/>
          <w:caps w:val="0"/>
          <w:color w:val="333333"/>
          <w:spacing w:val="0"/>
          <w:sz w:val="34"/>
          <w:szCs w:val="34"/>
          <w:highlight w:val="none"/>
          <w:shd w:val="clear" w:fill="FFFFFF"/>
        </w:rPr>
        <w:t>%，电力、热力、燃气及水生产和供应业增加值增长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18.2</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全年规模以上工业总产值为64</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1</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元，比上年增长31.</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工业销售产值为64</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元，比上年增长31.</w:t>
      </w:r>
      <w:r>
        <w:rPr>
          <w:rFonts w:hint="eastAsia" w:ascii="仿宋_GB2312" w:hAnsi="仿宋_GB2312" w:eastAsia="仿宋_GB2312" w:cs="仿宋_GB2312"/>
          <w:i w:val="0"/>
          <w:iCs w:val="0"/>
          <w:caps w:val="0"/>
          <w:color w:val="333333"/>
          <w:spacing w:val="0"/>
          <w:sz w:val="34"/>
          <w:szCs w:val="34"/>
          <w:highlight w:val="none"/>
          <w:shd w:val="clear" w:fill="FFFFFF"/>
          <w:lang w:val="en-US"/>
        </w:rPr>
        <w:t>9</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出口交货值为</w:t>
      </w:r>
      <w:r>
        <w:rPr>
          <w:rFonts w:hint="eastAsia" w:ascii="仿宋_GB2312" w:hAnsi="仿宋_GB2312" w:eastAsia="仿宋_GB2312" w:cs="仿宋_GB2312"/>
          <w:i w:val="0"/>
          <w:iCs w:val="0"/>
          <w:caps w:val="0"/>
          <w:color w:val="333333"/>
          <w:spacing w:val="0"/>
          <w:sz w:val="34"/>
          <w:szCs w:val="34"/>
          <w:highlight w:val="none"/>
          <w:shd w:val="clear" w:fill="FFFFFF"/>
          <w:lang w:val="en-US"/>
        </w:rPr>
        <w:t>0.8</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元，比上年增长23.</w:t>
      </w:r>
      <w:r>
        <w:rPr>
          <w:rFonts w:hint="eastAsia" w:ascii="仿宋_GB2312" w:hAnsi="仿宋_GB2312" w:eastAsia="仿宋_GB2312" w:cs="仿宋_GB2312"/>
          <w:i w:val="0"/>
          <w:iCs w:val="0"/>
          <w:caps w:val="0"/>
          <w:color w:val="333333"/>
          <w:spacing w:val="0"/>
          <w:sz w:val="34"/>
          <w:szCs w:val="34"/>
          <w:highlight w:val="none"/>
          <w:shd w:val="clear" w:fill="FFFFFF"/>
          <w:lang w:val="en-US"/>
        </w:rPr>
        <w:t>4</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分行业看,</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全年规模以上</w:t>
      </w:r>
      <w:r>
        <w:rPr>
          <w:rFonts w:hint="eastAsia" w:ascii="仿宋_GB2312" w:hAnsi="仿宋_GB2312" w:eastAsia="仿宋_GB2312" w:cs="仿宋_GB2312"/>
          <w:i w:val="0"/>
          <w:iCs w:val="0"/>
          <w:caps w:val="0"/>
          <w:color w:val="333333"/>
          <w:spacing w:val="0"/>
          <w:sz w:val="34"/>
          <w:szCs w:val="34"/>
          <w:highlight w:val="none"/>
          <w:shd w:val="clear" w:fill="FFFFFF"/>
        </w:rPr>
        <w:t>铁矿采选</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业产值</w:t>
      </w:r>
      <w:r>
        <w:rPr>
          <w:rFonts w:hint="eastAsia" w:ascii="仿宋_GB2312" w:hAnsi="仿宋_GB2312" w:eastAsia="仿宋_GB2312" w:cs="仿宋_GB2312"/>
          <w:i w:val="0"/>
          <w:iCs w:val="0"/>
          <w:caps w:val="0"/>
          <w:color w:val="333333"/>
          <w:spacing w:val="0"/>
          <w:sz w:val="34"/>
          <w:szCs w:val="34"/>
          <w:highlight w:val="none"/>
          <w:shd w:val="clear" w:fill="FFFFFF"/>
        </w:rPr>
        <w:t>22</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7</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元，比上年增长70.9%</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化学矿开采</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w:t>
      </w:r>
      <w:r>
        <w:rPr>
          <w:rFonts w:hint="eastAsia" w:ascii="仿宋_GB2312" w:hAnsi="仿宋_GB2312" w:eastAsia="仿宋_GB2312" w:cs="仿宋_GB2312"/>
          <w:i w:val="0"/>
          <w:iCs w:val="0"/>
          <w:caps w:val="0"/>
          <w:color w:val="333333"/>
          <w:spacing w:val="0"/>
          <w:sz w:val="34"/>
          <w:szCs w:val="34"/>
          <w:highlight w:val="none"/>
          <w:shd w:val="clear" w:fill="FFFFFF"/>
        </w:rPr>
        <w:t>9</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元，比上年增长56.</w:t>
      </w:r>
      <w:r>
        <w:rPr>
          <w:rFonts w:hint="eastAsia" w:ascii="仿宋_GB2312" w:hAnsi="仿宋_GB2312" w:eastAsia="仿宋_GB2312" w:cs="仿宋_GB2312"/>
          <w:i w:val="0"/>
          <w:iCs w:val="0"/>
          <w:caps w:val="0"/>
          <w:color w:val="333333"/>
          <w:spacing w:val="0"/>
          <w:sz w:val="34"/>
          <w:szCs w:val="34"/>
          <w:highlight w:val="none"/>
          <w:shd w:val="clear" w:fill="FFFFFF"/>
          <w:lang w:val="en-US"/>
        </w:rPr>
        <w:t>2</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其他未列明非金属矿采选</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产值1</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元，比上年增长38.3%</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建筑装饰及水暖管道零件制造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产值2</w:t>
      </w:r>
      <w:r>
        <w:rPr>
          <w:rFonts w:hint="eastAsia" w:ascii="仿宋_GB2312" w:hAnsi="仿宋_GB2312" w:eastAsia="仿宋_GB2312" w:cs="仿宋_GB2312"/>
          <w:i w:val="0"/>
          <w:iCs w:val="0"/>
          <w:caps w:val="0"/>
          <w:color w:val="333333"/>
          <w:spacing w:val="0"/>
          <w:sz w:val="34"/>
          <w:szCs w:val="34"/>
          <w:highlight w:val="none"/>
          <w:shd w:val="clear" w:fill="FFFFFF"/>
          <w:lang w:val="en-US"/>
        </w:rPr>
        <w:t>.1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元，比上年增长87.</w:t>
      </w:r>
      <w:r>
        <w:rPr>
          <w:rFonts w:hint="eastAsia" w:ascii="仿宋_GB2312" w:hAnsi="仿宋_GB2312" w:eastAsia="仿宋_GB2312" w:cs="仿宋_GB2312"/>
          <w:i w:val="0"/>
          <w:iCs w:val="0"/>
          <w:caps w:val="0"/>
          <w:color w:val="333333"/>
          <w:spacing w:val="0"/>
          <w:sz w:val="34"/>
          <w:szCs w:val="34"/>
          <w:highlight w:val="none"/>
          <w:shd w:val="clear" w:fill="FFFFFF"/>
          <w:lang w:val="en-US"/>
        </w:rPr>
        <w:t>9</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其他传动部件制造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0.6</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元，比上年增长70.</w:t>
      </w:r>
      <w:r>
        <w:rPr>
          <w:rFonts w:hint="eastAsia" w:ascii="仿宋_GB2312" w:hAnsi="仿宋_GB2312" w:eastAsia="仿宋_GB2312" w:cs="仿宋_GB2312"/>
          <w:i w:val="0"/>
          <w:iCs w:val="0"/>
          <w:caps w:val="0"/>
          <w:color w:val="333333"/>
          <w:spacing w:val="0"/>
          <w:sz w:val="34"/>
          <w:szCs w:val="34"/>
          <w:highlight w:val="none"/>
          <w:shd w:val="clear" w:fill="FFFFFF"/>
          <w:lang w:val="en-US"/>
        </w:rPr>
        <w:t>1</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水泥制造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w:t>
      </w:r>
      <w:r>
        <w:rPr>
          <w:rFonts w:hint="eastAsia" w:ascii="仿宋_GB2312" w:hAnsi="仿宋_GB2312" w:eastAsia="仿宋_GB2312" w:cs="仿宋_GB2312"/>
          <w:i w:val="0"/>
          <w:iCs w:val="0"/>
          <w:caps w:val="0"/>
          <w:color w:val="333333"/>
          <w:spacing w:val="0"/>
          <w:sz w:val="34"/>
          <w:szCs w:val="34"/>
          <w:highlight w:val="none"/>
          <w:shd w:val="clear" w:fill="FFFFFF"/>
        </w:rPr>
        <w:t>3</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元，比上年下降23.9%</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建筑用石加工</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w:t>
      </w:r>
      <w:r>
        <w:rPr>
          <w:rFonts w:hint="eastAsia" w:ascii="仿宋_GB2312" w:hAnsi="仿宋_GB2312" w:eastAsia="仿宋_GB2312" w:cs="仿宋_GB2312"/>
          <w:i w:val="0"/>
          <w:iCs w:val="0"/>
          <w:caps w:val="0"/>
          <w:color w:val="333333"/>
          <w:spacing w:val="0"/>
          <w:sz w:val="34"/>
          <w:szCs w:val="34"/>
          <w:highlight w:val="none"/>
          <w:shd w:val="clear" w:fill="FFFFFF"/>
        </w:rPr>
        <w:t>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元，比上年下降11.7%</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隔热和隔音材料制造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业工业</w:t>
      </w:r>
      <w:r>
        <w:rPr>
          <w:rFonts w:hint="eastAsia" w:ascii="仿宋_GB2312" w:hAnsi="仿宋_GB2312" w:eastAsia="仿宋_GB2312" w:cs="仿宋_GB2312"/>
          <w:i w:val="0"/>
          <w:iCs w:val="0"/>
          <w:caps w:val="0"/>
          <w:color w:val="333333"/>
          <w:spacing w:val="0"/>
          <w:sz w:val="34"/>
          <w:szCs w:val="34"/>
          <w:highlight w:val="none"/>
          <w:shd w:val="clear" w:fill="FFFFFF"/>
        </w:rPr>
        <w:t>产值3</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元，比上年增长20.</w:t>
      </w:r>
      <w:r>
        <w:rPr>
          <w:rFonts w:hint="eastAsia" w:ascii="仿宋_GB2312" w:hAnsi="仿宋_GB2312" w:eastAsia="仿宋_GB2312" w:cs="仿宋_GB2312"/>
          <w:i w:val="0"/>
          <w:iCs w:val="0"/>
          <w:caps w:val="0"/>
          <w:color w:val="333333"/>
          <w:spacing w:val="0"/>
          <w:sz w:val="34"/>
          <w:szCs w:val="34"/>
          <w:highlight w:val="none"/>
          <w:shd w:val="clear" w:fill="FFFFFF"/>
          <w:lang w:val="en-US"/>
        </w:rPr>
        <w:t>6</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建筑陶瓷制品制造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w:t>
      </w:r>
      <w:r>
        <w:rPr>
          <w:rFonts w:hint="eastAsia" w:ascii="仿宋_GB2312" w:hAnsi="仿宋_GB2312" w:eastAsia="仿宋_GB2312" w:cs="仿宋_GB2312"/>
          <w:i w:val="0"/>
          <w:iCs w:val="0"/>
          <w:caps w:val="0"/>
          <w:color w:val="333333"/>
          <w:spacing w:val="0"/>
          <w:sz w:val="34"/>
          <w:szCs w:val="34"/>
          <w:highlight w:val="none"/>
          <w:shd w:val="clear" w:fill="FFFFFF"/>
        </w:rPr>
        <w:t>5</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元，比上年下降27.</w:t>
      </w:r>
      <w:r>
        <w:rPr>
          <w:rFonts w:hint="eastAsia" w:ascii="仿宋_GB2312" w:hAnsi="仿宋_GB2312" w:eastAsia="仿宋_GB2312" w:cs="仿宋_GB2312"/>
          <w:i w:val="0"/>
          <w:iCs w:val="0"/>
          <w:caps w:val="0"/>
          <w:color w:val="333333"/>
          <w:spacing w:val="0"/>
          <w:sz w:val="34"/>
          <w:szCs w:val="34"/>
          <w:highlight w:val="none"/>
          <w:shd w:val="clear" w:fill="FFFFFF"/>
          <w:lang w:val="en-US"/>
        </w:rPr>
        <w:t>7</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风力发电</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产值3</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元，比上年增长39.4%</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热力生产和供应</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0.4</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元，比上年下降42.1%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胶合板制造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产值6</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元，比上年增长31.</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杂粮加工</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产值1</w:t>
      </w:r>
      <w:r>
        <w:rPr>
          <w:rFonts w:hint="eastAsia" w:ascii="仿宋_GB2312" w:hAnsi="仿宋_GB2312" w:eastAsia="仿宋_GB2312" w:cs="仿宋_GB2312"/>
          <w:i w:val="0"/>
          <w:iCs w:val="0"/>
          <w:caps w:val="0"/>
          <w:color w:val="333333"/>
          <w:spacing w:val="0"/>
          <w:sz w:val="34"/>
          <w:szCs w:val="34"/>
          <w:highlight w:val="none"/>
          <w:shd w:val="clear" w:fill="FFFFFF"/>
          <w:lang w:val="en-US"/>
        </w:rPr>
        <w:t>.7</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元，比上年下降10.</w:t>
      </w:r>
      <w:r>
        <w:rPr>
          <w:rFonts w:hint="eastAsia" w:ascii="仿宋_GB2312" w:hAnsi="仿宋_GB2312" w:eastAsia="仿宋_GB2312" w:cs="仿宋_GB2312"/>
          <w:i w:val="0"/>
          <w:iCs w:val="0"/>
          <w:caps w:val="0"/>
          <w:color w:val="333333"/>
          <w:spacing w:val="0"/>
          <w:sz w:val="34"/>
          <w:szCs w:val="34"/>
          <w:highlight w:val="none"/>
          <w:shd w:val="clear" w:fill="FFFFFF"/>
          <w:lang w:val="en-US"/>
        </w:rPr>
        <w:t>9</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牲畜屠宰</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业</w:t>
      </w:r>
      <w:r>
        <w:rPr>
          <w:rFonts w:hint="eastAsia" w:ascii="仿宋_GB2312" w:hAnsi="仿宋_GB2312" w:eastAsia="仿宋_GB2312" w:cs="仿宋_GB2312"/>
          <w:i w:val="0"/>
          <w:iCs w:val="0"/>
          <w:caps w:val="0"/>
          <w:color w:val="333333"/>
          <w:spacing w:val="0"/>
          <w:sz w:val="34"/>
          <w:szCs w:val="34"/>
          <w:highlight w:val="none"/>
          <w:shd w:val="clear" w:fill="FFFFFF"/>
        </w:rPr>
        <w:t>产值</w:t>
      </w:r>
      <w:r>
        <w:rPr>
          <w:rFonts w:hint="eastAsia" w:ascii="仿宋_GB2312" w:hAnsi="仿宋_GB2312" w:eastAsia="仿宋_GB2312" w:cs="仿宋_GB2312"/>
          <w:i w:val="0"/>
          <w:iCs w:val="0"/>
          <w:caps w:val="0"/>
          <w:color w:val="333333"/>
          <w:spacing w:val="0"/>
          <w:sz w:val="34"/>
          <w:szCs w:val="34"/>
          <w:highlight w:val="none"/>
          <w:shd w:val="clear" w:fill="FFFFFF"/>
          <w:lang w:val="en-US"/>
        </w:rPr>
        <w:t>0.1</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元，比上年下降92.</w:t>
      </w:r>
      <w:r>
        <w:rPr>
          <w:rFonts w:hint="eastAsia" w:ascii="仿宋_GB2312" w:hAnsi="仿宋_GB2312" w:eastAsia="仿宋_GB2312" w:cs="仿宋_GB2312"/>
          <w:i w:val="0"/>
          <w:iCs w:val="0"/>
          <w:caps w:val="0"/>
          <w:color w:val="333333"/>
          <w:spacing w:val="0"/>
          <w:sz w:val="34"/>
          <w:szCs w:val="34"/>
          <w:highlight w:val="none"/>
          <w:shd w:val="clear" w:fill="FFFFFF"/>
          <w:lang w:val="en-US"/>
        </w:rPr>
        <w:t>6</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全年规模以上工业企业主要产品产量中,铁矿石原矿777</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吨,比上年增长18.1%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铁精粉212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吨,比上年增长20.</w:t>
      </w:r>
      <w:r>
        <w:rPr>
          <w:rFonts w:hint="eastAsia" w:ascii="仿宋_GB2312" w:hAnsi="仿宋_GB2312" w:eastAsia="仿宋_GB2312" w:cs="仿宋_GB2312"/>
          <w:i w:val="0"/>
          <w:iCs w:val="0"/>
          <w:caps w:val="0"/>
          <w:color w:val="333333"/>
          <w:spacing w:val="0"/>
          <w:sz w:val="34"/>
          <w:szCs w:val="34"/>
          <w:highlight w:val="none"/>
          <w:shd w:val="clear" w:fill="FFFFFF"/>
          <w:lang w:val="en-US"/>
        </w:rPr>
        <w:t>9</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磷矿粉16</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吨,比上年增长9.8%</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胶合板27</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吨,比上年下降14.</w:t>
      </w:r>
      <w:r>
        <w:rPr>
          <w:rFonts w:hint="eastAsia" w:ascii="仿宋_GB2312" w:hAnsi="仿宋_GB2312" w:eastAsia="仿宋_GB2312" w:cs="仿宋_GB2312"/>
          <w:i w:val="0"/>
          <w:iCs w:val="0"/>
          <w:caps w:val="0"/>
          <w:color w:val="333333"/>
          <w:spacing w:val="0"/>
          <w:sz w:val="34"/>
          <w:szCs w:val="34"/>
          <w:highlight w:val="none"/>
          <w:shd w:val="clear" w:fill="FFFFFF"/>
          <w:lang w:val="en-US"/>
        </w:rPr>
        <w:t>8</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瓷质砖378</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吨,比上年下降36.</w:t>
      </w:r>
      <w:r>
        <w:rPr>
          <w:rFonts w:hint="eastAsia" w:ascii="仿宋_GB2312" w:hAnsi="仿宋_GB2312" w:eastAsia="仿宋_GB2312" w:cs="仿宋_GB2312"/>
          <w:i w:val="0"/>
          <w:iCs w:val="0"/>
          <w:caps w:val="0"/>
          <w:color w:val="333333"/>
          <w:spacing w:val="0"/>
          <w:sz w:val="34"/>
          <w:szCs w:val="34"/>
          <w:highlight w:val="none"/>
          <w:shd w:val="clear" w:fill="FFFFFF"/>
          <w:lang w:val="en-US"/>
        </w:rPr>
        <w:t>5</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水泥12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吨,比上年下降23.4%</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鲜、冷藏肉143吨,比上年下降87.8%。</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全年规模以上工业企业产品销售率100.1%。</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全年规模以上工业企业实现营业收入64</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81</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元，比上年增长30%;实现利税12</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6</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元,增长67.</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rPr>
        <w:t>%，其中实现利润7</w:t>
      </w:r>
      <w:r>
        <w:rPr>
          <w:rFonts w:hint="eastAsia" w:ascii="仿宋_GB2312" w:hAnsi="仿宋_GB2312" w:eastAsia="仿宋_GB2312" w:cs="仿宋_GB2312"/>
          <w:i w:val="0"/>
          <w:iCs w:val="0"/>
          <w:caps w:val="0"/>
          <w:color w:val="333333"/>
          <w:spacing w:val="0"/>
          <w:sz w:val="34"/>
          <w:szCs w:val="34"/>
          <w:highlight w:val="none"/>
          <w:shd w:val="clear" w:fill="FFFFFF"/>
          <w:lang w:val="en-US"/>
        </w:rPr>
        <w:t>.</w:t>
      </w:r>
      <w:r>
        <w:rPr>
          <w:rFonts w:hint="eastAsia" w:ascii="仿宋_GB2312" w:hAnsi="仿宋_GB2312" w:eastAsia="仿宋_GB2312" w:cs="仿宋_GB2312"/>
          <w:i w:val="0"/>
          <w:iCs w:val="0"/>
          <w:caps w:val="0"/>
          <w:color w:val="333333"/>
          <w:spacing w:val="0"/>
          <w:sz w:val="34"/>
          <w:szCs w:val="34"/>
          <w:highlight w:val="none"/>
          <w:shd w:val="clear" w:fill="FFFFFF"/>
        </w:rPr>
        <w:t>8</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元,增长89.2%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全年31户具有建筑业资质等级的,总承包和专业承包建筑企业共签订工程合同额17.1亿元，完成建筑业总产值12.8亿元。实际施工的房屋建筑面积90.8万平方米。其中,新开工面积13万平方米，房屋竣工面积33.6万平方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四、固定资产投资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全年固定资产投资（不含农户)比上年增长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19.4</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分领域看，房地产开发投资比上年下降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18.8</w:t>
      </w:r>
      <w:r>
        <w:rPr>
          <w:rFonts w:hint="eastAsia" w:ascii="仿宋_GB2312" w:hAnsi="仿宋_GB2312" w:eastAsia="仿宋_GB2312" w:cs="仿宋_GB2312"/>
          <w:i w:val="0"/>
          <w:iCs w:val="0"/>
          <w:caps w:val="0"/>
          <w:color w:val="333333"/>
          <w:spacing w:val="0"/>
          <w:sz w:val="34"/>
          <w:szCs w:val="34"/>
          <w:highlight w:val="none"/>
          <w:shd w:val="clear" w:fill="FFFFFF"/>
        </w:rPr>
        <w:t>%，建设项目投资增长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28.3</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分产业看,第一产业投资比上年增长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18.8</w:t>
      </w:r>
      <w:r>
        <w:rPr>
          <w:rFonts w:hint="eastAsia" w:ascii="仿宋_GB2312" w:hAnsi="仿宋_GB2312" w:eastAsia="仿宋_GB2312" w:cs="仿宋_GB2312"/>
          <w:i w:val="0"/>
          <w:iCs w:val="0"/>
          <w:caps w:val="0"/>
          <w:color w:val="333333"/>
          <w:spacing w:val="0"/>
          <w:sz w:val="34"/>
          <w:szCs w:val="34"/>
          <w:highlight w:val="none"/>
          <w:shd w:val="clear" w:fill="FFFFFF"/>
        </w:rPr>
        <w:t>%;第二产业投资增长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27.3</w:t>
      </w:r>
      <w:r>
        <w:rPr>
          <w:rFonts w:hint="eastAsia" w:ascii="仿宋_GB2312" w:hAnsi="仿宋_GB2312" w:eastAsia="仿宋_GB2312" w:cs="仿宋_GB2312"/>
          <w:i w:val="0"/>
          <w:iCs w:val="0"/>
          <w:caps w:val="0"/>
          <w:color w:val="333333"/>
          <w:spacing w:val="0"/>
          <w:sz w:val="34"/>
          <w:szCs w:val="34"/>
          <w:highlight w:val="none"/>
          <w:shd w:val="clear" w:fill="FFFFFF"/>
        </w:rPr>
        <w:t>%，其中工业投资增长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27.3</w:t>
      </w:r>
      <w:r>
        <w:rPr>
          <w:rFonts w:hint="eastAsia" w:ascii="仿宋_GB2312" w:hAnsi="仿宋_GB2312" w:eastAsia="仿宋_GB2312" w:cs="仿宋_GB2312"/>
          <w:i w:val="0"/>
          <w:iCs w:val="0"/>
          <w:caps w:val="0"/>
          <w:color w:val="333333"/>
          <w:spacing w:val="0"/>
          <w:sz w:val="34"/>
          <w:szCs w:val="34"/>
          <w:highlight w:val="none"/>
          <w:shd w:val="clear" w:fill="FFFFFF"/>
        </w:rPr>
        <w:t>%;第三产业投资下降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3.4</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分经济类型看，民间投资比上年增长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10.4</w:t>
      </w:r>
      <w:r>
        <w:rPr>
          <w:rFonts w:hint="eastAsia" w:ascii="仿宋_GB2312" w:hAnsi="仿宋_GB2312" w:eastAsia="仿宋_GB2312" w:cs="仿宋_GB2312"/>
          <w:i w:val="0"/>
          <w:iCs w:val="0"/>
          <w:caps w:val="0"/>
          <w:color w:val="333333"/>
          <w:spacing w:val="0"/>
          <w:sz w:val="34"/>
          <w:szCs w:val="34"/>
          <w:highlight w:val="none"/>
          <w:shd w:val="clear" w:fill="FFFFFF"/>
        </w:rPr>
        <w:t>%，国有控股投资增长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66.7</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全年建设项目</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195</w:t>
      </w:r>
      <w:r>
        <w:rPr>
          <w:rFonts w:hint="eastAsia" w:ascii="仿宋_GB2312" w:hAnsi="仿宋_GB2312" w:eastAsia="仿宋_GB2312" w:cs="仿宋_GB2312"/>
          <w:i w:val="0"/>
          <w:iCs w:val="0"/>
          <w:caps w:val="0"/>
          <w:color w:val="333333"/>
          <w:spacing w:val="0"/>
          <w:sz w:val="34"/>
          <w:szCs w:val="34"/>
          <w:highlight w:val="none"/>
          <w:shd w:val="clear" w:fill="FFFFFF"/>
        </w:rPr>
        <w:t>个，比上年增加</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7</w:t>
      </w:r>
      <w:r>
        <w:rPr>
          <w:rFonts w:hint="eastAsia" w:ascii="仿宋_GB2312" w:hAnsi="仿宋_GB2312" w:eastAsia="仿宋_GB2312" w:cs="仿宋_GB2312"/>
          <w:i w:val="0"/>
          <w:iCs w:val="0"/>
          <w:caps w:val="0"/>
          <w:color w:val="333333"/>
          <w:spacing w:val="0"/>
          <w:sz w:val="34"/>
          <w:szCs w:val="34"/>
          <w:highlight w:val="none"/>
          <w:shd w:val="clear" w:fill="FFFFFF"/>
        </w:rPr>
        <w:t>个。其中，计划总投资超1亿元以上项目</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50</w:t>
      </w:r>
      <w:r>
        <w:rPr>
          <w:rFonts w:hint="eastAsia" w:ascii="仿宋_GB2312" w:hAnsi="仿宋_GB2312" w:eastAsia="仿宋_GB2312" w:cs="仿宋_GB2312"/>
          <w:i w:val="0"/>
          <w:iCs w:val="0"/>
          <w:caps w:val="0"/>
          <w:color w:val="333333"/>
          <w:spacing w:val="0"/>
          <w:sz w:val="34"/>
          <w:szCs w:val="34"/>
          <w:highlight w:val="none"/>
          <w:shd w:val="clear" w:fill="FFFFFF"/>
        </w:rPr>
        <w:t>个，比上年增加</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w:t>
      </w:r>
      <w:r>
        <w:rPr>
          <w:rFonts w:hint="eastAsia" w:ascii="仿宋_GB2312" w:hAnsi="仿宋_GB2312" w:eastAsia="仿宋_GB2312" w:cs="仿宋_GB2312"/>
          <w:i w:val="0"/>
          <w:iCs w:val="0"/>
          <w:caps w:val="0"/>
          <w:color w:val="333333"/>
          <w:spacing w:val="0"/>
          <w:sz w:val="34"/>
          <w:szCs w:val="34"/>
          <w:highlight w:val="none"/>
          <w:shd w:val="clear" w:fill="FFFFFF"/>
        </w:rPr>
        <w:t>个;计划总投资超10亿元以上项目</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3</w:t>
      </w:r>
      <w:r>
        <w:rPr>
          <w:rFonts w:hint="eastAsia" w:ascii="仿宋_GB2312" w:hAnsi="仿宋_GB2312" w:eastAsia="仿宋_GB2312" w:cs="仿宋_GB2312"/>
          <w:i w:val="0"/>
          <w:iCs w:val="0"/>
          <w:caps w:val="0"/>
          <w:color w:val="333333"/>
          <w:spacing w:val="0"/>
          <w:sz w:val="34"/>
          <w:szCs w:val="34"/>
          <w:highlight w:val="none"/>
          <w:shd w:val="clear" w:fill="FFFFFF"/>
        </w:rPr>
        <w:t>个，</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与</w:t>
      </w:r>
      <w:r>
        <w:rPr>
          <w:rFonts w:hint="eastAsia" w:ascii="仿宋_GB2312" w:hAnsi="仿宋_GB2312" w:eastAsia="仿宋_GB2312" w:cs="仿宋_GB2312"/>
          <w:i w:val="0"/>
          <w:iCs w:val="0"/>
          <w:caps w:val="0"/>
          <w:color w:val="333333"/>
          <w:spacing w:val="0"/>
          <w:sz w:val="34"/>
          <w:szCs w:val="34"/>
          <w:highlight w:val="none"/>
          <w:shd w:val="clear" w:fill="FFFFFF"/>
        </w:rPr>
        <w:t>上年</w:t>
      </w:r>
      <w:r>
        <w:rPr>
          <w:rFonts w:hint="eastAsia" w:ascii="仿宋_GB2312" w:hAnsi="仿宋_GB2312" w:eastAsia="仿宋_GB2312" w:cs="仿宋_GB2312"/>
          <w:i w:val="0"/>
          <w:iCs w:val="0"/>
          <w:caps w:val="0"/>
          <w:color w:val="333333"/>
          <w:spacing w:val="0"/>
          <w:sz w:val="34"/>
          <w:szCs w:val="34"/>
          <w:highlight w:val="none"/>
          <w:shd w:val="clear" w:fill="FFFFFF"/>
          <w:lang w:eastAsia="zh-CN"/>
        </w:rPr>
        <w:t>持平</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全年商品房销售面积</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15.3</w:t>
      </w:r>
      <w:r>
        <w:rPr>
          <w:rFonts w:hint="eastAsia" w:ascii="仿宋_GB2312" w:hAnsi="仿宋_GB2312" w:eastAsia="仿宋_GB2312" w:cs="仿宋_GB2312"/>
          <w:i w:val="0"/>
          <w:iCs w:val="0"/>
          <w:caps w:val="0"/>
          <w:color w:val="333333"/>
          <w:spacing w:val="0"/>
          <w:sz w:val="34"/>
          <w:szCs w:val="34"/>
          <w:highlight w:val="none"/>
          <w:shd w:val="clear" w:fill="FFFFFF"/>
        </w:rPr>
        <w:t>万平方米，比上</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年</w:t>
      </w:r>
      <w:r>
        <w:rPr>
          <w:rFonts w:hint="eastAsia" w:ascii="仿宋_GB2312" w:hAnsi="仿宋_GB2312" w:eastAsia="仿宋_GB2312" w:cs="仿宋_GB2312"/>
          <w:i w:val="0"/>
          <w:iCs w:val="0"/>
          <w:caps w:val="0"/>
          <w:color w:val="333333"/>
          <w:spacing w:val="0"/>
          <w:sz w:val="34"/>
          <w:szCs w:val="34"/>
          <w:highlight w:val="none"/>
          <w:shd w:val="clear" w:fill="FFFFFF"/>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18.8</w:t>
      </w:r>
      <w:r>
        <w:rPr>
          <w:rFonts w:hint="eastAsia" w:ascii="仿宋_GB2312" w:hAnsi="仿宋_GB2312" w:eastAsia="仿宋_GB2312" w:cs="仿宋_GB2312"/>
          <w:i w:val="0"/>
          <w:iCs w:val="0"/>
          <w:caps w:val="0"/>
          <w:color w:val="333333"/>
          <w:spacing w:val="0"/>
          <w:sz w:val="34"/>
          <w:szCs w:val="34"/>
          <w:highlight w:val="none"/>
          <w:shd w:val="clear" w:fill="FFFFFF"/>
        </w:rPr>
        <w:t>%，其中住宅销售面积</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15</w:t>
      </w:r>
      <w:r>
        <w:rPr>
          <w:rFonts w:hint="eastAsia" w:ascii="仿宋_GB2312" w:hAnsi="仿宋_GB2312" w:eastAsia="仿宋_GB2312" w:cs="仿宋_GB2312"/>
          <w:i w:val="0"/>
          <w:iCs w:val="0"/>
          <w:caps w:val="0"/>
          <w:color w:val="333333"/>
          <w:spacing w:val="0"/>
          <w:sz w:val="34"/>
          <w:szCs w:val="34"/>
          <w:highlight w:val="none"/>
          <w:shd w:val="clear" w:fill="FFFFFF"/>
        </w:rPr>
        <w:t>万平方米，下降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18.6</w:t>
      </w:r>
      <w:r>
        <w:rPr>
          <w:rFonts w:hint="eastAsia" w:ascii="仿宋_GB2312" w:hAnsi="仿宋_GB2312" w:eastAsia="仿宋_GB2312" w:cs="仿宋_GB2312"/>
          <w:i w:val="0"/>
          <w:iCs w:val="0"/>
          <w:caps w:val="0"/>
          <w:color w:val="333333"/>
          <w:spacing w:val="0"/>
          <w:sz w:val="34"/>
          <w:szCs w:val="34"/>
          <w:highlight w:val="none"/>
          <w:shd w:val="clear" w:fill="FFFFFF"/>
        </w:rPr>
        <w:t>%;商品房销售额</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5.8</w:t>
      </w:r>
      <w:r>
        <w:rPr>
          <w:rFonts w:hint="eastAsia" w:ascii="仿宋_GB2312" w:hAnsi="仿宋_GB2312" w:eastAsia="仿宋_GB2312" w:cs="仿宋_GB2312"/>
          <w:i w:val="0"/>
          <w:iCs w:val="0"/>
          <w:caps w:val="0"/>
          <w:color w:val="333333"/>
          <w:spacing w:val="0"/>
          <w:sz w:val="34"/>
          <w:szCs w:val="34"/>
          <w:highlight w:val="none"/>
          <w:shd w:val="clear" w:fill="FFFFFF"/>
        </w:rPr>
        <w:t>亿元,下降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16.4</w:t>
      </w:r>
      <w:r>
        <w:rPr>
          <w:rFonts w:hint="eastAsia" w:ascii="仿宋_GB2312" w:hAnsi="仿宋_GB2312" w:eastAsia="仿宋_GB2312" w:cs="仿宋_GB2312"/>
          <w:i w:val="0"/>
          <w:iCs w:val="0"/>
          <w:caps w:val="0"/>
          <w:color w:val="333333"/>
          <w:spacing w:val="0"/>
          <w:sz w:val="34"/>
          <w:szCs w:val="34"/>
          <w:highlight w:val="none"/>
          <w:shd w:val="clear" w:fill="FFFFFF"/>
        </w:rPr>
        <w:t>%，其中住宅销售额</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5.6</w:t>
      </w:r>
      <w:r>
        <w:rPr>
          <w:rFonts w:hint="eastAsia" w:ascii="仿宋_GB2312" w:hAnsi="仿宋_GB2312" w:eastAsia="仿宋_GB2312" w:cs="仿宋_GB2312"/>
          <w:i w:val="0"/>
          <w:iCs w:val="0"/>
          <w:caps w:val="0"/>
          <w:color w:val="333333"/>
          <w:spacing w:val="0"/>
          <w:sz w:val="34"/>
          <w:szCs w:val="34"/>
          <w:highlight w:val="none"/>
          <w:shd w:val="clear" w:fill="FFFFFF"/>
        </w:rPr>
        <w:t>亿元,下降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17.2</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五、国内贸易</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全年社会消费品零售总额</w:t>
      </w:r>
      <w:r>
        <w:rPr>
          <w:rFonts w:hint="eastAsia" w:ascii="仿宋_GB2312" w:hAnsi="仿宋_GB2312" w:eastAsia="仿宋_GB2312" w:cs="仿宋_GB2312"/>
          <w:i w:val="0"/>
          <w:iCs w:val="0"/>
          <w:caps w:val="0"/>
          <w:color w:val="333333"/>
          <w:spacing w:val="0"/>
          <w:sz w:val="34"/>
          <w:szCs w:val="34"/>
          <w:highlight w:val="none"/>
          <w:shd w:val="clear" w:fill="FFFFFF"/>
          <w:lang w:val="en-US"/>
        </w:rPr>
        <w:t>33.3</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元，比上年增长13.4%。限额以上零售额4</w:t>
      </w:r>
      <w:r>
        <w:rPr>
          <w:rFonts w:hint="eastAsia" w:ascii="仿宋_GB2312" w:hAnsi="仿宋_GB2312" w:eastAsia="仿宋_GB2312" w:cs="仿宋_GB2312"/>
          <w:i w:val="0"/>
          <w:iCs w:val="0"/>
          <w:caps w:val="0"/>
          <w:color w:val="333333"/>
          <w:spacing w:val="0"/>
          <w:sz w:val="34"/>
          <w:szCs w:val="34"/>
          <w:highlight w:val="none"/>
          <w:shd w:val="clear" w:fill="FFFFFF"/>
          <w:lang w:val="en-US"/>
        </w:rPr>
        <w:t>.2</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亿</w:t>
      </w:r>
      <w:r>
        <w:rPr>
          <w:rFonts w:hint="eastAsia" w:ascii="仿宋_GB2312" w:hAnsi="仿宋_GB2312" w:eastAsia="仿宋_GB2312" w:cs="仿宋_GB2312"/>
          <w:i w:val="0"/>
          <w:iCs w:val="0"/>
          <w:caps w:val="0"/>
          <w:color w:val="333333"/>
          <w:spacing w:val="0"/>
          <w:sz w:val="34"/>
          <w:szCs w:val="34"/>
          <w:highlight w:val="none"/>
          <w:shd w:val="clear" w:fill="FFFFFF"/>
        </w:rPr>
        <w:t>元，增长24.4%。</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lightGray"/>
        </w:rPr>
      </w:pPr>
      <w:r>
        <w:rPr>
          <w:rFonts w:hint="eastAsia" w:ascii="仿宋_GB2312" w:hAnsi="仿宋_GB2312" w:eastAsia="仿宋_GB2312" w:cs="仿宋_GB2312"/>
          <w:i w:val="0"/>
          <w:iCs w:val="0"/>
          <w:caps w:val="0"/>
          <w:color w:val="333333"/>
          <w:spacing w:val="0"/>
          <w:sz w:val="34"/>
          <w:szCs w:val="34"/>
          <w:highlight w:val="none"/>
          <w:shd w:val="clear" w:fill="FFFFFF"/>
        </w:rPr>
        <w:t>在限额以上单位批发和零售业商品零售额中，汽车类比上年</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增</w:t>
      </w:r>
      <w:r>
        <w:rPr>
          <w:rFonts w:hint="eastAsia" w:ascii="仿宋_GB2312" w:hAnsi="仿宋_GB2312" w:eastAsia="仿宋_GB2312" w:cs="仿宋_GB2312"/>
          <w:i w:val="0"/>
          <w:iCs w:val="0"/>
          <w:caps w:val="0"/>
          <w:color w:val="333333"/>
          <w:spacing w:val="0"/>
          <w:sz w:val="34"/>
          <w:szCs w:val="34"/>
          <w:highlight w:val="none"/>
          <w:shd w:val="clear" w:fill="FFFFFF"/>
        </w:rPr>
        <w:t>长19.1%，粮油食品类增长83.3%，家用电器和音像器材类增长83.1%，石油及其制品类下降34.2%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，服</w:t>
      </w:r>
      <w:r>
        <w:rPr>
          <w:rFonts w:hint="eastAsia" w:ascii="仿宋_GB2312" w:hAnsi="仿宋_GB2312" w:eastAsia="仿宋_GB2312" w:cs="仿宋_GB2312"/>
          <w:i w:val="0"/>
          <w:iCs w:val="0"/>
          <w:caps w:val="0"/>
          <w:color w:val="333333"/>
          <w:spacing w:val="0"/>
          <w:sz w:val="34"/>
          <w:szCs w:val="34"/>
          <w:highlight w:val="none"/>
          <w:shd w:val="clear" w:fill="FFFFFF"/>
        </w:rPr>
        <w:t>装鞋帽针织品类下降3.5%。</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六、对外经济</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全年进出口总额</w:t>
      </w:r>
      <w:r>
        <w:rPr>
          <w:rFonts w:hint="eastAsia" w:ascii="仿宋_GB2312" w:hAnsi="仿宋_GB2312" w:eastAsia="仿宋_GB2312" w:cs="仿宋_GB2312"/>
          <w:i w:val="0"/>
          <w:iCs w:val="0"/>
          <w:caps w:val="0"/>
          <w:color w:val="333333"/>
          <w:spacing w:val="0"/>
          <w:sz w:val="34"/>
          <w:szCs w:val="34"/>
          <w:highlight w:val="none"/>
          <w:shd w:val="clear" w:fill="FFFFFF"/>
          <w:lang w:val="en-US"/>
        </w:rPr>
        <w:t>1.8</w:t>
      </w:r>
      <w:r>
        <w:rPr>
          <w:rFonts w:hint="eastAsia" w:ascii="仿宋_GB2312" w:hAnsi="仿宋_GB2312" w:eastAsia="仿宋_GB2312" w:cs="仿宋_GB2312"/>
          <w:i w:val="0"/>
          <w:iCs w:val="0"/>
          <w:caps w:val="0"/>
          <w:color w:val="333333"/>
          <w:spacing w:val="0"/>
          <w:sz w:val="34"/>
          <w:szCs w:val="34"/>
          <w:highlight w:val="none"/>
          <w:shd w:val="clear" w:fill="FFFFFF"/>
        </w:rPr>
        <w:t>亿元。其中，出口总额</w:t>
      </w:r>
      <w:r>
        <w:rPr>
          <w:rFonts w:hint="eastAsia" w:ascii="仿宋_GB2312" w:hAnsi="仿宋_GB2312" w:eastAsia="仿宋_GB2312" w:cs="仿宋_GB2312"/>
          <w:i w:val="0"/>
          <w:iCs w:val="0"/>
          <w:caps w:val="0"/>
          <w:color w:val="333333"/>
          <w:spacing w:val="0"/>
          <w:sz w:val="34"/>
          <w:szCs w:val="34"/>
          <w:highlight w:val="none"/>
          <w:shd w:val="clear" w:fill="FFFFFF"/>
          <w:lang w:val="en-US"/>
        </w:rPr>
        <w:t>1.46</w:t>
      </w:r>
      <w:r>
        <w:rPr>
          <w:rFonts w:hint="eastAsia" w:ascii="仿宋_GB2312" w:hAnsi="仿宋_GB2312" w:eastAsia="仿宋_GB2312" w:cs="仿宋_GB2312"/>
          <w:i w:val="0"/>
          <w:iCs w:val="0"/>
          <w:caps w:val="0"/>
          <w:color w:val="333333"/>
          <w:spacing w:val="0"/>
          <w:sz w:val="34"/>
          <w:szCs w:val="34"/>
          <w:highlight w:val="none"/>
          <w:shd w:val="clear" w:fill="FFFFFF"/>
        </w:rPr>
        <w:t>亿元，比上年</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40.4</w:t>
      </w:r>
      <w:r>
        <w:rPr>
          <w:rFonts w:hint="eastAsia" w:ascii="仿宋_GB2312" w:hAnsi="仿宋_GB2312" w:eastAsia="仿宋_GB2312" w:cs="仿宋_GB2312"/>
          <w:i w:val="0"/>
          <w:iCs w:val="0"/>
          <w:caps w:val="0"/>
          <w:color w:val="333333"/>
          <w:spacing w:val="0"/>
          <w:sz w:val="34"/>
          <w:szCs w:val="34"/>
          <w:highlight w:val="none"/>
          <w:shd w:val="clear" w:fill="FFFFFF"/>
        </w:rPr>
        <w:t>%；进口总额</w:t>
      </w:r>
      <w:r>
        <w:rPr>
          <w:rFonts w:hint="eastAsia" w:ascii="仿宋_GB2312" w:hAnsi="仿宋_GB2312" w:eastAsia="仿宋_GB2312" w:cs="仿宋_GB2312"/>
          <w:i w:val="0"/>
          <w:iCs w:val="0"/>
          <w:caps w:val="0"/>
          <w:color w:val="333333"/>
          <w:spacing w:val="0"/>
          <w:sz w:val="34"/>
          <w:szCs w:val="34"/>
          <w:highlight w:val="none"/>
          <w:shd w:val="clear" w:fill="FFFFFF"/>
          <w:lang w:val="en-US"/>
        </w:rPr>
        <w:t>3400</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元，</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5.6</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全年实际利用外资</w:t>
      </w:r>
      <w:r>
        <w:rPr>
          <w:rFonts w:hint="eastAsia" w:ascii="仿宋_GB2312" w:hAnsi="仿宋_GB2312" w:eastAsia="仿宋_GB2312" w:cs="仿宋_GB2312"/>
          <w:i w:val="0"/>
          <w:iCs w:val="0"/>
          <w:caps w:val="0"/>
          <w:color w:val="333333"/>
          <w:spacing w:val="0"/>
          <w:sz w:val="34"/>
          <w:szCs w:val="34"/>
          <w:highlight w:val="none"/>
          <w:shd w:val="clear" w:fill="FFFFFF"/>
          <w:lang w:val="en-US"/>
        </w:rPr>
        <w:t>912</w:t>
      </w:r>
      <w:r>
        <w:rPr>
          <w:rFonts w:hint="eastAsia" w:ascii="仿宋_GB2312" w:hAnsi="仿宋_GB2312" w:eastAsia="仿宋_GB2312" w:cs="仿宋_GB2312"/>
          <w:i w:val="0"/>
          <w:iCs w:val="0"/>
          <w:caps w:val="0"/>
          <w:color w:val="333333"/>
          <w:spacing w:val="0"/>
          <w:sz w:val="34"/>
          <w:szCs w:val="34"/>
          <w:highlight w:val="none"/>
          <w:shd w:val="clear" w:fill="FFFFFF"/>
        </w:rPr>
        <w:t>万美元。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七、交通运输、邮电和旅游</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年末公路总里程</w:t>
      </w:r>
      <w:r>
        <w:rPr>
          <w:rFonts w:hint="eastAsia" w:ascii="仿宋_GB2312" w:hAnsi="仿宋_GB2312" w:eastAsia="仿宋_GB2312" w:cs="仿宋_GB2312"/>
          <w:i w:val="0"/>
          <w:iCs w:val="0"/>
          <w:caps w:val="0"/>
          <w:color w:val="333333"/>
          <w:spacing w:val="0"/>
          <w:sz w:val="34"/>
          <w:szCs w:val="34"/>
          <w:highlight w:val="none"/>
          <w:shd w:val="clear" w:fill="FFFFFF"/>
          <w:lang w:val="en-US"/>
        </w:rPr>
        <w:t>4206.8</w:t>
      </w:r>
      <w:r>
        <w:rPr>
          <w:rFonts w:hint="eastAsia" w:ascii="仿宋_GB2312" w:hAnsi="仿宋_GB2312" w:eastAsia="仿宋_GB2312" w:cs="仿宋_GB2312"/>
          <w:i w:val="0"/>
          <w:iCs w:val="0"/>
          <w:caps w:val="0"/>
          <w:color w:val="333333"/>
          <w:spacing w:val="0"/>
          <w:sz w:val="34"/>
          <w:szCs w:val="34"/>
          <w:highlight w:val="none"/>
          <w:shd w:val="clear" w:fill="FFFFFF"/>
        </w:rPr>
        <w:t>公里</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1.8</w:t>
      </w:r>
      <w:r>
        <w:rPr>
          <w:rFonts w:hint="eastAsia" w:ascii="仿宋_GB2312" w:hAnsi="仿宋_GB2312" w:eastAsia="仿宋_GB2312" w:cs="仿宋_GB2312"/>
          <w:i w:val="0"/>
          <w:iCs w:val="0"/>
          <w:caps w:val="0"/>
          <w:color w:val="333333"/>
          <w:spacing w:val="0"/>
          <w:sz w:val="34"/>
          <w:szCs w:val="34"/>
          <w:highlight w:val="none"/>
          <w:shd w:val="clear" w:fill="FFFFFF"/>
        </w:rPr>
        <w:t>%。其中，</w:t>
      </w:r>
      <w:r>
        <w:rPr>
          <w:rFonts w:hint="eastAsia" w:ascii="仿宋_GB2312" w:hAnsi="仿宋_GB2312" w:eastAsia="仿宋_GB2312" w:cs="仿宋_GB2312"/>
          <w:i w:val="0"/>
          <w:iCs w:val="0"/>
          <w:caps w:val="0"/>
          <w:color w:val="333333"/>
          <w:spacing w:val="0"/>
          <w:sz w:val="34"/>
          <w:szCs w:val="34"/>
          <w:highlight w:val="none"/>
          <w:shd w:val="clear" w:fill="FFFFFF"/>
          <w:lang w:eastAsia="zh-CN"/>
        </w:rPr>
        <w:t>等级</w:t>
      </w:r>
      <w:r>
        <w:rPr>
          <w:rFonts w:hint="eastAsia" w:ascii="仿宋_GB2312" w:hAnsi="仿宋_GB2312" w:eastAsia="仿宋_GB2312" w:cs="仿宋_GB2312"/>
          <w:i w:val="0"/>
          <w:iCs w:val="0"/>
          <w:caps w:val="0"/>
          <w:color w:val="333333"/>
          <w:spacing w:val="0"/>
          <w:sz w:val="34"/>
          <w:szCs w:val="34"/>
          <w:highlight w:val="none"/>
          <w:shd w:val="clear" w:fill="FFFFFF"/>
        </w:rPr>
        <w:t>公路</w:t>
      </w:r>
      <w:r>
        <w:rPr>
          <w:rFonts w:hint="eastAsia" w:ascii="仿宋_GB2312" w:hAnsi="仿宋_GB2312" w:eastAsia="仿宋_GB2312" w:cs="仿宋_GB2312"/>
          <w:i w:val="0"/>
          <w:iCs w:val="0"/>
          <w:caps w:val="0"/>
          <w:color w:val="333333"/>
          <w:spacing w:val="0"/>
          <w:sz w:val="34"/>
          <w:szCs w:val="34"/>
          <w:highlight w:val="none"/>
          <w:shd w:val="clear" w:fill="FFFFFF"/>
          <w:lang w:val="en-US"/>
        </w:rPr>
        <w:t>3635.6</w:t>
      </w:r>
      <w:r>
        <w:rPr>
          <w:rFonts w:hint="eastAsia" w:ascii="仿宋_GB2312" w:hAnsi="仿宋_GB2312" w:eastAsia="仿宋_GB2312" w:cs="仿宋_GB2312"/>
          <w:i w:val="0"/>
          <w:iCs w:val="0"/>
          <w:caps w:val="0"/>
          <w:color w:val="333333"/>
          <w:spacing w:val="0"/>
          <w:sz w:val="34"/>
          <w:szCs w:val="34"/>
          <w:highlight w:val="none"/>
          <w:shd w:val="clear" w:fill="FFFFFF"/>
        </w:rPr>
        <w:t>公里</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年末民用汽车拥有量</w:t>
      </w:r>
      <w:r>
        <w:rPr>
          <w:rFonts w:hint="eastAsia" w:ascii="仿宋_GB2312" w:hAnsi="仿宋_GB2312" w:eastAsia="仿宋_GB2312" w:cs="仿宋_GB2312"/>
          <w:i w:val="0"/>
          <w:iCs w:val="0"/>
          <w:caps w:val="0"/>
          <w:color w:val="333333"/>
          <w:spacing w:val="0"/>
          <w:sz w:val="34"/>
          <w:szCs w:val="34"/>
          <w:highlight w:val="none"/>
          <w:shd w:val="clear" w:fill="FFFFFF"/>
          <w:lang w:val="en-US"/>
        </w:rPr>
        <w:t>9.3</w:t>
      </w:r>
      <w:r>
        <w:rPr>
          <w:rFonts w:hint="eastAsia" w:ascii="仿宋_GB2312" w:hAnsi="仿宋_GB2312" w:eastAsia="仿宋_GB2312" w:cs="仿宋_GB2312"/>
          <w:i w:val="0"/>
          <w:iCs w:val="0"/>
          <w:caps w:val="0"/>
          <w:color w:val="333333"/>
          <w:spacing w:val="0"/>
          <w:sz w:val="34"/>
          <w:szCs w:val="34"/>
          <w:highlight w:val="none"/>
          <w:shd w:val="clear" w:fill="FFFFFF"/>
        </w:rPr>
        <w:t>万辆，其中，载客汽车</w:t>
      </w:r>
      <w:r>
        <w:rPr>
          <w:rFonts w:hint="eastAsia" w:ascii="仿宋_GB2312" w:hAnsi="仿宋_GB2312" w:eastAsia="仿宋_GB2312" w:cs="仿宋_GB2312"/>
          <w:i w:val="0"/>
          <w:iCs w:val="0"/>
          <w:caps w:val="0"/>
          <w:color w:val="333333"/>
          <w:spacing w:val="0"/>
          <w:sz w:val="34"/>
          <w:szCs w:val="34"/>
          <w:highlight w:val="none"/>
          <w:shd w:val="clear" w:fill="FFFFFF"/>
          <w:lang w:val="en-US"/>
        </w:rPr>
        <w:t>6.2</w:t>
      </w:r>
      <w:r>
        <w:rPr>
          <w:rFonts w:hint="eastAsia" w:ascii="仿宋_GB2312" w:hAnsi="仿宋_GB2312" w:eastAsia="仿宋_GB2312" w:cs="仿宋_GB2312"/>
          <w:i w:val="0"/>
          <w:iCs w:val="0"/>
          <w:caps w:val="0"/>
          <w:color w:val="333333"/>
          <w:spacing w:val="0"/>
          <w:sz w:val="34"/>
          <w:szCs w:val="34"/>
          <w:highlight w:val="none"/>
          <w:shd w:val="clear" w:fill="FFFFFF"/>
        </w:rPr>
        <w:t>万辆，载货汽车</w:t>
      </w:r>
      <w:r>
        <w:rPr>
          <w:rFonts w:hint="eastAsia" w:ascii="仿宋_GB2312" w:hAnsi="仿宋_GB2312" w:eastAsia="仿宋_GB2312" w:cs="仿宋_GB2312"/>
          <w:i w:val="0"/>
          <w:iCs w:val="0"/>
          <w:caps w:val="0"/>
          <w:color w:val="333333"/>
          <w:spacing w:val="0"/>
          <w:sz w:val="34"/>
          <w:szCs w:val="34"/>
          <w:highlight w:val="none"/>
          <w:shd w:val="clear" w:fill="FFFFFF"/>
          <w:lang w:val="en-US"/>
        </w:rPr>
        <w:t>1</w:t>
      </w:r>
      <w:r>
        <w:rPr>
          <w:rFonts w:hint="eastAsia" w:ascii="仿宋_GB2312" w:hAnsi="仿宋_GB2312" w:eastAsia="仿宋_GB2312" w:cs="仿宋_GB2312"/>
          <w:i w:val="0"/>
          <w:iCs w:val="0"/>
          <w:caps w:val="0"/>
          <w:color w:val="333333"/>
          <w:spacing w:val="0"/>
          <w:sz w:val="34"/>
          <w:szCs w:val="34"/>
          <w:highlight w:val="none"/>
          <w:shd w:val="clear" w:fill="FFFFFF"/>
        </w:rPr>
        <w:t>万辆。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全年邮政业务总量</w:t>
      </w:r>
      <w:r>
        <w:rPr>
          <w:rFonts w:hint="eastAsia" w:ascii="仿宋_GB2312" w:hAnsi="仿宋_GB2312" w:eastAsia="仿宋_GB2312" w:cs="仿宋_GB2312"/>
          <w:i w:val="0"/>
          <w:iCs w:val="0"/>
          <w:caps w:val="0"/>
          <w:color w:val="333333"/>
          <w:spacing w:val="0"/>
          <w:sz w:val="34"/>
          <w:szCs w:val="34"/>
          <w:highlight w:val="none"/>
          <w:shd w:val="clear" w:fill="FFFFFF"/>
          <w:lang w:val="en-US"/>
        </w:rPr>
        <w:t>8106</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元</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12.3</w:t>
      </w:r>
      <w:r>
        <w:rPr>
          <w:rFonts w:hint="eastAsia" w:ascii="仿宋_GB2312" w:hAnsi="仿宋_GB2312" w:eastAsia="仿宋_GB2312" w:cs="仿宋_GB2312"/>
          <w:i w:val="0"/>
          <w:iCs w:val="0"/>
          <w:caps w:val="0"/>
          <w:color w:val="333333"/>
          <w:spacing w:val="0"/>
          <w:sz w:val="34"/>
          <w:szCs w:val="34"/>
          <w:highlight w:val="none"/>
          <w:shd w:val="clear" w:fill="FFFFFF"/>
        </w:rPr>
        <w:t>%。全年邮政业务收入</w:t>
      </w:r>
      <w:r>
        <w:rPr>
          <w:rFonts w:hint="eastAsia" w:ascii="仿宋_GB2312" w:hAnsi="仿宋_GB2312" w:eastAsia="仿宋_GB2312" w:cs="仿宋_GB2312"/>
          <w:i w:val="0"/>
          <w:iCs w:val="0"/>
          <w:caps w:val="0"/>
          <w:color w:val="333333"/>
          <w:spacing w:val="0"/>
          <w:sz w:val="34"/>
          <w:szCs w:val="34"/>
          <w:highlight w:val="none"/>
          <w:shd w:val="clear" w:fill="FFFFFF"/>
          <w:lang w:val="en-US"/>
        </w:rPr>
        <w:t>7971</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元，增长1</w:t>
      </w:r>
      <w:r>
        <w:rPr>
          <w:rFonts w:hint="eastAsia" w:ascii="仿宋_GB2312" w:hAnsi="仿宋_GB2312" w:eastAsia="仿宋_GB2312" w:cs="仿宋_GB2312"/>
          <w:i w:val="0"/>
          <w:iCs w:val="0"/>
          <w:caps w:val="0"/>
          <w:color w:val="333333"/>
          <w:spacing w:val="0"/>
          <w:sz w:val="34"/>
          <w:szCs w:val="34"/>
          <w:highlight w:val="none"/>
          <w:shd w:val="clear" w:fill="FFFFFF"/>
          <w:lang w:val="en-US"/>
        </w:rPr>
        <w:t>1.5</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其中，快递业务收入</w:t>
      </w:r>
      <w:r>
        <w:rPr>
          <w:rFonts w:hint="eastAsia" w:ascii="仿宋_GB2312" w:hAnsi="仿宋_GB2312" w:eastAsia="仿宋_GB2312" w:cs="仿宋_GB2312"/>
          <w:i w:val="0"/>
          <w:iCs w:val="0"/>
          <w:caps w:val="0"/>
          <w:color w:val="333333"/>
          <w:spacing w:val="0"/>
          <w:sz w:val="34"/>
          <w:szCs w:val="34"/>
          <w:highlight w:val="none"/>
          <w:shd w:val="clear" w:fill="FFFFFF"/>
          <w:lang w:val="en-US"/>
        </w:rPr>
        <w:t>660</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56.64</w:t>
      </w:r>
      <w:r>
        <w:rPr>
          <w:rFonts w:hint="eastAsia" w:ascii="仿宋_GB2312" w:hAnsi="仿宋_GB2312" w:eastAsia="仿宋_GB2312" w:cs="仿宋_GB2312"/>
          <w:i w:val="0"/>
          <w:iCs w:val="0"/>
          <w:caps w:val="0"/>
          <w:color w:val="333333"/>
          <w:spacing w:val="0"/>
          <w:sz w:val="34"/>
          <w:szCs w:val="34"/>
          <w:highlight w:val="none"/>
          <w:shd w:val="clear" w:fill="FFFFFF"/>
        </w:rPr>
        <w:t>%。全年邮政业完成函件</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rPr>
        <w:t>万件，包裹</w:t>
      </w:r>
      <w:r>
        <w:rPr>
          <w:rFonts w:hint="eastAsia" w:ascii="仿宋_GB2312" w:hAnsi="仿宋_GB2312" w:eastAsia="仿宋_GB2312" w:cs="仿宋_GB2312"/>
          <w:i w:val="0"/>
          <w:iCs w:val="0"/>
          <w:caps w:val="0"/>
          <w:color w:val="333333"/>
          <w:spacing w:val="0"/>
          <w:sz w:val="34"/>
          <w:szCs w:val="34"/>
          <w:highlight w:val="none"/>
          <w:shd w:val="clear" w:fill="FFFFFF"/>
          <w:lang w:val="en-US"/>
        </w:rPr>
        <w:t>0.3</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件，全年订销报纸</w:t>
      </w:r>
      <w:r>
        <w:rPr>
          <w:rFonts w:hint="eastAsia" w:ascii="仿宋_GB2312" w:hAnsi="仿宋_GB2312" w:eastAsia="仿宋_GB2312" w:cs="仿宋_GB2312"/>
          <w:i w:val="0"/>
          <w:iCs w:val="0"/>
          <w:caps w:val="0"/>
          <w:color w:val="333333"/>
          <w:spacing w:val="0"/>
          <w:sz w:val="34"/>
          <w:szCs w:val="34"/>
          <w:highlight w:val="none"/>
          <w:shd w:val="clear" w:fill="FFFFFF"/>
          <w:lang w:val="en-US"/>
        </w:rPr>
        <w:t>331</w:t>
      </w:r>
      <w:r>
        <w:rPr>
          <w:rFonts w:hint="eastAsia" w:ascii="仿宋_GB2312" w:hAnsi="仿宋_GB2312" w:eastAsia="仿宋_GB2312" w:cs="仿宋_GB2312"/>
          <w:i w:val="0"/>
          <w:iCs w:val="0"/>
          <w:caps w:val="0"/>
          <w:color w:val="333333"/>
          <w:spacing w:val="0"/>
          <w:sz w:val="34"/>
          <w:szCs w:val="34"/>
          <w:highlight w:val="none"/>
          <w:shd w:val="clear" w:fill="FFFFFF"/>
        </w:rPr>
        <w:t>万份，订销杂志</w:t>
      </w:r>
      <w:r>
        <w:rPr>
          <w:rFonts w:hint="eastAsia" w:ascii="仿宋_GB2312" w:hAnsi="仿宋_GB2312" w:eastAsia="仿宋_GB2312" w:cs="仿宋_GB2312"/>
          <w:i w:val="0"/>
          <w:iCs w:val="0"/>
          <w:caps w:val="0"/>
          <w:color w:val="333333"/>
          <w:spacing w:val="0"/>
          <w:sz w:val="34"/>
          <w:szCs w:val="34"/>
          <w:highlight w:val="none"/>
          <w:shd w:val="clear" w:fill="FFFFFF"/>
          <w:lang w:val="en-US"/>
        </w:rPr>
        <w:t>30</w:t>
      </w:r>
      <w:r>
        <w:rPr>
          <w:rFonts w:hint="eastAsia" w:ascii="仿宋_GB2312" w:hAnsi="仿宋_GB2312" w:eastAsia="仿宋_GB2312" w:cs="仿宋_GB2312"/>
          <w:i w:val="0"/>
          <w:iCs w:val="0"/>
          <w:caps w:val="0"/>
          <w:color w:val="333333"/>
          <w:spacing w:val="0"/>
          <w:sz w:val="34"/>
          <w:szCs w:val="34"/>
          <w:highlight w:val="none"/>
          <w:shd w:val="clear" w:fill="FFFFFF"/>
        </w:rPr>
        <w:t>万份。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lang w:eastAsia="zh-CN"/>
        </w:rPr>
        <w:t>年末</w:t>
      </w:r>
      <w:r>
        <w:rPr>
          <w:rFonts w:hint="eastAsia" w:ascii="仿宋_GB2312" w:hAnsi="仿宋_GB2312" w:eastAsia="仿宋_GB2312" w:cs="仿宋_GB2312"/>
          <w:i w:val="0"/>
          <w:iCs w:val="0"/>
          <w:caps w:val="0"/>
          <w:color w:val="333333"/>
          <w:spacing w:val="0"/>
          <w:sz w:val="34"/>
          <w:szCs w:val="34"/>
          <w:highlight w:val="none"/>
          <w:shd w:val="clear" w:fill="FFFFFF"/>
        </w:rPr>
        <w:t>全</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县</w:t>
      </w:r>
      <w:r>
        <w:rPr>
          <w:rFonts w:hint="eastAsia" w:ascii="仿宋_GB2312" w:hAnsi="仿宋_GB2312" w:eastAsia="仿宋_GB2312" w:cs="仿宋_GB2312"/>
          <w:i w:val="0"/>
          <w:iCs w:val="0"/>
          <w:caps w:val="0"/>
          <w:color w:val="333333"/>
          <w:spacing w:val="0"/>
          <w:sz w:val="34"/>
          <w:szCs w:val="34"/>
          <w:highlight w:val="none"/>
          <w:shd w:val="clear" w:fill="FFFFFF"/>
        </w:rPr>
        <w:t>共有国家A级以上旅游区</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10</w:t>
      </w:r>
      <w:r>
        <w:rPr>
          <w:rFonts w:hint="eastAsia" w:ascii="仿宋_GB2312" w:hAnsi="仿宋_GB2312" w:eastAsia="仿宋_GB2312" w:cs="仿宋_GB2312"/>
          <w:i w:val="0"/>
          <w:iCs w:val="0"/>
          <w:caps w:val="0"/>
          <w:color w:val="333333"/>
          <w:spacing w:val="0"/>
          <w:sz w:val="34"/>
          <w:szCs w:val="34"/>
          <w:highlight w:val="none"/>
          <w:shd w:val="clear" w:fill="FFFFFF"/>
        </w:rPr>
        <w:t>个，其中4A级旅区</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个。星级以上宾馆</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3</w:t>
      </w:r>
      <w:r>
        <w:rPr>
          <w:rFonts w:hint="eastAsia" w:ascii="仿宋_GB2312" w:hAnsi="仿宋_GB2312" w:eastAsia="仿宋_GB2312" w:cs="仿宋_GB2312"/>
          <w:i w:val="0"/>
          <w:iCs w:val="0"/>
          <w:caps w:val="0"/>
          <w:color w:val="333333"/>
          <w:spacing w:val="0"/>
          <w:sz w:val="34"/>
          <w:szCs w:val="34"/>
          <w:highlight w:val="none"/>
          <w:shd w:val="clear" w:fill="FFFFFF"/>
        </w:rPr>
        <w:t>家,其中四星级宾馆</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家,三星级宾</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家,二星级宾馆</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家。旅行社</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3</w:t>
      </w:r>
      <w:r>
        <w:rPr>
          <w:rFonts w:hint="eastAsia" w:ascii="仿宋_GB2312" w:hAnsi="仿宋_GB2312" w:eastAsia="仿宋_GB2312" w:cs="仿宋_GB2312"/>
          <w:i w:val="0"/>
          <w:iCs w:val="0"/>
          <w:caps w:val="0"/>
          <w:color w:val="333333"/>
          <w:spacing w:val="0"/>
          <w:sz w:val="34"/>
          <w:szCs w:val="34"/>
          <w:highlight w:val="none"/>
          <w:shd w:val="clear" w:fill="FFFFFF"/>
        </w:rPr>
        <w:t>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八、市场价格</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全年城市居民消费价格比上年上涨</w:t>
      </w:r>
      <w:r>
        <w:rPr>
          <w:rFonts w:hint="eastAsia" w:ascii="仿宋_GB2312" w:hAnsi="仿宋_GB2312" w:eastAsia="仿宋_GB2312" w:cs="仿宋_GB2312"/>
          <w:i w:val="0"/>
          <w:iCs w:val="0"/>
          <w:caps w:val="0"/>
          <w:color w:val="333333"/>
          <w:spacing w:val="0"/>
          <w:sz w:val="34"/>
          <w:szCs w:val="34"/>
          <w:highlight w:val="none"/>
          <w:shd w:val="clear" w:fill="FFFFFF"/>
          <w:lang w:val="en-US"/>
        </w:rPr>
        <w:t>0.7</w:t>
      </w:r>
      <w:r>
        <w:rPr>
          <w:rFonts w:hint="eastAsia" w:ascii="仿宋_GB2312" w:hAnsi="仿宋_GB2312" w:eastAsia="仿宋_GB2312" w:cs="仿宋_GB2312"/>
          <w:i w:val="0"/>
          <w:iCs w:val="0"/>
          <w:caps w:val="0"/>
          <w:color w:val="333333"/>
          <w:spacing w:val="0"/>
          <w:sz w:val="34"/>
          <w:szCs w:val="34"/>
          <w:highlight w:val="none"/>
          <w:shd w:val="clear" w:fill="FFFFFF"/>
        </w:rPr>
        <w:t>%。分类别看，食品烟酒类价格上涨</w:t>
      </w:r>
      <w:r>
        <w:rPr>
          <w:rFonts w:hint="eastAsia" w:ascii="仿宋_GB2312" w:hAnsi="仿宋_GB2312" w:eastAsia="仿宋_GB2312" w:cs="仿宋_GB2312"/>
          <w:i w:val="0"/>
          <w:iCs w:val="0"/>
          <w:caps w:val="0"/>
          <w:color w:val="333333"/>
          <w:spacing w:val="0"/>
          <w:sz w:val="34"/>
          <w:szCs w:val="34"/>
          <w:highlight w:val="none"/>
          <w:shd w:val="clear" w:fill="FFFFFF"/>
          <w:lang w:val="en-US"/>
        </w:rPr>
        <w:t>0.5</w:t>
      </w:r>
      <w:r>
        <w:rPr>
          <w:rFonts w:hint="eastAsia" w:ascii="仿宋_GB2312" w:hAnsi="仿宋_GB2312" w:eastAsia="仿宋_GB2312" w:cs="仿宋_GB2312"/>
          <w:i w:val="0"/>
          <w:iCs w:val="0"/>
          <w:caps w:val="0"/>
          <w:color w:val="333333"/>
          <w:spacing w:val="0"/>
          <w:sz w:val="34"/>
          <w:szCs w:val="34"/>
          <w:highlight w:val="none"/>
          <w:shd w:val="clear" w:fill="FFFFFF"/>
        </w:rPr>
        <w:t>%，衣着类价格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上涨</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0.2</w:t>
      </w:r>
      <w:r>
        <w:rPr>
          <w:rFonts w:hint="eastAsia" w:ascii="仿宋_GB2312" w:hAnsi="仿宋_GB2312" w:eastAsia="仿宋_GB2312" w:cs="仿宋_GB2312"/>
          <w:i w:val="0"/>
          <w:iCs w:val="0"/>
          <w:caps w:val="0"/>
          <w:color w:val="333333"/>
          <w:spacing w:val="0"/>
          <w:sz w:val="34"/>
          <w:szCs w:val="34"/>
          <w:highlight w:val="none"/>
          <w:shd w:val="clear" w:fill="FFFFFF"/>
        </w:rPr>
        <w:t>%，居住类价格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上涨</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0.8</w:t>
      </w:r>
      <w:r>
        <w:rPr>
          <w:rFonts w:hint="eastAsia" w:ascii="仿宋_GB2312" w:hAnsi="仿宋_GB2312" w:eastAsia="仿宋_GB2312" w:cs="仿宋_GB2312"/>
          <w:i w:val="0"/>
          <w:iCs w:val="0"/>
          <w:caps w:val="0"/>
          <w:color w:val="333333"/>
          <w:spacing w:val="0"/>
          <w:sz w:val="34"/>
          <w:szCs w:val="34"/>
          <w:highlight w:val="none"/>
          <w:shd w:val="clear" w:fill="FFFFFF"/>
        </w:rPr>
        <w:t>%，生活用品及服务类价格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0.2</w:t>
      </w:r>
      <w:r>
        <w:rPr>
          <w:rFonts w:hint="eastAsia" w:ascii="仿宋_GB2312" w:hAnsi="仿宋_GB2312" w:eastAsia="仿宋_GB2312" w:cs="仿宋_GB2312"/>
          <w:i w:val="0"/>
          <w:iCs w:val="0"/>
          <w:caps w:val="0"/>
          <w:color w:val="333333"/>
          <w:spacing w:val="0"/>
          <w:sz w:val="34"/>
          <w:szCs w:val="34"/>
          <w:highlight w:val="none"/>
          <w:shd w:val="clear" w:fill="FFFFFF"/>
        </w:rPr>
        <w:t>%，交通和通信类价格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上涨</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4.5</w:t>
      </w:r>
      <w:r>
        <w:rPr>
          <w:rFonts w:hint="eastAsia" w:ascii="仿宋_GB2312" w:hAnsi="仿宋_GB2312" w:eastAsia="仿宋_GB2312" w:cs="仿宋_GB2312"/>
          <w:i w:val="0"/>
          <w:iCs w:val="0"/>
          <w:caps w:val="0"/>
          <w:color w:val="333333"/>
          <w:spacing w:val="0"/>
          <w:sz w:val="34"/>
          <w:szCs w:val="34"/>
          <w:highlight w:val="none"/>
          <w:shd w:val="clear" w:fill="FFFFFF"/>
        </w:rPr>
        <w:t>%，教育文化和娱乐类价格上涨</w:t>
      </w:r>
      <w:r>
        <w:rPr>
          <w:rFonts w:hint="eastAsia" w:ascii="仿宋_GB2312" w:hAnsi="仿宋_GB2312" w:eastAsia="仿宋_GB2312" w:cs="仿宋_GB2312"/>
          <w:i w:val="0"/>
          <w:iCs w:val="0"/>
          <w:caps w:val="0"/>
          <w:color w:val="333333"/>
          <w:spacing w:val="0"/>
          <w:sz w:val="34"/>
          <w:szCs w:val="34"/>
          <w:highlight w:val="none"/>
          <w:shd w:val="clear" w:fill="FFFFFF"/>
          <w:lang w:val="en-US"/>
        </w:rPr>
        <w:t>0.5</w:t>
      </w:r>
      <w:r>
        <w:rPr>
          <w:rFonts w:hint="eastAsia" w:ascii="仿宋_GB2312" w:hAnsi="仿宋_GB2312" w:eastAsia="仿宋_GB2312" w:cs="仿宋_GB2312"/>
          <w:i w:val="0"/>
          <w:iCs w:val="0"/>
          <w:caps w:val="0"/>
          <w:color w:val="333333"/>
          <w:spacing w:val="0"/>
          <w:sz w:val="34"/>
          <w:szCs w:val="34"/>
          <w:highlight w:val="none"/>
          <w:shd w:val="clear" w:fill="FFFFFF"/>
        </w:rPr>
        <w:t>%，医疗保健类价格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1.9</w:t>
      </w:r>
      <w:r>
        <w:rPr>
          <w:rFonts w:hint="eastAsia" w:ascii="仿宋_GB2312" w:hAnsi="仿宋_GB2312" w:eastAsia="仿宋_GB2312" w:cs="仿宋_GB2312"/>
          <w:i w:val="0"/>
          <w:iCs w:val="0"/>
          <w:caps w:val="0"/>
          <w:color w:val="333333"/>
          <w:spacing w:val="0"/>
          <w:sz w:val="34"/>
          <w:szCs w:val="34"/>
          <w:highlight w:val="none"/>
          <w:shd w:val="clear" w:fill="FFFFFF"/>
        </w:rPr>
        <w:t>%，其他用品和服务类价格</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rPr>
        <w:t>1.5</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center"/>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drawing>
          <wp:inline distT="0" distB="0" distL="114300" distR="114300">
            <wp:extent cx="4751705" cy="2990215"/>
            <wp:effectExtent l="0" t="0" r="10795" b="635"/>
            <wp:docPr id="7178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center"/>
        <w:rPr>
          <w:rFonts w:hint="eastAsia" w:ascii="仿宋_GB2312" w:hAnsi="仿宋_GB2312" w:eastAsia="仿宋_GB2312" w:cs="仿宋_GB2312"/>
          <w:sz w:val="34"/>
          <w:szCs w:val="34"/>
        </w:rPr>
      </w:pPr>
    </w:p>
    <w:tbl>
      <w:tblPr>
        <w:tblStyle w:val="5"/>
        <w:tblW w:w="72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13"/>
        <w:gridCol w:w="3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5" w:hRule="atLeast"/>
          <w:jc w:val="center"/>
        </w:trPr>
        <w:tc>
          <w:tcPr>
            <w:tcW w:w="7293" w:type="dxa"/>
            <w:gridSpan w:val="2"/>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3" w:firstLineChars="200"/>
              <w:jc w:val="center"/>
              <w:textAlignment w:val="center"/>
              <w:rPr>
                <w:rFonts w:hint="eastAsia" w:ascii="仿宋_GB2312" w:hAnsi="仿宋_GB2312" w:eastAsia="仿宋_GB2312" w:cs="仿宋_GB2312"/>
                <w:b/>
                <w:bCs/>
                <w:i w:val="0"/>
                <w:iCs w:val="0"/>
                <w:color w:val="333333"/>
                <w:sz w:val="34"/>
                <w:szCs w:val="34"/>
                <w:u w:val="none"/>
              </w:rPr>
            </w:pPr>
            <w:r>
              <w:rPr>
                <w:rFonts w:hint="eastAsia" w:ascii="仿宋_GB2312" w:hAnsi="仿宋_GB2312" w:eastAsia="仿宋_GB2312" w:cs="仿宋_GB2312"/>
                <w:b/>
                <w:bCs/>
                <w:i w:val="0"/>
                <w:iCs w:val="0"/>
                <w:color w:val="333333"/>
                <w:kern w:val="0"/>
                <w:sz w:val="34"/>
                <w:szCs w:val="34"/>
                <w:u w:val="none"/>
                <w:lang w:val="en-US" w:eastAsia="zh-CN" w:bidi="ar"/>
              </w:rPr>
              <w:t>2021年居民消费价格比上年涨跌幅度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7293"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vMerge w:val="restart"/>
            <w:tcBorders>
              <w:top w:val="single" w:color="000000" w:sz="4" w:space="0"/>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center"/>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指　　　　标</w:t>
            </w:r>
          </w:p>
        </w:tc>
        <w:tc>
          <w:tcPr>
            <w:tcW w:w="3180"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both"/>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全　</w:t>
            </w:r>
            <w:r>
              <w:rPr>
                <w:rStyle w:val="9"/>
                <w:rFonts w:hint="eastAsia" w:ascii="仿宋_GB2312" w:hAnsi="仿宋_GB2312" w:eastAsia="仿宋_GB2312" w:cs="仿宋_GB2312"/>
                <w:sz w:val="34"/>
                <w:szCs w:val="34"/>
                <w:lang w:val="en-US" w:eastAsia="zh-CN" w:bidi="ar"/>
              </w:rPr>
              <w:t xml:space="preserve"> </w:t>
            </w:r>
            <w:r>
              <w:rPr>
                <w:rStyle w:val="10"/>
                <w:rFonts w:hint="eastAsia" w:ascii="仿宋_GB2312" w:hAnsi="仿宋_GB2312" w:eastAsia="仿宋_GB2312" w:cs="仿宋_GB2312"/>
                <w:sz w:val="34"/>
                <w:szCs w:val="34"/>
                <w:lang w:val="en-US" w:eastAsia="zh-CN" w:bidi="ar"/>
              </w:rPr>
              <w:t>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vMerge w:val="continue"/>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680" w:firstLineChars="200"/>
              <w:jc w:val="center"/>
              <w:rPr>
                <w:rFonts w:hint="eastAsia" w:ascii="仿宋_GB2312" w:hAnsi="仿宋_GB2312" w:eastAsia="仿宋_GB2312" w:cs="仿宋_GB2312"/>
                <w:i w:val="0"/>
                <w:iCs w:val="0"/>
                <w:color w:val="333333"/>
                <w:sz w:val="34"/>
                <w:szCs w:val="34"/>
                <w:u w:val="none"/>
              </w:rPr>
            </w:pPr>
          </w:p>
        </w:tc>
        <w:tc>
          <w:tcPr>
            <w:tcW w:w="3180" w:type="dxa"/>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adjustRightInd/>
              <w:snapToGrid/>
              <w:ind w:firstLine="680" w:firstLineChars="200"/>
              <w:jc w:val="center"/>
              <w:rPr>
                <w:rFonts w:hint="eastAsia" w:ascii="仿宋_GB2312" w:hAnsi="仿宋_GB2312" w:eastAsia="仿宋_GB2312" w:cs="仿宋_GB2312"/>
                <w:i w:val="0"/>
                <w:iCs w:val="0"/>
                <w:color w:val="333333"/>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居民消费价格</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其中：食品烟酒</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衣　着</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居　住</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生活用品及服务</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交通通信</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教育文化娱乐</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1020" w:firstLineChars="3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医疗保健</w:t>
            </w:r>
          </w:p>
        </w:tc>
        <w:tc>
          <w:tcPr>
            <w:tcW w:w="3180" w:type="dxa"/>
            <w:tcBorders>
              <w:top w:val="nil"/>
              <w:left w:val="single" w:color="000000" w:sz="4" w:space="0"/>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113" w:type="dxa"/>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其他用品及服务</w:t>
            </w:r>
          </w:p>
        </w:tc>
        <w:tc>
          <w:tcPr>
            <w:tcW w:w="3180" w:type="dxa"/>
            <w:tcBorders>
              <w:top w:val="nil"/>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333333"/>
                <w:sz w:val="34"/>
                <w:szCs w:val="34"/>
                <w:u w:val="none"/>
              </w:rPr>
            </w:pPr>
            <w:r>
              <w:rPr>
                <w:rFonts w:hint="eastAsia" w:ascii="仿宋_GB2312" w:hAnsi="仿宋_GB2312" w:eastAsia="仿宋_GB2312" w:cs="仿宋_GB2312"/>
                <w:i w:val="0"/>
                <w:iCs w:val="0"/>
                <w:color w:val="333333"/>
                <w:kern w:val="0"/>
                <w:sz w:val="34"/>
                <w:szCs w:val="34"/>
                <w:u w:val="none"/>
                <w:lang w:val="en-US" w:eastAsia="zh-CN" w:bidi="ar"/>
              </w:rPr>
              <w:t>-1.5</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jc w:val="left"/>
        <w:rPr>
          <w:rFonts w:hint="eastAsia" w:ascii="仿宋_GB2312" w:hAnsi="仿宋_GB2312" w:eastAsia="仿宋_GB2312" w:cs="仿宋_GB2312"/>
          <w:i w:val="0"/>
          <w:iCs w:val="0"/>
          <w:caps w:val="0"/>
          <w:color w:val="333333"/>
          <w:spacing w:val="0"/>
          <w:sz w:val="34"/>
          <w:szCs w:val="34"/>
          <w:highlight w:val="none"/>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九、财 政</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全年一般公共预算收入</w:t>
      </w:r>
      <w:r>
        <w:rPr>
          <w:rFonts w:hint="eastAsia" w:ascii="仿宋_GB2312" w:hAnsi="仿宋_GB2312" w:eastAsia="仿宋_GB2312" w:cs="仿宋_GB2312"/>
          <w:i w:val="0"/>
          <w:iCs w:val="0"/>
          <w:caps w:val="0"/>
          <w:color w:val="333333"/>
          <w:spacing w:val="0"/>
          <w:sz w:val="34"/>
          <w:szCs w:val="34"/>
          <w:highlight w:val="none"/>
          <w:shd w:val="clear" w:fill="FFFFFF"/>
          <w:lang w:val="en-US"/>
        </w:rPr>
        <w:t>12.6</w:t>
      </w:r>
      <w:r>
        <w:rPr>
          <w:rFonts w:hint="eastAsia" w:ascii="仿宋_GB2312" w:hAnsi="仿宋_GB2312" w:eastAsia="仿宋_GB2312" w:cs="仿宋_GB2312"/>
          <w:i w:val="0"/>
          <w:iCs w:val="0"/>
          <w:caps w:val="0"/>
          <w:color w:val="333333"/>
          <w:spacing w:val="0"/>
          <w:sz w:val="34"/>
          <w:szCs w:val="34"/>
          <w:highlight w:val="none"/>
          <w:shd w:val="clear" w:fill="FFFFFF"/>
        </w:rPr>
        <w:t>亿元，比上年增长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19</w:t>
      </w:r>
      <w:r>
        <w:rPr>
          <w:rFonts w:hint="eastAsia" w:ascii="仿宋_GB2312" w:hAnsi="仿宋_GB2312" w:eastAsia="仿宋_GB2312" w:cs="仿宋_GB2312"/>
          <w:i w:val="0"/>
          <w:iCs w:val="0"/>
          <w:caps w:val="0"/>
          <w:color w:val="333333"/>
          <w:spacing w:val="0"/>
          <w:sz w:val="34"/>
          <w:szCs w:val="34"/>
          <w:highlight w:val="none"/>
          <w:shd w:val="clear" w:fill="FFFFFF"/>
        </w:rPr>
        <w:t>%。其中，税收收入</w:t>
      </w:r>
      <w:r>
        <w:rPr>
          <w:rFonts w:hint="eastAsia" w:ascii="仿宋_GB2312" w:hAnsi="仿宋_GB2312" w:eastAsia="仿宋_GB2312" w:cs="仿宋_GB2312"/>
          <w:i w:val="0"/>
          <w:iCs w:val="0"/>
          <w:caps w:val="0"/>
          <w:color w:val="333333"/>
          <w:spacing w:val="0"/>
          <w:sz w:val="34"/>
          <w:szCs w:val="34"/>
          <w:highlight w:val="none"/>
          <w:shd w:val="clear" w:fill="FFFFFF"/>
          <w:lang w:val="en-US"/>
        </w:rPr>
        <w:t>10.2</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27.4</w:t>
      </w:r>
      <w:r>
        <w:rPr>
          <w:rFonts w:hint="eastAsia" w:ascii="仿宋_GB2312" w:hAnsi="仿宋_GB2312" w:eastAsia="仿宋_GB2312" w:cs="仿宋_GB2312"/>
          <w:i w:val="0"/>
          <w:iCs w:val="0"/>
          <w:caps w:val="0"/>
          <w:color w:val="333333"/>
          <w:spacing w:val="0"/>
          <w:sz w:val="34"/>
          <w:szCs w:val="34"/>
          <w:highlight w:val="none"/>
          <w:shd w:val="clear" w:fill="FFFFFF"/>
        </w:rPr>
        <w:t>%。在各项税收中，增值税</w:t>
      </w:r>
      <w:r>
        <w:rPr>
          <w:rFonts w:hint="eastAsia" w:ascii="仿宋_GB2312" w:hAnsi="仿宋_GB2312" w:eastAsia="仿宋_GB2312" w:cs="仿宋_GB2312"/>
          <w:i w:val="0"/>
          <w:iCs w:val="0"/>
          <w:caps w:val="0"/>
          <w:color w:val="333333"/>
          <w:spacing w:val="0"/>
          <w:sz w:val="34"/>
          <w:szCs w:val="34"/>
          <w:highlight w:val="none"/>
          <w:shd w:val="clear" w:fill="FFFFFF"/>
          <w:lang w:val="en-US"/>
        </w:rPr>
        <w:t>4.1</w:t>
      </w:r>
      <w:r>
        <w:rPr>
          <w:rFonts w:hint="eastAsia" w:ascii="仿宋_GB2312" w:hAnsi="仿宋_GB2312" w:eastAsia="仿宋_GB2312" w:cs="仿宋_GB2312"/>
          <w:i w:val="0"/>
          <w:iCs w:val="0"/>
          <w:caps w:val="0"/>
          <w:color w:val="333333"/>
          <w:spacing w:val="0"/>
          <w:sz w:val="34"/>
          <w:szCs w:val="34"/>
          <w:highlight w:val="none"/>
          <w:shd w:val="clear" w:fill="FFFFFF"/>
        </w:rPr>
        <w:t>亿元，</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25</w:t>
      </w:r>
      <w:r>
        <w:rPr>
          <w:rFonts w:hint="eastAsia" w:ascii="仿宋_GB2312" w:hAnsi="仿宋_GB2312" w:eastAsia="仿宋_GB2312" w:cs="仿宋_GB2312"/>
          <w:i w:val="0"/>
          <w:iCs w:val="0"/>
          <w:caps w:val="0"/>
          <w:color w:val="333333"/>
          <w:spacing w:val="0"/>
          <w:sz w:val="34"/>
          <w:szCs w:val="34"/>
          <w:highlight w:val="none"/>
          <w:shd w:val="clear" w:fill="FFFFFF"/>
        </w:rPr>
        <w:t>%；企业所得税</w:t>
      </w:r>
      <w:r>
        <w:rPr>
          <w:rFonts w:hint="eastAsia" w:ascii="仿宋_GB2312" w:hAnsi="仿宋_GB2312" w:eastAsia="仿宋_GB2312" w:cs="仿宋_GB2312"/>
          <w:i w:val="0"/>
          <w:iCs w:val="0"/>
          <w:caps w:val="0"/>
          <w:color w:val="333333"/>
          <w:spacing w:val="0"/>
          <w:sz w:val="34"/>
          <w:szCs w:val="34"/>
          <w:highlight w:val="none"/>
          <w:shd w:val="clear" w:fill="FFFFFF"/>
          <w:lang w:val="en-US"/>
        </w:rPr>
        <w:t>0.8</w:t>
      </w:r>
      <w:r>
        <w:rPr>
          <w:rFonts w:hint="eastAsia" w:ascii="仿宋_GB2312" w:hAnsi="仿宋_GB2312" w:eastAsia="仿宋_GB2312" w:cs="仿宋_GB2312"/>
          <w:i w:val="0"/>
          <w:iCs w:val="0"/>
          <w:caps w:val="0"/>
          <w:color w:val="333333"/>
          <w:spacing w:val="0"/>
          <w:sz w:val="34"/>
          <w:szCs w:val="34"/>
          <w:highlight w:val="none"/>
          <w:shd w:val="clear" w:fill="FFFFFF"/>
        </w:rPr>
        <w:t>亿元，</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增长</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70</w:t>
      </w:r>
      <w:r>
        <w:rPr>
          <w:rFonts w:hint="eastAsia" w:ascii="仿宋_GB2312" w:hAnsi="仿宋_GB2312" w:eastAsia="仿宋_GB2312" w:cs="仿宋_GB2312"/>
          <w:i w:val="0"/>
          <w:iCs w:val="0"/>
          <w:caps w:val="0"/>
          <w:color w:val="333333"/>
          <w:spacing w:val="0"/>
          <w:sz w:val="34"/>
          <w:szCs w:val="34"/>
          <w:highlight w:val="none"/>
          <w:shd w:val="clear" w:fill="FFFFFF"/>
        </w:rPr>
        <w:t>%；个人所得税</w:t>
      </w:r>
      <w:r>
        <w:rPr>
          <w:rFonts w:hint="eastAsia" w:ascii="仿宋_GB2312" w:hAnsi="仿宋_GB2312" w:eastAsia="仿宋_GB2312" w:cs="仿宋_GB2312"/>
          <w:i w:val="0"/>
          <w:iCs w:val="0"/>
          <w:caps w:val="0"/>
          <w:color w:val="333333"/>
          <w:spacing w:val="0"/>
          <w:sz w:val="34"/>
          <w:szCs w:val="34"/>
          <w:highlight w:val="none"/>
          <w:shd w:val="clear" w:fill="FFFFFF"/>
          <w:lang w:val="en-US"/>
        </w:rPr>
        <w:t>0.2</w:t>
      </w:r>
      <w:r>
        <w:rPr>
          <w:rFonts w:hint="eastAsia" w:ascii="仿宋_GB2312" w:hAnsi="仿宋_GB2312" w:eastAsia="仿宋_GB2312" w:cs="仿宋_GB2312"/>
          <w:i w:val="0"/>
          <w:iCs w:val="0"/>
          <w:caps w:val="0"/>
          <w:color w:val="333333"/>
          <w:spacing w:val="0"/>
          <w:sz w:val="34"/>
          <w:szCs w:val="34"/>
          <w:highlight w:val="none"/>
          <w:shd w:val="clear" w:fill="FFFFFF"/>
        </w:rPr>
        <w:t>亿元，</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与上年持平</w:t>
      </w:r>
      <w:r>
        <w:rPr>
          <w:rFonts w:hint="eastAsia" w:ascii="仿宋_GB2312" w:hAnsi="仿宋_GB2312" w:eastAsia="仿宋_GB2312" w:cs="仿宋_GB2312"/>
          <w:i w:val="0"/>
          <w:iCs w:val="0"/>
          <w:caps w:val="0"/>
          <w:color w:val="333333"/>
          <w:spacing w:val="0"/>
          <w:sz w:val="34"/>
          <w:szCs w:val="34"/>
          <w:highlight w:val="none"/>
          <w:shd w:val="clear" w:fill="FFFFFF"/>
        </w:rPr>
        <w:t>；资源税</w:t>
      </w:r>
      <w:r>
        <w:rPr>
          <w:rFonts w:hint="eastAsia" w:ascii="仿宋_GB2312" w:hAnsi="仿宋_GB2312" w:eastAsia="仿宋_GB2312" w:cs="仿宋_GB2312"/>
          <w:i w:val="0"/>
          <w:iCs w:val="0"/>
          <w:caps w:val="0"/>
          <w:color w:val="333333"/>
          <w:spacing w:val="0"/>
          <w:sz w:val="34"/>
          <w:szCs w:val="34"/>
          <w:highlight w:val="none"/>
          <w:shd w:val="clear" w:fill="FFFFFF"/>
          <w:lang w:val="en-US"/>
        </w:rPr>
        <w:t>2.8</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55.8</w:t>
      </w:r>
      <w:r>
        <w:rPr>
          <w:rFonts w:hint="eastAsia" w:ascii="仿宋_GB2312" w:hAnsi="仿宋_GB2312" w:eastAsia="仿宋_GB2312" w:cs="仿宋_GB2312"/>
          <w:i w:val="0"/>
          <w:iCs w:val="0"/>
          <w:caps w:val="0"/>
          <w:color w:val="333333"/>
          <w:spacing w:val="0"/>
          <w:sz w:val="34"/>
          <w:szCs w:val="34"/>
          <w:highlight w:val="none"/>
          <w:shd w:val="clear" w:fill="FFFFFF"/>
        </w:rPr>
        <w:t>%；房产税</w:t>
      </w:r>
      <w:r>
        <w:rPr>
          <w:rFonts w:hint="eastAsia" w:ascii="仿宋_GB2312" w:hAnsi="仿宋_GB2312" w:eastAsia="仿宋_GB2312" w:cs="仿宋_GB2312"/>
          <w:i w:val="0"/>
          <w:iCs w:val="0"/>
          <w:caps w:val="0"/>
          <w:color w:val="333333"/>
          <w:spacing w:val="0"/>
          <w:sz w:val="34"/>
          <w:szCs w:val="34"/>
          <w:highlight w:val="none"/>
          <w:shd w:val="clear" w:fill="FFFFFF"/>
          <w:lang w:val="en-US"/>
        </w:rPr>
        <w:t>0.3</w:t>
      </w:r>
      <w:r>
        <w:rPr>
          <w:rFonts w:hint="eastAsia" w:ascii="仿宋_GB2312" w:hAnsi="仿宋_GB2312" w:eastAsia="仿宋_GB2312" w:cs="仿宋_GB2312"/>
          <w:i w:val="0"/>
          <w:iCs w:val="0"/>
          <w:caps w:val="0"/>
          <w:color w:val="333333"/>
          <w:spacing w:val="0"/>
          <w:sz w:val="34"/>
          <w:szCs w:val="34"/>
          <w:highlight w:val="none"/>
          <w:shd w:val="clear" w:fill="FFFFFF"/>
        </w:rPr>
        <w:t>亿元，增长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17.6</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center"/>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sz w:val="34"/>
          <w:szCs w:val="34"/>
        </w:rPr>
        <w:drawing>
          <wp:inline distT="0" distB="0" distL="114300" distR="114300">
            <wp:extent cx="5273040" cy="3419475"/>
            <wp:effectExtent l="0" t="0" r="3810" b="9525"/>
            <wp:docPr id="24577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全年一般公共预算支出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42.8</w:t>
      </w:r>
      <w:r>
        <w:rPr>
          <w:rFonts w:hint="eastAsia" w:ascii="仿宋_GB2312" w:hAnsi="仿宋_GB2312" w:eastAsia="仿宋_GB2312" w:cs="仿宋_GB2312"/>
          <w:i w:val="0"/>
          <w:iCs w:val="0"/>
          <w:caps w:val="0"/>
          <w:color w:val="333333"/>
          <w:spacing w:val="0"/>
          <w:sz w:val="34"/>
          <w:szCs w:val="34"/>
          <w:highlight w:val="none"/>
          <w:shd w:val="clear" w:fill="FFFFFF"/>
        </w:rPr>
        <w:t>亿元，比上年</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下降</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7</w:t>
      </w:r>
      <w:r>
        <w:rPr>
          <w:rFonts w:hint="eastAsia" w:ascii="仿宋_GB2312" w:hAnsi="仿宋_GB2312" w:eastAsia="仿宋_GB2312" w:cs="仿宋_GB2312"/>
          <w:i w:val="0"/>
          <w:iCs w:val="0"/>
          <w:caps w:val="0"/>
          <w:color w:val="333333"/>
          <w:spacing w:val="0"/>
          <w:sz w:val="34"/>
          <w:szCs w:val="34"/>
          <w:highlight w:val="none"/>
          <w:shd w:val="clear" w:fill="FFFFFF"/>
        </w:rPr>
        <w:t>%。其中，一般公共服务支出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3.6</w:t>
      </w:r>
      <w:r>
        <w:rPr>
          <w:rFonts w:hint="eastAsia" w:ascii="仿宋_GB2312" w:hAnsi="仿宋_GB2312" w:eastAsia="仿宋_GB2312" w:cs="仿宋_GB2312"/>
          <w:i w:val="0"/>
          <w:iCs w:val="0"/>
          <w:caps w:val="0"/>
          <w:color w:val="333333"/>
          <w:spacing w:val="0"/>
          <w:sz w:val="34"/>
          <w:szCs w:val="34"/>
          <w:highlight w:val="none"/>
          <w:shd w:val="clear" w:fill="FFFFFF"/>
        </w:rPr>
        <w:t>亿元，教育支出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6.7</w:t>
      </w:r>
      <w:r>
        <w:rPr>
          <w:rFonts w:hint="eastAsia" w:ascii="仿宋_GB2312" w:hAnsi="仿宋_GB2312" w:eastAsia="仿宋_GB2312" w:cs="仿宋_GB2312"/>
          <w:i w:val="0"/>
          <w:iCs w:val="0"/>
          <w:caps w:val="0"/>
          <w:color w:val="333333"/>
          <w:spacing w:val="0"/>
          <w:sz w:val="34"/>
          <w:szCs w:val="34"/>
          <w:highlight w:val="none"/>
          <w:shd w:val="clear" w:fill="FFFFFF"/>
        </w:rPr>
        <w:t>亿元，社会保障和就业支出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8</w:t>
      </w:r>
      <w:r>
        <w:rPr>
          <w:rFonts w:hint="eastAsia" w:ascii="仿宋_GB2312" w:hAnsi="仿宋_GB2312" w:eastAsia="仿宋_GB2312" w:cs="仿宋_GB2312"/>
          <w:i w:val="0"/>
          <w:iCs w:val="0"/>
          <w:caps w:val="0"/>
          <w:color w:val="333333"/>
          <w:spacing w:val="0"/>
          <w:sz w:val="34"/>
          <w:szCs w:val="34"/>
          <w:highlight w:val="none"/>
          <w:shd w:val="clear" w:fill="FFFFFF"/>
        </w:rPr>
        <w:t>亿元，卫生健康支出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1.4</w:t>
      </w:r>
      <w:r>
        <w:rPr>
          <w:rFonts w:hint="eastAsia" w:ascii="仿宋_GB2312" w:hAnsi="仿宋_GB2312" w:eastAsia="仿宋_GB2312" w:cs="仿宋_GB2312"/>
          <w:i w:val="0"/>
          <w:iCs w:val="0"/>
          <w:caps w:val="0"/>
          <w:color w:val="333333"/>
          <w:spacing w:val="0"/>
          <w:sz w:val="34"/>
          <w:szCs w:val="34"/>
          <w:highlight w:val="none"/>
          <w:shd w:val="clear" w:fill="FFFFFF"/>
        </w:rPr>
        <w:t>亿元，节能环保支出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0.9</w:t>
      </w:r>
      <w:r>
        <w:rPr>
          <w:rFonts w:hint="eastAsia" w:ascii="仿宋_GB2312" w:hAnsi="仿宋_GB2312" w:eastAsia="仿宋_GB2312" w:cs="仿宋_GB2312"/>
          <w:i w:val="0"/>
          <w:iCs w:val="0"/>
          <w:caps w:val="0"/>
          <w:color w:val="333333"/>
          <w:spacing w:val="0"/>
          <w:sz w:val="34"/>
          <w:szCs w:val="34"/>
          <w:highlight w:val="none"/>
          <w:shd w:val="clear" w:fill="FFFFFF"/>
        </w:rPr>
        <w:t>亿元，农林水支出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7.7</w:t>
      </w:r>
      <w:r>
        <w:rPr>
          <w:rFonts w:hint="eastAsia" w:ascii="仿宋_GB2312" w:hAnsi="仿宋_GB2312" w:eastAsia="仿宋_GB2312" w:cs="仿宋_GB2312"/>
          <w:i w:val="0"/>
          <w:iCs w:val="0"/>
          <w:caps w:val="0"/>
          <w:color w:val="333333"/>
          <w:spacing w:val="0"/>
          <w:sz w:val="34"/>
          <w:szCs w:val="34"/>
          <w:highlight w:val="none"/>
          <w:shd w:val="clear" w:fill="FFFFFF"/>
        </w:rPr>
        <w:t>亿元，交通运输支出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1.8</w:t>
      </w:r>
      <w:r>
        <w:rPr>
          <w:rFonts w:hint="eastAsia" w:ascii="仿宋_GB2312" w:hAnsi="仿宋_GB2312" w:eastAsia="仿宋_GB2312" w:cs="仿宋_GB2312"/>
          <w:i w:val="0"/>
          <w:iCs w:val="0"/>
          <w:caps w:val="0"/>
          <w:color w:val="333333"/>
          <w:spacing w:val="0"/>
          <w:sz w:val="34"/>
          <w:szCs w:val="34"/>
          <w:highlight w:val="none"/>
          <w:shd w:val="clear" w:fill="FFFFFF"/>
        </w:rPr>
        <w:t>亿元，住房保障支出</w:t>
      </w:r>
      <w:r>
        <w:rPr>
          <w:rFonts w:hint="eastAsia" w:ascii="仿宋_GB2312" w:hAnsi="仿宋_GB2312" w:eastAsia="仿宋_GB2312" w:cs="仿宋_GB2312"/>
          <w:i w:val="0"/>
          <w:iCs w:val="0"/>
          <w:caps w:val="0"/>
          <w:color w:val="333333"/>
          <w:spacing w:val="0"/>
          <w:sz w:val="34"/>
          <w:szCs w:val="34"/>
          <w:highlight w:val="none"/>
          <w:shd w:val="clear" w:fill="FFFFFF"/>
          <w:lang w:val="en-US"/>
        </w:rPr>
        <w:t>1.2</w:t>
      </w:r>
      <w:r>
        <w:rPr>
          <w:rFonts w:hint="eastAsia" w:ascii="仿宋_GB2312" w:hAnsi="仿宋_GB2312" w:eastAsia="仿宋_GB2312" w:cs="仿宋_GB2312"/>
          <w:i w:val="0"/>
          <w:iCs w:val="0"/>
          <w:caps w:val="0"/>
          <w:color w:val="333333"/>
          <w:spacing w:val="0"/>
          <w:sz w:val="34"/>
          <w:szCs w:val="34"/>
          <w:highlight w:val="none"/>
          <w:shd w:val="clear" w:fill="FFFFFF"/>
        </w:rPr>
        <w:t>亿元。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十、金融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年末全县金融机构各项存款余额</w:t>
      </w:r>
      <w:r>
        <w:rPr>
          <w:rFonts w:hint="eastAsia" w:ascii="仿宋_GB2312" w:hAnsi="仿宋_GB2312" w:eastAsia="仿宋_GB2312" w:cs="仿宋_GB2312"/>
          <w:i w:val="0"/>
          <w:iCs w:val="0"/>
          <w:caps w:val="0"/>
          <w:color w:val="333333"/>
          <w:spacing w:val="0"/>
          <w:sz w:val="34"/>
          <w:szCs w:val="34"/>
          <w:highlight w:val="none"/>
          <w:shd w:val="clear" w:fill="FFFFFF"/>
          <w:lang w:val="en-US"/>
        </w:rPr>
        <w:t>378.3</w:t>
      </w:r>
      <w:r>
        <w:rPr>
          <w:rFonts w:hint="eastAsia" w:ascii="仿宋_GB2312" w:hAnsi="仿宋_GB2312" w:eastAsia="仿宋_GB2312" w:cs="仿宋_GB2312"/>
          <w:i w:val="0"/>
          <w:iCs w:val="0"/>
          <w:caps w:val="0"/>
          <w:color w:val="333333"/>
          <w:spacing w:val="0"/>
          <w:sz w:val="34"/>
          <w:szCs w:val="34"/>
          <w:highlight w:val="none"/>
          <w:shd w:val="clear" w:fill="FFFFFF"/>
        </w:rPr>
        <w:t>亿元，比年初增加</w:t>
      </w:r>
      <w:r>
        <w:rPr>
          <w:rFonts w:hint="eastAsia" w:ascii="仿宋_GB2312" w:hAnsi="仿宋_GB2312" w:eastAsia="仿宋_GB2312" w:cs="仿宋_GB2312"/>
          <w:i w:val="0"/>
          <w:iCs w:val="0"/>
          <w:caps w:val="0"/>
          <w:color w:val="333333"/>
          <w:spacing w:val="0"/>
          <w:sz w:val="34"/>
          <w:szCs w:val="34"/>
          <w:highlight w:val="none"/>
          <w:shd w:val="clear" w:fill="FFFFFF"/>
          <w:lang w:val="en-US"/>
        </w:rPr>
        <w:t>41.4</w:t>
      </w:r>
      <w:r>
        <w:rPr>
          <w:rFonts w:hint="eastAsia" w:ascii="仿宋_GB2312" w:hAnsi="仿宋_GB2312" w:eastAsia="仿宋_GB2312" w:cs="仿宋_GB2312"/>
          <w:i w:val="0"/>
          <w:iCs w:val="0"/>
          <w:caps w:val="0"/>
          <w:color w:val="333333"/>
          <w:spacing w:val="0"/>
          <w:sz w:val="34"/>
          <w:szCs w:val="34"/>
          <w:highlight w:val="none"/>
          <w:shd w:val="clear" w:fill="FFFFFF"/>
        </w:rPr>
        <w:t>亿元,其中住户存款余额</w:t>
      </w:r>
      <w:r>
        <w:rPr>
          <w:rFonts w:hint="eastAsia" w:ascii="仿宋_GB2312" w:hAnsi="仿宋_GB2312" w:eastAsia="仿宋_GB2312" w:cs="仿宋_GB2312"/>
          <w:i w:val="0"/>
          <w:iCs w:val="0"/>
          <w:caps w:val="0"/>
          <w:color w:val="333333"/>
          <w:spacing w:val="0"/>
          <w:sz w:val="34"/>
          <w:szCs w:val="34"/>
          <w:highlight w:val="none"/>
          <w:shd w:val="clear" w:fill="FFFFFF"/>
          <w:lang w:val="en-US"/>
        </w:rPr>
        <w:t>351</w:t>
      </w:r>
      <w:r>
        <w:rPr>
          <w:rFonts w:hint="eastAsia" w:ascii="仿宋_GB2312" w:hAnsi="仿宋_GB2312" w:eastAsia="仿宋_GB2312" w:cs="仿宋_GB2312"/>
          <w:i w:val="0"/>
          <w:iCs w:val="0"/>
          <w:caps w:val="0"/>
          <w:color w:val="333333"/>
          <w:spacing w:val="0"/>
          <w:sz w:val="34"/>
          <w:szCs w:val="34"/>
          <w:highlight w:val="none"/>
          <w:shd w:val="clear" w:fill="FFFFFF"/>
        </w:rPr>
        <w:t>亿元，比年初增加</w:t>
      </w:r>
      <w:r>
        <w:rPr>
          <w:rFonts w:hint="eastAsia" w:ascii="仿宋_GB2312" w:hAnsi="仿宋_GB2312" w:eastAsia="仿宋_GB2312" w:cs="仿宋_GB2312"/>
          <w:i w:val="0"/>
          <w:iCs w:val="0"/>
          <w:caps w:val="0"/>
          <w:color w:val="333333"/>
          <w:spacing w:val="0"/>
          <w:sz w:val="34"/>
          <w:szCs w:val="34"/>
          <w:highlight w:val="none"/>
          <w:shd w:val="clear" w:fill="FFFFFF"/>
          <w:lang w:val="en-US"/>
        </w:rPr>
        <w:t>41.4</w:t>
      </w:r>
      <w:r>
        <w:rPr>
          <w:rFonts w:hint="eastAsia" w:ascii="仿宋_GB2312" w:hAnsi="仿宋_GB2312" w:eastAsia="仿宋_GB2312" w:cs="仿宋_GB2312"/>
          <w:i w:val="0"/>
          <w:iCs w:val="0"/>
          <w:caps w:val="0"/>
          <w:color w:val="333333"/>
          <w:spacing w:val="0"/>
          <w:sz w:val="34"/>
          <w:szCs w:val="34"/>
          <w:highlight w:val="none"/>
          <w:shd w:val="clear" w:fill="FFFFFF"/>
        </w:rPr>
        <w:t>亿元。金融机构各项贷款余额</w:t>
      </w:r>
      <w:r>
        <w:rPr>
          <w:rFonts w:hint="eastAsia" w:ascii="仿宋_GB2312" w:hAnsi="仿宋_GB2312" w:eastAsia="仿宋_GB2312" w:cs="仿宋_GB2312"/>
          <w:i w:val="0"/>
          <w:iCs w:val="0"/>
          <w:caps w:val="0"/>
          <w:color w:val="333333"/>
          <w:spacing w:val="0"/>
          <w:sz w:val="34"/>
          <w:szCs w:val="34"/>
          <w:highlight w:val="none"/>
          <w:shd w:val="clear" w:fill="FFFFFF"/>
          <w:lang w:val="en-US"/>
        </w:rPr>
        <w:t>155.1</w:t>
      </w:r>
      <w:r>
        <w:rPr>
          <w:rFonts w:hint="eastAsia" w:ascii="仿宋_GB2312" w:hAnsi="仿宋_GB2312" w:eastAsia="仿宋_GB2312" w:cs="仿宋_GB2312"/>
          <w:i w:val="0"/>
          <w:iCs w:val="0"/>
          <w:caps w:val="0"/>
          <w:color w:val="333333"/>
          <w:spacing w:val="0"/>
          <w:sz w:val="34"/>
          <w:szCs w:val="34"/>
          <w:highlight w:val="none"/>
          <w:shd w:val="clear" w:fill="FFFFFF"/>
        </w:rPr>
        <w:t>亿元，比年初</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增加</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29.8</w:t>
      </w:r>
      <w:r>
        <w:rPr>
          <w:rFonts w:hint="eastAsia" w:ascii="仿宋_GB2312" w:hAnsi="仿宋_GB2312" w:eastAsia="仿宋_GB2312" w:cs="仿宋_GB2312"/>
          <w:i w:val="0"/>
          <w:iCs w:val="0"/>
          <w:caps w:val="0"/>
          <w:color w:val="333333"/>
          <w:spacing w:val="0"/>
          <w:sz w:val="34"/>
          <w:szCs w:val="34"/>
          <w:highlight w:val="none"/>
          <w:shd w:val="clear" w:fill="FFFFFF"/>
        </w:rPr>
        <w:t>亿元。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sz w:val="34"/>
          <w:szCs w:val="34"/>
        </w:rPr>
        <w:drawing>
          <wp:inline distT="0" distB="0" distL="114300" distR="114300">
            <wp:extent cx="5274310" cy="3528695"/>
            <wp:effectExtent l="0" t="0" r="2540" b="14605"/>
            <wp:docPr id="6673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十一、科学技术和教育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高新技术企业</w:t>
      </w:r>
      <w:r>
        <w:rPr>
          <w:rFonts w:hint="eastAsia" w:ascii="仿宋_GB2312" w:hAnsi="仿宋_GB2312" w:eastAsia="仿宋_GB2312" w:cs="仿宋_GB2312"/>
          <w:i w:val="0"/>
          <w:iCs w:val="0"/>
          <w:caps w:val="0"/>
          <w:color w:val="333333"/>
          <w:spacing w:val="0"/>
          <w:sz w:val="34"/>
          <w:szCs w:val="34"/>
          <w:highlight w:val="none"/>
          <w:shd w:val="clear" w:fill="FFFFFF"/>
          <w:lang w:val="en-US"/>
        </w:rPr>
        <w:t>27</w:t>
      </w:r>
      <w:r>
        <w:rPr>
          <w:rFonts w:hint="eastAsia" w:ascii="仿宋_GB2312" w:hAnsi="仿宋_GB2312" w:eastAsia="仿宋_GB2312" w:cs="仿宋_GB2312"/>
          <w:i w:val="0"/>
          <w:iCs w:val="0"/>
          <w:caps w:val="0"/>
          <w:color w:val="333333"/>
          <w:spacing w:val="0"/>
          <w:sz w:val="34"/>
          <w:szCs w:val="34"/>
          <w:highlight w:val="none"/>
          <w:shd w:val="clear" w:fill="FFFFFF"/>
        </w:rPr>
        <w:t>家。全年高新技术产品增加值</w:t>
      </w:r>
      <w:r>
        <w:rPr>
          <w:rFonts w:hint="eastAsia" w:ascii="仿宋_GB2312" w:hAnsi="仿宋_GB2312" w:eastAsia="仿宋_GB2312" w:cs="仿宋_GB2312"/>
          <w:i w:val="0"/>
          <w:iCs w:val="0"/>
          <w:caps w:val="0"/>
          <w:color w:val="333333"/>
          <w:spacing w:val="0"/>
          <w:sz w:val="34"/>
          <w:szCs w:val="34"/>
          <w:highlight w:val="none"/>
          <w:shd w:val="clear" w:fill="FFFFFF"/>
          <w:lang w:val="en-US"/>
        </w:rPr>
        <w:t>9.1</w:t>
      </w:r>
      <w:r>
        <w:rPr>
          <w:rFonts w:hint="eastAsia" w:ascii="仿宋_GB2312" w:hAnsi="仿宋_GB2312" w:eastAsia="仿宋_GB2312" w:cs="仿宋_GB2312"/>
          <w:i w:val="0"/>
          <w:iCs w:val="0"/>
          <w:caps w:val="0"/>
          <w:color w:val="333333"/>
          <w:spacing w:val="0"/>
          <w:sz w:val="34"/>
          <w:szCs w:val="34"/>
          <w:highlight w:val="none"/>
          <w:shd w:val="clear" w:fill="FFFFFF"/>
        </w:rPr>
        <w:t>亿元。</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全年科学研究与试验发展（R&amp;D）经费支出0.9万元。年末从事科学研究与试验发展（R&amp;D）人员274人，企业研发项目49项。全年研发企业专利申请32件，其中发明专利申请18件；有效发明专利47件，其中已被实施46件。</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全年义务教育巩固率</w:t>
      </w:r>
      <w:r>
        <w:rPr>
          <w:rFonts w:hint="eastAsia" w:ascii="仿宋_GB2312" w:hAnsi="仿宋_GB2312" w:eastAsia="仿宋_GB2312" w:cs="仿宋_GB2312"/>
          <w:i w:val="0"/>
          <w:iCs w:val="0"/>
          <w:caps w:val="0"/>
          <w:color w:val="333333"/>
          <w:spacing w:val="0"/>
          <w:sz w:val="34"/>
          <w:szCs w:val="34"/>
          <w:highlight w:val="none"/>
          <w:shd w:val="clear" w:fill="FFFFFF"/>
          <w:lang w:val="en-US"/>
        </w:rPr>
        <w:t>99.8</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幼儿园（所）共有</w:t>
      </w:r>
      <w:r>
        <w:rPr>
          <w:rFonts w:hint="eastAsia" w:ascii="仿宋_GB2312" w:hAnsi="仿宋_GB2312" w:eastAsia="仿宋_GB2312" w:cs="仿宋_GB2312"/>
          <w:i w:val="0"/>
          <w:iCs w:val="0"/>
          <w:caps w:val="0"/>
          <w:color w:val="333333"/>
          <w:spacing w:val="0"/>
          <w:sz w:val="34"/>
          <w:szCs w:val="34"/>
          <w:highlight w:val="none"/>
          <w:shd w:val="clear" w:fill="FFFFFF"/>
          <w:lang w:val="en-US"/>
        </w:rPr>
        <w:t>135</w:t>
      </w:r>
      <w:r>
        <w:rPr>
          <w:rFonts w:hint="eastAsia" w:ascii="仿宋_GB2312" w:hAnsi="仿宋_GB2312" w:eastAsia="仿宋_GB2312" w:cs="仿宋_GB2312"/>
          <w:i w:val="0"/>
          <w:iCs w:val="0"/>
          <w:caps w:val="0"/>
          <w:color w:val="333333"/>
          <w:spacing w:val="0"/>
          <w:sz w:val="34"/>
          <w:szCs w:val="34"/>
          <w:highlight w:val="none"/>
          <w:shd w:val="clear" w:fill="FFFFFF"/>
        </w:rPr>
        <w:t>个，在园（所）幼儿</w:t>
      </w:r>
      <w:r>
        <w:rPr>
          <w:rFonts w:hint="eastAsia" w:ascii="仿宋_GB2312" w:hAnsi="仿宋_GB2312" w:eastAsia="仿宋_GB2312" w:cs="仿宋_GB2312"/>
          <w:i w:val="0"/>
          <w:iCs w:val="0"/>
          <w:caps w:val="0"/>
          <w:color w:val="333333"/>
          <w:spacing w:val="0"/>
          <w:sz w:val="34"/>
          <w:szCs w:val="34"/>
          <w:highlight w:val="none"/>
          <w:shd w:val="clear" w:fill="FFFFFF"/>
          <w:lang w:val="en-US"/>
        </w:rPr>
        <w:t>9219</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小学校数</w:t>
      </w:r>
      <w:r>
        <w:rPr>
          <w:rFonts w:hint="eastAsia" w:ascii="仿宋_GB2312" w:hAnsi="仿宋_GB2312" w:eastAsia="仿宋_GB2312" w:cs="仿宋_GB2312"/>
          <w:i w:val="0"/>
          <w:iCs w:val="0"/>
          <w:caps w:val="0"/>
          <w:color w:val="333333"/>
          <w:spacing w:val="0"/>
          <w:sz w:val="34"/>
          <w:szCs w:val="34"/>
          <w:highlight w:val="none"/>
          <w:shd w:val="clear" w:fill="FFFFFF"/>
          <w:lang w:val="en-US"/>
        </w:rPr>
        <w:t>47</w:t>
      </w:r>
      <w:r>
        <w:rPr>
          <w:rFonts w:hint="eastAsia" w:ascii="仿宋_GB2312" w:hAnsi="仿宋_GB2312" w:eastAsia="仿宋_GB2312" w:cs="仿宋_GB2312"/>
          <w:i w:val="0"/>
          <w:iCs w:val="0"/>
          <w:caps w:val="0"/>
          <w:color w:val="333333"/>
          <w:spacing w:val="0"/>
          <w:sz w:val="34"/>
          <w:szCs w:val="34"/>
          <w:highlight w:val="none"/>
          <w:shd w:val="clear" w:fill="FFFFFF"/>
        </w:rPr>
        <w:t>所，</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在校人数</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25810人，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小学学龄儿童净入学率</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100%</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全县普通中学</w:t>
      </w:r>
      <w:r>
        <w:rPr>
          <w:rFonts w:hint="eastAsia" w:ascii="仿宋_GB2312" w:hAnsi="仿宋_GB2312" w:eastAsia="仿宋_GB2312" w:cs="仿宋_GB2312"/>
          <w:i w:val="0"/>
          <w:iCs w:val="0"/>
          <w:caps w:val="0"/>
          <w:color w:val="333333"/>
          <w:spacing w:val="0"/>
          <w:sz w:val="34"/>
          <w:szCs w:val="34"/>
          <w:highlight w:val="none"/>
          <w:shd w:val="clear" w:fill="FFFFFF"/>
        </w:rPr>
        <w:t>数</w:t>
      </w:r>
      <w:r>
        <w:rPr>
          <w:rFonts w:hint="eastAsia" w:ascii="仿宋_GB2312" w:hAnsi="仿宋_GB2312" w:eastAsia="仿宋_GB2312" w:cs="仿宋_GB2312"/>
          <w:i w:val="0"/>
          <w:iCs w:val="0"/>
          <w:caps w:val="0"/>
          <w:color w:val="333333"/>
          <w:spacing w:val="0"/>
          <w:sz w:val="34"/>
          <w:szCs w:val="34"/>
          <w:highlight w:val="none"/>
          <w:shd w:val="clear" w:fill="FFFFFF"/>
          <w:lang w:val="en-US"/>
        </w:rPr>
        <w:t>33</w:t>
      </w:r>
      <w:r>
        <w:rPr>
          <w:rFonts w:hint="eastAsia" w:ascii="仿宋_GB2312" w:hAnsi="仿宋_GB2312" w:eastAsia="仿宋_GB2312" w:cs="仿宋_GB2312"/>
          <w:i w:val="0"/>
          <w:iCs w:val="0"/>
          <w:caps w:val="0"/>
          <w:color w:val="333333"/>
          <w:spacing w:val="0"/>
          <w:sz w:val="34"/>
          <w:szCs w:val="34"/>
          <w:highlight w:val="none"/>
          <w:shd w:val="clear" w:fill="FFFFFF"/>
        </w:rPr>
        <w:t>所，专任教师</w:t>
      </w:r>
      <w:r>
        <w:rPr>
          <w:rFonts w:hint="eastAsia" w:ascii="仿宋_GB2312" w:hAnsi="仿宋_GB2312" w:eastAsia="仿宋_GB2312" w:cs="仿宋_GB2312"/>
          <w:i w:val="0"/>
          <w:iCs w:val="0"/>
          <w:caps w:val="0"/>
          <w:color w:val="333333"/>
          <w:spacing w:val="0"/>
          <w:sz w:val="34"/>
          <w:szCs w:val="34"/>
          <w:highlight w:val="none"/>
          <w:shd w:val="clear" w:fill="FFFFFF"/>
          <w:lang w:val="en-US"/>
        </w:rPr>
        <w:t>2713</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在校生</w:t>
      </w:r>
      <w:r>
        <w:rPr>
          <w:rFonts w:hint="eastAsia" w:ascii="仿宋_GB2312" w:hAnsi="仿宋_GB2312" w:eastAsia="仿宋_GB2312" w:cs="仿宋_GB2312"/>
          <w:i w:val="0"/>
          <w:iCs w:val="0"/>
          <w:caps w:val="0"/>
          <w:color w:val="333333"/>
          <w:spacing w:val="0"/>
          <w:sz w:val="34"/>
          <w:szCs w:val="34"/>
          <w:highlight w:val="none"/>
          <w:shd w:val="clear" w:fill="FFFFFF"/>
          <w:lang w:val="en-US"/>
        </w:rPr>
        <w:t>23232</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。其中，高中学校</w:t>
      </w:r>
      <w:r>
        <w:rPr>
          <w:rFonts w:hint="eastAsia" w:ascii="仿宋_GB2312" w:hAnsi="仿宋_GB2312" w:eastAsia="仿宋_GB2312" w:cs="仿宋_GB2312"/>
          <w:i w:val="0"/>
          <w:iCs w:val="0"/>
          <w:caps w:val="0"/>
          <w:color w:val="333333"/>
          <w:spacing w:val="0"/>
          <w:sz w:val="34"/>
          <w:szCs w:val="34"/>
          <w:highlight w:val="none"/>
          <w:shd w:val="clear" w:fill="FFFFFF"/>
        </w:rPr>
        <w:t>专任教师</w:t>
      </w:r>
      <w:r>
        <w:rPr>
          <w:rFonts w:hint="eastAsia" w:ascii="仿宋_GB2312" w:hAnsi="仿宋_GB2312" w:eastAsia="仿宋_GB2312" w:cs="仿宋_GB2312"/>
          <w:i w:val="0"/>
          <w:iCs w:val="0"/>
          <w:caps w:val="0"/>
          <w:color w:val="333333"/>
          <w:spacing w:val="0"/>
          <w:sz w:val="34"/>
          <w:szCs w:val="34"/>
          <w:highlight w:val="none"/>
          <w:shd w:val="clear" w:fill="FFFFFF"/>
          <w:lang w:val="en-US"/>
        </w:rPr>
        <w:t>722</w:t>
      </w:r>
      <w:r>
        <w:rPr>
          <w:rFonts w:hint="eastAsia" w:ascii="仿宋_GB2312" w:hAnsi="仿宋_GB2312" w:eastAsia="仿宋_GB2312" w:cs="仿宋_GB2312"/>
          <w:i w:val="0"/>
          <w:iCs w:val="0"/>
          <w:caps w:val="0"/>
          <w:color w:val="333333"/>
          <w:spacing w:val="0"/>
          <w:sz w:val="34"/>
          <w:szCs w:val="34"/>
          <w:highlight w:val="none"/>
          <w:shd w:val="clear" w:fill="FFFFFF"/>
        </w:rPr>
        <w:t>人，在校生</w:t>
      </w:r>
      <w:r>
        <w:rPr>
          <w:rFonts w:hint="eastAsia" w:ascii="仿宋_GB2312" w:hAnsi="仿宋_GB2312" w:eastAsia="仿宋_GB2312" w:cs="仿宋_GB2312"/>
          <w:i w:val="0"/>
          <w:iCs w:val="0"/>
          <w:caps w:val="0"/>
          <w:color w:val="333333"/>
          <w:spacing w:val="0"/>
          <w:sz w:val="34"/>
          <w:szCs w:val="34"/>
          <w:highlight w:val="none"/>
          <w:shd w:val="clear" w:fill="FFFFFF"/>
          <w:lang w:val="en-US"/>
        </w:rPr>
        <w:t>9082</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；初中学校</w:t>
      </w:r>
      <w:r>
        <w:rPr>
          <w:rFonts w:hint="eastAsia" w:ascii="仿宋_GB2312" w:hAnsi="仿宋_GB2312" w:eastAsia="仿宋_GB2312" w:cs="仿宋_GB2312"/>
          <w:i w:val="0"/>
          <w:iCs w:val="0"/>
          <w:caps w:val="0"/>
          <w:color w:val="333333"/>
          <w:spacing w:val="0"/>
          <w:sz w:val="34"/>
          <w:szCs w:val="34"/>
          <w:highlight w:val="none"/>
          <w:shd w:val="clear" w:fill="FFFFFF"/>
        </w:rPr>
        <w:t>专任教师</w:t>
      </w:r>
      <w:r>
        <w:rPr>
          <w:rFonts w:hint="eastAsia" w:ascii="仿宋_GB2312" w:hAnsi="仿宋_GB2312" w:eastAsia="仿宋_GB2312" w:cs="仿宋_GB2312"/>
          <w:i w:val="0"/>
          <w:iCs w:val="0"/>
          <w:caps w:val="0"/>
          <w:color w:val="333333"/>
          <w:spacing w:val="0"/>
          <w:sz w:val="34"/>
          <w:szCs w:val="34"/>
          <w:highlight w:val="none"/>
          <w:shd w:val="clear" w:fill="FFFFFF"/>
          <w:lang w:val="en-US"/>
        </w:rPr>
        <w:t>1991</w:t>
      </w:r>
      <w:r>
        <w:rPr>
          <w:rFonts w:hint="eastAsia" w:ascii="仿宋_GB2312" w:hAnsi="仿宋_GB2312" w:eastAsia="仿宋_GB2312" w:cs="仿宋_GB2312"/>
          <w:i w:val="0"/>
          <w:iCs w:val="0"/>
          <w:caps w:val="0"/>
          <w:color w:val="333333"/>
          <w:spacing w:val="0"/>
          <w:sz w:val="34"/>
          <w:szCs w:val="34"/>
          <w:highlight w:val="none"/>
          <w:shd w:val="clear" w:fill="FFFFFF"/>
        </w:rPr>
        <w:t>人，在校生</w:t>
      </w:r>
      <w:r>
        <w:rPr>
          <w:rFonts w:hint="eastAsia" w:ascii="仿宋_GB2312" w:hAnsi="仿宋_GB2312" w:eastAsia="仿宋_GB2312" w:cs="仿宋_GB2312"/>
          <w:i w:val="0"/>
          <w:iCs w:val="0"/>
          <w:caps w:val="0"/>
          <w:color w:val="333333"/>
          <w:spacing w:val="0"/>
          <w:sz w:val="34"/>
          <w:szCs w:val="34"/>
          <w:highlight w:val="none"/>
          <w:shd w:val="clear" w:fill="FFFFFF"/>
          <w:lang w:val="en-US"/>
        </w:rPr>
        <w:t>14150</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。高考总上线率（专科以上）</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100%，高中（普通）阶段毛入学率92%。</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共有特殊教育学校</w:t>
      </w:r>
      <w:r>
        <w:rPr>
          <w:rFonts w:hint="eastAsia" w:ascii="仿宋_GB2312" w:hAnsi="仿宋_GB2312" w:eastAsia="仿宋_GB2312" w:cs="仿宋_GB2312"/>
          <w:i w:val="0"/>
          <w:iCs w:val="0"/>
          <w:caps w:val="0"/>
          <w:color w:val="333333"/>
          <w:spacing w:val="0"/>
          <w:sz w:val="34"/>
          <w:szCs w:val="34"/>
          <w:highlight w:val="none"/>
          <w:shd w:val="clear" w:fill="FFFFFF"/>
          <w:lang w:val="en-US"/>
        </w:rPr>
        <w:t>1</w:t>
      </w:r>
      <w:r>
        <w:rPr>
          <w:rFonts w:hint="eastAsia" w:ascii="仿宋_GB2312" w:hAnsi="仿宋_GB2312" w:eastAsia="仿宋_GB2312" w:cs="仿宋_GB2312"/>
          <w:i w:val="0"/>
          <w:iCs w:val="0"/>
          <w:caps w:val="0"/>
          <w:color w:val="333333"/>
          <w:spacing w:val="0"/>
          <w:sz w:val="34"/>
          <w:szCs w:val="34"/>
          <w:highlight w:val="none"/>
          <w:shd w:val="clear" w:fill="FFFFFF"/>
        </w:rPr>
        <w:t>所，专任教师</w:t>
      </w:r>
      <w:r>
        <w:rPr>
          <w:rFonts w:hint="eastAsia" w:ascii="仿宋_GB2312" w:hAnsi="仿宋_GB2312" w:eastAsia="仿宋_GB2312" w:cs="仿宋_GB2312"/>
          <w:i w:val="0"/>
          <w:iCs w:val="0"/>
          <w:caps w:val="0"/>
          <w:color w:val="333333"/>
          <w:spacing w:val="0"/>
          <w:sz w:val="34"/>
          <w:szCs w:val="34"/>
          <w:highlight w:val="none"/>
          <w:shd w:val="clear" w:fill="FFFFFF"/>
          <w:lang w:val="en-US"/>
        </w:rPr>
        <w:t>38</w:t>
      </w:r>
      <w:r>
        <w:rPr>
          <w:rFonts w:hint="eastAsia" w:ascii="仿宋_GB2312" w:hAnsi="仿宋_GB2312" w:eastAsia="仿宋_GB2312" w:cs="仿宋_GB2312"/>
          <w:i w:val="0"/>
          <w:iCs w:val="0"/>
          <w:caps w:val="0"/>
          <w:color w:val="333333"/>
          <w:spacing w:val="0"/>
          <w:sz w:val="34"/>
          <w:szCs w:val="34"/>
          <w:highlight w:val="none"/>
          <w:shd w:val="clear" w:fill="FFFFFF"/>
        </w:rPr>
        <w:t>人，在校生</w:t>
      </w:r>
      <w:r>
        <w:rPr>
          <w:rFonts w:hint="eastAsia" w:ascii="仿宋_GB2312" w:hAnsi="仿宋_GB2312" w:eastAsia="仿宋_GB2312" w:cs="仿宋_GB2312"/>
          <w:i w:val="0"/>
          <w:iCs w:val="0"/>
          <w:caps w:val="0"/>
          <w:color w:val="333333"/>
          <w:spacing w:val="0"/>
          <w:sz w:val="34"/>
          <w:szCs w:val="34"/>
          <w:highlight w:val="none"/>
          <w:shd w:val="clear" w:fill="FFFFFF"/>
          <w:lang w:val="en-US"/>
        </w:rPr>
        <w:t>98</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。全县职业教育</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1所，</w:t>
      </w:r>
      <w:r>
        <w:rPr>
          <w:rFonts w:hint="eastAsia" w:ascii="仿宋_GB2312" w:hAnsi="仿宋_GB2312" w:eastAsia="仿宋_GB2312" w:cs="仿宋_GB2312"/>
          <w:i w:val="0"/>
          <w:iCs w:val="0"/>
          <w:caps w:val="0"/>
          <w:color w:val="333333"/>
          <w:spacing w:val="0"/>
          <w:sz w:val="34"/>
          <w:szCs w:val="34"/>
          <w:highlight w:val="none"/>
          <w:shd w:val="clear" w:fill="FFFFFF"/>
        </w:rPr>
        <w:t>招生</w:t>
      </w:r>
      <w:r>
        <w:rPr>
          <w:rFonts w:hint="eastAsia" w:ascii="仿宋_GB2312" w:hAnsi="仿宋_GB2312" w:eastAsia="仿宋_GB2312" w:cs="仿宋_GB2312"/>
          <w:i w:val="0"/>
          <w:iCs w:val="0"/>
          <w:caps w:val="0"/>
          <w:color w:val="333333"/>
          <w:spacing w:val="0"/>
          <w:sz w:val="34"/>
          <w:szCs w:val="34"/>
          <w:highlight w:val="none"/>
          <w:shd w:val="clear" w:fill="FFFFFF"/>
          <w:lang w:val="en-US"/>
        </w:rPr>
        <w:t>1321</w:t>
      </w:r>
      <w:r>
        <w:rPr>
          <w:rFonts w:hint="eastAsia" w:ascii="仿宋_GB2312" w:hAnsi="仿宋_GB2312" w:eastAsia="仿宋_GB2312" w:cs="仿宋_GB2312"/>
          <w:i w:val="0"/>
          <w:iCs w:val="0"/>
          <w:caps w:val="0"/>
          <w:color w:val="333333"/>
          <w:spacing w:val="0"/>
          <w:sz w:val="34"/>
          <w:szCs w:val="34"/>
          <w:highlight w:val="none"/>
          <w:shd w:val="clear" w:fill="FFFFFF"/>
        </w:rPr>
        <w:t>人，在校学生</w:t>
      </w:r>
      <w:r>
        <w:rPr>
          <w:rFonts w:hint="eastAsia" w:ascii="仿宋_GB2312" w:hAnsi="仿宋_GB2312" w:eastAsia="仿宋_GB2312" w:cs="仿宋_GB2312"/>
          <w:i w:val="0"/>
          <w:iCs w:val="0"/>
          <w:caps w:val="0"/>
          <w:color w:val="333333"/>
          <w:spacing w:val="0"/>
          <w:sz w:val="34"/>
          <w:szCs w:val="34"/>
          <w:highlight w:val="none"/>
          <w:shd w:val="clear" w:fill="FFFFFF"/>
          <w:lang w:val="en-US"/>
        </w:rPr>
        <w:t>3062</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专任教师</w:t>
      </w:r>
      <w:r>
        <w:rPr>
          <w:rFonts w:hint="eastAsia" w:ascii="仿宋_GB2312" w:hAnsi="仿宋_GB2312" w:eastAsia="仿宋_GB2312" w:cs="仿宋_GB2312"/>
          <w:i w:val="0"/>
          <w:iCs w:val="0"/>
          <w:caps w:val="0"/>
          <w:color w:val="333333"/>
          <w:spacing w:val="0"/>
          <w:sz w:val="34"/>
          <w:szCs w:val="34"/>
          <w:highlight w:val="none"/>
          <w:shd w:val="clear" w:fill="FFFFFF"/>
          <w:lang w:val="en-US"/>
        </w:rPr>
        <w:t>158</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十二、文化、卫生和体育</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年末有文化馆1个，公共图书馆1个，公共博物馆1个。年末广播综合人口覆盖率99.</w:t>
      </w:r>
      <w:r>
        <w:rPr>
          <w:rFonts w:hint="eastAsia" w:ascii="仿宋_GB2312" w:hAnsi="仿宋_GB2312" w:eastAsia="仿宋_GB2312" w:cs="仿宋_GB2312"/>
          <w:i w:val="0"/>
          <w:iCs w:val="0"/>
          <w:caps w:val="0"/>
          <w:color w:val="333333"/>
          <w:spacing w:val="0"/>
          <w:sz w:val="34"/>
          <w:szCs w:val="34"/>
          <w:highlight w:val="none"/>
          <w:shd w:val="clear" w:fill="FFFFFF"/>
          <w:lang w:val="en-US"/>
        </w:rPr>
        <w:t>2</w:t>
      </w:r>
      <w:r>
        <w:rPr>
          <w:rFonts w:hint="eastAsia" w:ascii="仿宋_GB2312" w:hAnsi="仿宋_GB2312" w:eastAsia="仿宋_GB2312" w:cs="仿宋_GB2312"/>
          <w:i w:val="0"/>
          <w:iCs w:val="0"/>
          <w:caps w:val="0"/>
          <w:color w:val="333333"/>
          <w:spacing w:val="0"/>
          <w:sz w:val="34"/>
          <w:szCs w:val="34"/>
          <w:highlight w:val="none"/>
          <w:shd w:val="clear" w:fill="FFFFFF"/>
        </w:rPr>
        <w:t>%，电视综合人口覆盖率99.</w:t>
      </w:r>
      <w:r>
        <w:rPr>
          <w:rFonts w:hint="eastAsia" w:ascii="仿宋_GB2312" w:hAnsi="仿宋_GB2312" w:eastAsia="仿宋_GB2312" w:cs="仿宋_GB2312"/>
          <w:i w:val="0"/>
          <w:iCs w:val="0"/>
          <w:caps w:val="0"/>
          <w:color w:val="333333"/>
          <w:spacing w:val="0"/>
          <w:sz w:val="34"/>
          <w:szCs w:val="34"/>
          <w:highlight w:val="none"/>
          <w:shd w:val="clear" w:fill="FFFFFF"/>
          <w:lang w:val="en-US"/>
        </w:rPr>
        <w:t>2</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shd w:val="clear" w:fill="FFFFFF"/>
        </w:rPr>
        <w:t>年末有各类卫生机构</w:t>
      </w:r>
      <w:r>
        <w:rPr>
          <w:rFonts w:hint="eastAsia" w:ascii="仿宋_GB2312" w:hAnsi="仿宋_GB2312" w:eastAsia="仿宋_GB2312" w:cs="仿宋_GB2312"/>
          <w:i w:val="0"/>
          <w:iCs w:val="0"/>
          <w:caps w:val="0"/>
          <w:color w:val="333333"/>
          <w:spacing w:val="0"/>
          <w:sz w:val="34"/>
          <w:szCs w:val="34"/>
          <w:shd w:val="clear" w:fill="FFFFFF"/>
          <w:lang w:val="en-US"/>
        </w:rPr>
        <w:t>733</w:t>
      </w:r>
      <w:r>
        <w:rPr>
          <w:rFonts w:hint="eastAsia" w:ascii="仿宋_GB2312" w:hAnsi="仿宋_GB2312" w:eastAsia="仿宋_GB2312" w:cs="仿宋_GB2312"/>
          <w:i w:val="0"/>
          <w:iCs w:val="0"/>
          <w:caps w:val="0"/>
          <w:color w:val="333333"/>
          <w:spacing w:val="0"/>
          <w:sz w:val="34"/>
          <w:szCs w:val="34"/>
          <w:shd w:val="clear" w:fill="FFFFFF"/>
        </w:rPr>
        <w:t>个。其中，医院</w:t>
      </w:r>
      <w:r>
        <w:rPr>
          <w:rFonts w:hint="eastAsia" w:ascii="仿宋_GB2312" w:hAnsi="仿宋_GB2312" w:eastAsia="仿宋_GB2312" w:cs="仿宋_GB2312"/>
          <w:i w:val="0"/>
          <w:iCs w:val="0"/>
          <w:caps w:val="0"/>
          <w:color w:val="333333"/>
          <w:spacing w:val="0"/>
          <w:sz w:val="34"/>
          <w:szCs w:val="34"/>
          <w:shd w:val="clear" w:fill="FFFFFF"/>
          <w:lang w:val="en-US"/>
        </w:rPr>
        <w:t>4</w:t>
      </w:r>
      <w:r>
        <w:rPr>
          <w:rFonts w:hint="eastAsia" w:ascii="仿宋_GB2312" w:hAnsi="仿宋_GB2312" w:eastAsia="仿宋_GB2312" w:cs="仿宋_GB2312"/>
          <w:i w:val="0"/>
          <w:iCs w:val="0"/>
          <w:caps w:val="0"/>
          <w:color w:val="333333"/>
          <w:spacing w:val="0"/>
          <w:sz w:val="34"/>
          <w:szCs w:val="34"/>
          <w:shd w:val="clear" w:fill="FFFFFF"/>
        </w:rPr>
        <w:t>家，乡镇卫生院</w:t>
      </w:r>
      <w:r>
        <w:rPr>
          <w:rFonts w:hint="eastAsia" w:ascii="仿宋_GB2312" w:hAnsi="仿宋_GB2312" w:eastAsia="仿宋_GB2312" w:cs="仿宋_GB2312"/>
          <w:i w:val="0"/>
          <w:iCs w:val="0"/>
          <w:caps w:val="0"/>
          <w:color w:val="333333"/>
          <w:spacing w:val="0"/>
          <w:sz w:val="34"/>
          <w:szCs w:val="34"/>
          <w:shd w:val="clear" w:fill="FFFFFF"/>
          <w:lang w:val="en-US"/>
        </w:rPr>
        <w:t>29</w:t>
      </w:r>
      <w:r>
        <w:rPr>
          <w:rFonts w:hint="eastAsia" w:ascii="仿宋_GB2312" w:hAnsi="仿宋_GB2312" w:eastAsia="仿宋_GB2312" w:cs="仿宋_GB2312"/>
          <w:i w:val="0"/>
          <w:iCs w:val="0"/>
          <w:caps w:val="0"/>
          <w:color w:val="333333"/>
          <w:spacing w:val="0"/>
          <w:sz w:val="34"/>
          <w:szCs w:val="34"/>
          <w:shd w:val="clear" w:fill="FFFFFF"/>
        </w:rPr>
        <w:t>家，疾病预防控制中心</w:t>
      </w:r>
      <w:r>
        <w:rPr>
          <w:rFonts w:hint="eastAsia" w:ascii="仿宋_GB2312" w:hAnsi="仿宋_GB2312" w:eastAsia="仿宋_GB2312" w:cs="仿宋_GB2312"/>
          <w:i w:val="0"/>
          <w:iCs w:val="0"/>
          <w:caps w:val="0"/>
          <w:color w:val="333333"/>
          <w:spacing w:val="0"/>
          <w:sz w:val="34"/>
          <w:szCs w:val="34"/>
          <w:shd w:val="clear" w:fill="FFFFFF"/>
          <w:lang w:val="en-US"/>
        </w:rPr>
        <w:t>1</w:t>
      </w:r>
      <w:r>
        <w:rPr>
          <w:rFonts w:hint="eastAsia" w:ascii="仿宋_GB2312" w:hAnsi="仿宋_GB2312" w:eastAsia="仿宋_GB2312" w:cs="仿宋_GB2312"/>
          <w:i w:val="0"/>
          <w:iCs w:val="0"/>
          <w:caps w:val="0"/>
          <w:color w:val="333333"/>
          <w:spacing w:val="0"/>
          <w:sz w:val="34"/>
          <w:szCs w:val="34"/>
          <w:shd w:val="clear" w:fill="FFFFFF"/>
        </w:rPr>
        <w:t>家，妇幼保健院</w:t>
      </w:r>
      <w:r>
        <w:rPr>
          <w:rFonts w:hint="eastAsia" w:ascii="仿宋_GB2312" w:hAnsi="仿宋_GB2312" w:eastAsia="仿宋_GB2312" w:cs="仿宋_GB2312"/>
          <w:i w:val="0"/>
          <w:iCs w:val="0"/>
          <w:caps w:val="0"/>
          <w:color w:val="333333"/>
          <w:spacing w:val="0"/>
          <w:sz w:val="34"/>
          <w:szCs w:val="34"/>
          <w:shd w:val="clear" w:fill="FFFFFF"/>
          <w:lang w:val="en-US"/>
        </w:rPr>
        <w:t>1</w:t>
      </w:r>
      <w:r>
        <w:rPr>
          <w:rFonts w:hint="eastAsia" w:ascii="仿宋_GB2312" w:hAnsi="仿宋_GB2312" w:eastAsia="仿宋_GB2312" w:cs="仿宋_GB2312"/>
          <w:i w:val="0"/>
          <w:iCs w:val="0"/>
          <w:caps w:val="0"/>
          <w:color w:val="333333"/>
          <w:spacing w:val="0"/>
          <w:sz w:val="34"/>
          <w:szCs w:val="34"/>
          <w:shd w:val="clear" w:fill="FFFFFF"/>
        </w:rPr>
        <w:t>家，社区卫生服务</w:t>
      </w:r>
      <w:r>
        <w:rPr>
          <w:rFonts w:hint="eastAsia" w:ascii="仿宋_GB2312" w:hAnsi="仿宋_GB2312" w:eastAsia="仿宋_GB2312" w:cs="仿宋_GB2312"/>
          <w:i w:val="0"/>
          <w:iCs w:val="0"/>
          <w:caps w:val="0"/>
          <w:color w:val="333333"/>
          <w:spacing w:val="0"/>
          <w:sz w:val="34"/>
          <w:szCs w:val="34"/>
          <w:shd w:val="clear" w:fill="FFFFFF"/>
          <w:lang w:eastAsia="zh-CN"/>
        </w:rPr>
        <w:t>机构</w:t>
      </w:r>
      <w:r>
        <w:rPr>
          <w:rFonts w:hint="eastAsia" w:ascii="仿宋_GB2312" w:hAnsi="仿宋_GB2312" w:eastAsia="仿宋_GB2312" w:cs="仿宋_GB2312"/>
          <w:i w:val="0"/>
          <w:iCs w:val="0"/>
          <w:caps w:val="0"/>
          <w:color w:val="333333"/>
          <w:spacing w:val="0"/>
          <w:sz w:val="34"/>
          <w:szCs w:val="34"/>
          <w:shd w:val="clear" w:fill="FFFFFF"/>
          <w:lang w:val="en-US"/>
        </w:rPr>
        <w:t>9</w:t>
      </w:r>
      <w:r>
        <w:rPr>
          <w:rFonts w:hint="eastAsia" w:ascii="仿宋_GB2312" w:hAnsi="仿宋_GB2312" w:eastAsia="仿宋_GB2312" w:cs="仿宋_GB2312"/>
          <w:i w:val="0"/>
          <w:iCs w:val="0"/>
          <w:caps w:val="0"/>
          <w:color w:val="333333"/>
          <w:spacing w:val="0"/>
          <w:sz w:val="34"/>
          <w:szCs w:val="34"/>
          <w:shd w:val="clear" w:fill="FFFFFF"/>
        </w:rPr>
        <w:t>家。在社区卫生服务机构中，社区卫生服务中心</w:t>
      </w:r>
      <w:r>
        <w:rPr>
          <w:rFonts w:hint="eastAsia" w:ascii="仿宋_GB2312" w:hAnsi="仿宋_GB2312" w:eastAsia="仿宋_GB2312" w:cs="仿宋_GB2312"/>
          <w:i w:val="0"/>
          <w:iCs w:val="0"/>
          <w:caps w:val="0"/>
          <w:color w:val="333333"/>
          <w:spacing w:val="0"/>
          <w:sz w:val="34"/>
          <w:szCs w:val="34"/>
          <w:shd w:val="clear" w:fill="FFFFFF"/>
          <w:lang w:val="en-US"/>
        </w:rPr>
        <w:t>2</w:t>
      </w:r>
      <w:r>
        <w:rPr>
          <w:rFonts w:hint="eastAsia" w:ascii="仿宋_GB2312" w:hAnsi="仿宋_GB2312" w:eastAsia="仿宋_GB2312" w:cs="仿宋_GB2312"/>
          <w:i w:val="0"/>
          <w:iCs w:val="0"/>
          <w:caps w:val="0"/>
          <w:color w:val="333333"/>
          <w:spacing w:val="0"/>
          <w:sz w:val="34"/>
          <w:szCs w:val="34"/>
          <w:shd w:val="clear" w:fill="FFFFFF"/>
        </w:rPr>
        <w:t>家，社区卫生服务站</w:t>
      </w:r>
      <w:r>
        <w:rPr>
          <w:rFonts w:hint="eastAsia" w:ascii="仿宋_GB2312" w:hAnsi="仿宋_GB2312" w:eastAsia="仿宋_GB2312" w:cs="仿宋_GB2312"/>
          <w:i w:val="0"/>
          <w:iCs w:val="0"/>
          <w:caps w:val="0"/>
          <w:color w:val="333333"/>
          <w:spacing w:val="0"/>
          <w:sz w:val="34"/>
          <w:szCs w:val="34"/>
          <w:shd w:val="clear" w:fill="FFFFFF"/>
          <w:lang w:val="en-US"/>
        </w:rPr>
        <w:t>7</w:t>
      </w:r>
      <w:r>
        <w:rPr>
          <w:rFonts w:hint="eastAsia" w:ascii="仿宋_GB2312" w:hAnsi="仿宋_GB2312" w:eastAsia="仿宋_GB2312" w:cs="仿宋_GB2312"/>
          <w:i w:val="0"/>
          <w:iCs w:val="0"/>
          <w:caps w:val="0"/>
          <w:color w:val="333333"/>
          <w:spacing w:val="0"/>
          <w:sz w:val="34"/>
          <w:szCs w:val="34"/>
          <w:shd w:val="clear" w:fill="FFFFFF"/>
        </w:rPr>
        <w:t>家。</w:t>
      </w:r>
      <w:r>
        <w:rPr>
          <w:rFonts w:hint="eastAsia" w:ascii="仿宋_GB2312" w:hAnsi="仿宋_GB2312" w:eastAsia="仿宋_GB2312" w:cs="仿宋_GB2312"/>
          <w:i w:val="0"/>
          <w:iCs w:val="0"/>
          <w:caps w:val="0"/>
          <w:color w:val="333333"/>
          <w:spacing w:val="0"/>
          <w:sz w:val="34"/>
          <w:szCs w:val="34"/>
          <w:highlight w:val="none"/>
          <w:shd w:val="clear" w:fill="FFFFFF"/>
        </w:rPr>
        <w:t>年末各类卫生机构拥有床</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位</w:t>
      </w:r>
      <w:r>
        <w:rPr>
          <w:rFonts w:hint="eastAsia" w:ascii="仿宋_GB2312" w:hAnsi="仿宋_GB2312" w:eastAsia="仿宋_GB2312" w:cs="仿宋_GB2312"/>
          <w:i w:val="0"/>
          <w:iCs w:val="0"/>
          <w:caps w:val="0"/>
          <w:color w:val="333333"/>
          <w:spacing w:val="0"/>
          <w:sz w:val="34"/>
          <w:szCs w:val="34"/>
          <w:highlight w:val="none"/>
          <w:shd w:val="clear" w:fill="FFFFFF"/>
          <w:lang w:val="en-US"/>
        </w:rPr>
        <w:t>1621</w:t>
      </w:r>
      <w:r>
        <w:rPr>
          <w:rFonts w:hint="eastAsia" w:ascii="仿宋_GB2312" w:hAnsi="仿宋_GB2312" w:eastAsia="仿宋_GB2312" w:cs="仿宋_GB2312"/>
          <w:i w:val="0"/>
          <w:iCs w:val="0"/>
          <w:caps w:val="0"/>
          <w:color w:val="333333"/>
          <w:spacing w:val="0"/>
          <w:sz w:val="34"/>
          <w:szCs w:val="34"/>
          <w:highlight w:val="none"/>
          <w:shd w:val="clear" w:fill="FFFFFF"/>
        </w:rPr>
        <w:t>张，卫生技术人员</w:t>
      </w:r>
      <w:r>
        <w:rPr>
          <w:rFonts w:hint="eastAsia" w:ascii="仿宋_GB2312" w:hAnsi="仿宋_GB2312" w:eastAsia="仿宋_GB2312" w:cs="仿宋_GB2312"/>
          <w:i w:val="0"/>
          <w:iCs w:val="0"/>
          <w:caps w:val="0"/>
          <w:color w:val="333333"/>
          <w:spacing w:val="0"/>
          <w:sz w:val="34"/>
          <w:szCs w:val="34"/>
          <w:highlight w:val="none"/>
          <w:shd w:val="clear" w:fill="FFFFFF"/>
          <w:lang w:val="en-US"/>
        </w:rPr>
        <w:t>3711</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其中执业医师</w:t>
      </w:r>
      <w:r>
        <w:rPr>
          <w:rFonts w:hint="eastAsia" w:ascii="仿宋_GB2312" w:hAnsi="仿宋_GB2312" w:eastAsia="仿宋_GB2312" w:cs="仿宋_GB2312"/>
          <w:i w:val="0"/>
          <w:iCs w:val="0"/>
          <w:caps w:val="0"/>
          <w:color w:val="333333"/>
          <w:spacing w:val="0"/>
          <w:sz w:val="34"/>
          <w:szCs w:val="34"/>
          <w:highlight w:val="none"/>
          <w:shd w:val="clear" w:fill="FFFFFF"/>
          <w:lang w:val="en-US"/>
        </w:rPr>
        <w:t>1230</w:t>
      </w:r>
      <w:r>
        <w:rPr>
          <w:rFonts w:hint="eastAsia" w:ascii="仿宋_GB2312" w:hAnsi="仿宋_GB2312" w:eastAsia="仿宋_GB2312" w:cs="仿宋_GB2312"/>
          <w:i w:val="0"/>
          <w:iCs w:val="0"/>
          <w:caps w:val="0"/>
          <w:color w:val="333333"/>
          <w:spacing w:val="0"/>
          <w:sz w:val="34"/>
          <w:szCs w:val="34"/>
          <w:highlight w:val="none"/>
          <w:shd w:val="clear" w:fill="FFFFFF"/>
        </w:rPr>
        <w:t>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执业助理医师342人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注册护士</w:t>
      </w:r>
      <w:r>
        <w:rPr>
          <w:rFonts w:hint="eastAsia" w:ascii="仿宋_GB2312" w:hAnsi="仿宋_GB2312" w:eastAsia="仿宋_GB2312" w:cs="仿宋_GB2312"/>
          <w:i w:val="0"/>
          <w:iCs w:val="0"/>
          <w:caps w:val="0"/>
          <w:color w:val="333333"/>
          <w:spacing w:val="0"/>
          <w:sz w:val="34"/>
          <w:szCs w:val="34"/>
          <w:highlight w:val="none"/>
          <w:shd w:val="clear" w:fill="FFFFFF"/>
          <w:lang w:val="en-US"/>
        </w:rPr>
        <w:t>1869</w:t>
      </w:r>
      <w:r>
        <w:rPr>
          <w:rFonts w:hint="eastAsia" w:ascii="仿宋_GB2312" w:hAnsi="仿宋_GB2312" w:eastAsia="仿宋_GB2312" w:cs="仿宋_GB2312"/>
          <w:i w:val="0"/>
          <w:iCs w:val="0"/>
          <w:caps w:val="0"/>
          <w:color w:val="333333"/>
          <w:spacing w:val="0"/>
          <w:sz w:val="34"/>
          <w:szCs w:val="34"/>
          <w:highlight w:val="none"/>
          <w:shd w:val="clear" w:fill="FFFFFF"/>
        </w:rPr>
        <w:t>人。全年总诊疗人次</w:t>
      </w:r>
      <w:r>
        <w:rPr>
          <w:rFonts w:hint="eastAsia" w:ascii="仿宋_GB2312" w:hAnsi="仿宋_GB2312" w:eastAsia="仿宋_GB2312" w:cs="仿宋_GB2312"/>
          <w:i w:val="0"/>
          <w:iCs w:val="0"/>
          <w:caps w:val="0"/>
          <w:color w:val="333333"/>
          <w:spacing w:val="0"/>
          <w:sz w:val="34"/>
          <w:szCs w:val="34"/>
          <w:highlight w:val="none"/>
          <w:shd w:val="clear" w:fill="FFFFFF"/>
          <w:lang w:val="en-US"/>
        </w:rPr>
        <w:t>104.71</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人次，出院人数</w:t>
      </w:r>
      <w:r>
        <w:rPr>
          <w:rFonts w:hint="eastAsia" w:ascii="仿宋_GB2312" w:hAnsi="仿宋_GB2312" w:eastAsia="仿宋_GB2312" w:cs="仿宋_GB2312"/>
          <w:i w:val="0"/>
          <w:iCs w:val="0"/>
          <w:caps w:val="0"/>
          <w:color w:val="333333"/>
          <w:spacing w:val="0"/>
          <w:sz w:val="34"/>
          <w:szCs w:val="34"/>
          <w:highlight w:val="none"/>
          <w:shd w:val="clear" w:fill="FFFFFF"/>
          <w:lang w:val="en-US"/>
        </w:rPr>
        <w:t>4.07</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全年在</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各项</w:t>
      </w:r>
      <w:r>
        <w:rPr>
          <w:rFonts w:hint="eastAsia" w:ascii="仿宋_GB2312" w:hAnsi="仿宋_GB2312" w:eastAsia="仿宋_GB2312" w:cs="仿宋_GB2312"/>
          <w:i w:val="0"/>
          <w:iCs w:val="0"/>
          <w:caps w:val="0"/>
          <w:color w:val="333333"/>
          <w:spacing w:val="0"/>
          <w:sz w:val="34"/>
          <w:szCs w:val="34"/>
          <w:highlight w:val="none"/>
          <w:shd w:val="clear" w:fill="FFFFFF"/>
        </w:rPr>
        <w:t>比赛中获得金牌</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8</w:t>
      </w:r>
      <w:r>
        <w:rPr>
          <w:rFonts w:hint="eastAsia" w:ascii="仿宋_GB2312" w:hAnsi="仿宋_GB2312" w:eastAsia="仿宋_GB2312" w:cs="仿宋_GB2312"/>
          <w:i w:val="0"/>
          <w:iCs w:val="0"/>
          <w:caps w:val="0"/>
          <w:color w:val="333333"/>
          <w:spacing w:val="0"/>
          <w:sz w:val="34"/>
          <w:szCs w:val="34"/>
          <w:highlight w:val="none"/>
          <w:shd w:val="clear" w:fill="FFFFFF"/>
        </w:rPr>
        <w:t>枚，银牌</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枚。举办</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w:t>
      </w:r>
      <w:r>
        <w:rPr>
          <w:rFonts w:hint="eastAsia" w:ascii="仿宋_GB2312" w:hAnsi="仿宋_GB2312" w:eastAsia="仿宋_GB2312" w:cs="仿宋_GB2312"/>
          <w:i w:val="0"/>
          <w:iCs w:val="0"/>
          <w:caps w:val="0"/>
          <w:color w:val="333333"/>
          <w:spacing w:val="0"/>
          <w:sz w:val="34"/>
          <w:szCs w:val="34"/>
          <w:highlight w:val="none"/>
          <w:shd w:val="clear" w:fill="FFFFFF"/>
        </w:rPr>
        <w:t>项</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县级</w:t>
      </w:r>
      <w:r>
        <w:rPr>
          <w:rFonts w:hint="eastAsia" w:ascii="仿宋_GB2312" w:hAnsi="仿宋_GB2312" w:eastAsia="仿宋_GB2312" w:cs="仿宋_GB2312"/>
          <w:i w:val="0"/>
          <w:iCs w:val="0"/>
          <w:caps w:val="0"/>
          <w:color w:val="333333"/>
          <w:spacing w:val="0"/>
          <w:sz w:val="34"/>
          <w:szCs w:val="34"/>
          <w:highlight w:val="none"/>
          <w:shd w:val="clear" w:fill="FFFFFF"/>
        </w:rPr>
        <w:t>赛事。全年举办</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w:t>
      </w:r>
      <w:r>
        <w:rPr>
          <w:rFonts w:hint="eastAsia" w:ascii="仿宋_GB2312" w:hAnsi="仿宋_GB2312" w:eastAsia="仿宋_GB2312" w:cs="仿宋_GB2312"/>
          <w:i w:val="0"/>
          <w:iCs w:val="0"/>
          <w:caps w:val="0"/>
          <w:color w:val="333333"/>
          <w:spacing w:val="0"/>
          <w:sz w:val="34"/>
          <w:szCs w:val="34"/>
          <w:highlight w:val="none"/>
          <w:shd w:val="clear" w:fill="FFFFFF"/>
        </w:rPr>
        <w:t>项全民健身品牌系列活动，</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16</w:t>
      </w:r>
      <w:r>
        <w:rPr>
          <w:rFonts w:hint="eastAsia" w:ascii="仿宋_GB2312" w:hAnsi="仿宋_GB2312" w:eastAsia="仿宋_GB2312" w:cs="仿宋_GB2312"/>
          <w:i w:val="0"/>
          <w:iCs w:val="0"/>
          <w:caps w:val="0"/>
          <w:color w:val="333333"/>
          <w:spacing w:val="0"/>
          <w:sz w:val="34"/>
          <w:szCs w:val="34"/>
          <w:highlight w:val="none"/>
          <w:shd w:val="clear" w:fill="FFFFFF"/>
        </w:rPr>
        <w:t>处农民体育健身工程顺利竣工,培训各级社会体育指导员</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152</w:t>
      </w:r>
      <w:r>
        <w:rPr>
          <w:rFonts w:hint="eastAsia" w:ascii="仿宋_GB2312" w:hAnsi="仿宋_GB2312" w:eastAsia="仿宋_GB2312" w:cs="仿宋_GB2312"/>
          <w:i w:val="0"/>
          <w:iCs w:val="0"/>
          <w:caps w:val="0"/>
          <w:color w:val="333333"/>
          <w:spacing w:val="0"/>
          <w:sz w:val="34"/>
          <w:szCs w:val="34"/>
          <w:highlight w:val="none"/>
          <w:shd w:val="clear" w:fill="FFFFFF"/>
        </w:rPr>
        <w:t>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十三、人民生活和社会保障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全年农村常住居民人均可支配收入</w:t>
      </w:r>
      <w:r>
        <w:rPr>
          <w:rFonts w:hint="eastAsia" w:ascii="仿宋_GB2312" w:hAnsi="仿宋_GB2312" w:eastAsia="仿宋_GB2312" w:cs="仿宋_GB2312"/>
          <w:i w:val="0"/>
          <w:iCs w:val="0"/>
          <w:caps w:val="0"/>
          <w:color w:val="333333"/>
          <w:spacing w:val="0"/>
          <w:sz w:val="34"/>
          <w:szCs w:val="34"/>
          <w:highlight w:val="none"/>
          <w:shd w:val="clear" w:fill="FFFFFF"/>
          <w:lang w:val="en-US"/>
        </w:rPr>
        <w:t>16855</w:t>
      </w:r>
      <w:r>
        <w:rPr>
          <w:rFonts w:hint="eastAsia" w:ascii="仿宋_GB2312" w:hAnsi="仿宋_GB2312" w:eastAsia="仿宋_GB2312" w:cs="仿宋_GB2312"/>
          <w:i w:val="0"/>
          <w:iCs w:val="0"/>
          <w:caps w:val="0"/>
          <w:color w:val="333333"/>
          <w:spacing w:val="0"/>
          <w:sz w:val="34"/>
          <w:szCs w:val="34"/>
          <w:highlight w:val="none"/>
          <w:shd w:val="clear" w:fill="FFFFFF"/>
        </w:rPr>
        <w:t>元，增长</w:t>
      </w:r>
      <w:r>
        <w:rPr>
          <w:rFonts w:hint="eastAsia" w:ascii="仿宋_GB2312" w:hAnsi="仿宋_GB2312" w:eastAsia="仿宋_GB2312" w:cs="仿宋_GB2312"/>
          <w:i w:val="0"/>
          <w:iCs w:val="0"/>
          <w:caps w:val="0"/>
          <w:color w:val="333333"/>
          <w:spacing w:val="0"/>
          <w:sz w:val="34"/>
          <w:szCs w:val="34"/>
          <w:highlight w:val="none"/>
          <w:shd w:val="clear" w:fill="FFFFFF"/>
          <w:lang w:val="en-US"/>
        </w:rPr>
        <w:t>10.9</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年末城镇职工基本养老保险参保人数（含退休）</w:t>
      </w:r>
      <w:r>
        <w:rPr>
          <w:rFonts w:hint="eastAsia" w:ascii="仿宋_GB2312" w:hAnsi="仿宋_GB2312" w:eastAsia="仿宋_GB2312" w:cs="仿宋_GB2312"/>
          <w:i w:val="0"/>
          <w:iCs w:val="0"/>
          <w:caps w:val="0"/>
          <w:color w:val="333333"/>
          <w:spacing w:val="0"/>
          <w:sz w:val="34"/>
          <w:szCs w:val="34"/>
          <w:highlight w:val="none"/>
          <w:shd w:val="clear" w:fill="FFFFFF"/>
          <w:lang w:val="en-US"/>
        </w:rPr>
        <w:t>9.2</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人。城乡居民养老保险参保人数达到</w:t>
      </w:r>
      <w:r>
        <w:rPr>
          <w:rFonts w:hint="eastAsia" w:ascii="仿宋_GB2312" w:hAnsi="仿宋_GB2312" w:eastAsia="仿宋_GB2312" w:cs="仿宋_GB2312"/>
          <w:i w:val="0"/>
          <w:iCs w:val="0"/>
          <w:caps w:val="0"/>
          <w:color w:val="333333"/>
          <w:spacing w:val="0"/>
          <w:sz w:val="34"/>
          <w:szCs w:val="34"/>
          <w:highlight w:val="none"/>
          <w:shd w:val="clear" w:fill="FFFFFF"/>
          <w:lang w:val="en-US"/>
        </w:rPr>
        <w:t>35.4</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万</w:t>
      </w:r>
      <w:r>
        <w:rPr>
          <w:rFonts w:hint="eastAsia" w:ascii="仿宋_GB2312" w:hAnsi="仿宋_GB2312" w:eastAsia="仿宋_GB2312" w:cs="仿宋_GB2312"/>
          <w:i w:val="0"/>
          <w:iCs w:val="0"/>
          <w:caps w:val="0"/>
          <w:color w:val="333333"/>
          <w:spacing w:val="0"/>
          <w:sz w:val="34"/>
          <w:szCs w:val="34"/>
          <w:highlight w:val="none"/>
          <w:shd w:val="clear" w:fill="FFFFFF"/>
        </w:rPr>
        <w:t>人。年末参加基本医疗保险人数</w:t>
      </w:r>
      <w:r>
        <w:rPr>
          <w:rFonts w:hint="eastAsia" w:ascii="仿宋_GB2312" w:hAnsi="仿宋_GB2312" w:eastAsia="仿宋_GB2312" w:cs="仿宋_GB2312"/>
          <w:i w:val="0"/>
          <w:iCs w:val="0"/>
          <w:caps w:val="0"/>
          <w:color w:val="333333"/>
          <w:spacing w:val="0"/>
          <w:sz w:val="34"/>
          <w:szCs w:val="34"/>
          <w:highlight w:val="none"/>
          <w:shd w:val="clear" w:fill="FFFFFF"/>
          <w:lang w:val="en-US"/>
        </w:rPr>
        <w:t>44.9</w:t>
      </w:r>
      <w:r>
        <w:rPr>
          <w:rFonts w:hint="eastAsia" w:ascii="仿宋_GB2312" w:hAnsi="仿宋_GB2312" w:eastAsia="仿宋_GB2312" w:cs="仿宋_GB2312"/>
          <w:i w:val="0"/>
          <w:iCs w:val="0"/>
          <w:caps w:val="0"/>
          <w:color w:val="333333"/>
          <w:spacing w:val="0"/>
          <w:sz w:val="34"/>
          <w:szCs w:val="34"/>
          <w:highlight w:val="none"/>
          <w:shd w:val="clear" w:fill="FFFFFF"/>
        </w:rPr>
        <w:t>万人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其中</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参加城镇职工基本医疗保险人数</w:t>
      </w:r>
      <w:r>
        <w:rPr>
          <w:rFonts w:hint="eastAsia" w:ascii="仿宋_GB2312" w:hAnsi="仿宋_GB2312" w:eastAsia="仿宋_GB2312" w:cs="仿宋_GB2312"/>
          <w:i w:val="0"/>
          <w:iCs w:val="0"/>
          <w:caps w:val="0"/>
          <w:color w:val="333333"/>
          <w:spacing w:val="0"/>
          <w:sz w:val="34"/>
          <w:szCs w:val="34"/>
          <w:highlight w:val="none"/>
          <w:shd w:val="clear" w:fill="FFFFFF"/>
          <w:lang w:val="en-US"/>
        </w:rPr>
        <w:t>5</w:t>
      </w:r>
      <w:r>
        <w:rPr>
          <w:rFonts w:hint="eastAsia" w:ascii="仿宋_GB2312" w:hAnsi="仿宋_GB2312" w:eastAsia="仿宋_GB2312" w:cs="仿宋_GB2312"/>
          <w:i w:val="0"/>
          <w:iCs w:val="0"/>
          <w:caps w:val="0"/>
          <w:color w:val="333333"/>
          <w:spacing w:val="0"/>
          <w:sz w:val="34"/>
          <w:szCs w:val="34"/>
          <w:highlight w:val="none"/>
          <w:shd w:val="clear" w:fill="FFFFFF"/>
        </w:rPr>
        <w:t>万人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参加城乡居民基本医疗保险人数</w:t>
      </w:r>
      <w:r>
        <w:rPr>
          <w:rFonts w:hint="eastAsia" w:ascii="仿宋_GB2312" w:hAnsi="仿宋_GB2312" w:eastAsia="仿宋_GB2312" w:cs="仿宋_GB2312"/>
          <w:i w:val="0"/>
          <w:iCs w:val="0"/>
          <w:caps w:val="0"/>
          <w:color w:val="333333"/>
          <w:spacing w:val="0"/>
          <w:sz w:val="34"/>
          <w:szCs w:val="34"/>
          <w:highlight w:val="none"/>
          <w:shd w:val="clear" w:fill="FFFFFF"/>
          <w:lang w:val="en-US"/>
        </w:rPr>
        <w:t>39.9</w:t>
      </w:r>
      <w:r>
        <w:rPr>
          <w:rFonts w:hint="eastAsia" w:ascii="仿宋_GB2312" w:hAnsi="仿宋_GB2312" w:eastAsia="仿宋_GB2312" w:cs="仿宋_GB2312"/>
          <w:i w:val="0"/>
          <w:iCs w:val="0"/>
          <w:caps w:val="0"/>
          <w:color w:val="333333"/>
          <w:spacing w:val="0"/>
          <w:sz w:val="34"/>
          <w:szCs w:val="34"/>
          <w:highlight w:val="none"/>
          <w:shd w:val="clear" w:fill="FFFFFF"/>
        </w:rPr>
        <w:t>万人。失业保险参保人数</w:t>
      </w:r>
      <w:r>
        <w:rPr>
          <w:rFonts w:hint="eastAsia" w:ascii="仿宋_GB2312" w:hAnsi="仿宋_GB2312" w:eastAsia="仿宋_GB2312" w:cs="仿宋_GB2312"/>
          <w:i w:val="0"/>
          <w:iCs w:val="0"/>
          <w:caps w:val="0"/>
          <w:color w:val="333333"/>
          <w:spacing w:val="0"/>
          <w:sz w:val="34"/>
          <w:szCs w:val="34"/>
          <w:highlight w:val="none"/>
          <w:shd w:val="clear" w:fill="FFFFFF"/>
          <w:lang w:val="en-US"/>
        </w:rPr>
        <w:t>2.5</w:t>
      </w:r>
      <w:r>
        <w:rPr>
          <w:rFonts w:hint="eastAsia" w:ascii="仿宋_GB2312" w:hAnsi="仿宋_GB2312" w:eastAsia="仿宋_GB2312" w:cs="仿宋_GB2312"/>
          <w:i w:val="0"/>
          <w:iCs w:val="0"/>
          <w:caps w:val="0"/>
          <w:color w:val="333333"/>
          <w:spacing w:val="0"/>
          <w:sz w:val="34"/>
          <w:szCs w:val="34"/>
          <w:highlight w:val="none"/>
          <w:shd w:val="clear" w:fill="FFFFFF"/>
        </w:rPr>
        <w:t>万人。</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全县城乡低保人数</w:t>
      </w:r>
      <w:r>
        <w:rPr>
          <w:rFonts w:hint="eastAsia" w:ascii="仿宋_GB2312" w:hAnsi="仿宋_GB2312" w:eastAsia="仿宋_GB2312" w:cs="仿宋_GB2312"/>
          <w:i w:val="0"/>
          <w:iCs w:val="0"/>
          <w:caps w:val="0"/>
          <w:color w:val="333333"/>
          <w:spacing w:val="0"/>
          <w:sz w:val="34"/>
          <w:szCs w:val="34"/>
          <w:highlight w:val="none"/>
          <w:shd w:val="clear" w:fill="FFFFFF"/>
        </w:rPr>
        <w:t>达</w:t>
      </w:r>
      <w:r>
        <w:rPr>
          <w:rFonts w:hint="eastAsia" w:ascii="仿宋_GB2312" w:hAnsi="仿宋_GB2312" w:eastAsia="仿宋_GB2312" w:cs="仿宋_GB2312"/>
          <w:i w:val="0"/>
          <w:iCs w:val="0"/>
          <w:caps w:val="0"/>
          <w:color w:val="333333"/>
          <w:spacing w:val="0"/>
          <w:sz w:val="34"/>
          <w:szCs w:val="34"/>
          <w:highlight w:val="none"/>
          <w:shd w:val="clear" w:fill="FFFFFF"/>
          <w:lang w:val="en-US"/>
        </w:rPr>
        <w:t>12359</w:t>
      </w:r>
      <w:r>
        <w:rPr>
          <w:rFonts w:hint="eastAsia" w:ascii="仿宋_GB2312" w:hAnsi="仿宋_GB2312" w:eastAsia="仿宋_GB2312" w:cs="仿宋_GB2312"/>
          <w:i w:val="0"/>
          <w:iCs w:val="0"/>
          <w:caps w:val="0"/>
          <w:color w:val="333333"/>
          <w:spacing w:val="0"/>
          <w:sz w:val="34"/>
          <w:szCs w:val="34"/>
          <w:highlight w:val="none"/>
          <w:shd w:val="clear" w:fill="FFFFFF"/>
        </w:rPr>
        <w:t>人，其中城</w:t>
      </w:r>
      <w:r>
        <w:rPr>
          <w:rFonts w:hint="eastAsia" w:ascii="仿宋_GB2312" w:hAnsi="仿宋_GB2312" w:eastAsia="仿宋_GB2312" w:cs="仿宋_GB2312"/>
          <w:i w:val="0"/>
          <w:iCs w:val="0"/>
          <w:caps w:val="0"/>
          <w:color w:val="333333"/>
          <w:spacing w:val="0"/>
          <w:sz w:val="34"/>
          <w:szCs w:val="34"/>
          <w:highlight w:val="none"/>
          <w:shd w:val="clear" w:fill="FFFFFF"/>
          <w:lang w:eastAsia="zh-CN"/>
        </w:rPr>
        <w:t>镇低保户</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1362</w:t>
      </w:r>
      <w:r>
        <w:rPr>
          <w:rFonts w:hint="eastAsia" w:ascii="仿宋_GB2312" w:hAnsi="仿宋_GB2312" w:eastAsia="仿宋_GB2312" w:cs="仿宋_GB2312"/>
          <w:i w:val="0"/>
          <w:iCs w:val="0"/>
          <w:caps w:val="0"/>
          <w:color w:val="333333"/>
          <w:spacing w:val="0"/>
          <w:sz w:val="34"/>
          <w:szCs w:val="34"/>
          <w:highlight w:val="none"/>
          <w:shd w:val="clear" w:fill="FFFFFF"/>
        </w:rPr>
        <w:t>人，农村</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低保户</w:t>
      </w:r>
      <w:r>
        <w:rPr>
          <w:rFonts w:hint="eastAsia" w:ascii="仿宋_GB2312" w:hAnsi="仿宋_GB2312" w:eastAsia="仿宋_GB2312" w:cs="仿宋_GB2312"/>
          <w:i w:val="0"/>
          <w:iCs w:val="0"/>
          <w:caps w:val="0"/>
          <w:color w:val="333333"/>
          <w:spacing w:val="0"/>
          <w:sz w:val="34"/>
          <w:szCs w:val="34"/>
          <w:highlight w:val="none"/>
          <w:shd w:val="clear" w:fill="FFFFFF"/>
          <w:lang w:val="en-US"/>
        </w:rPr>
        <w:t>10997</w:t>
      </w:r>
      <w:r>
        <w:rPr>
          <w:rFonts w:hint="eastAsia" w:ascii="仿宋_GB2312" w:hAnsi="仿宋_GB2312" w:eastAsia="仿宋_GB2312" w:cs="仿宋_GB2312"/>
          <w:i w:val="0"/>
          <w:iCs w:val="0"/>
          <w:caps w:val="0"/>
          <w:color w:val="333333"/>
          <w:spacing w:val="0"/>
          <w:sz w:val="34"/>
          <w:szCs w:val="34"/>
          <w:highlight w:val="none"/>
          <w:shd w:val="clear" w:fill="FFFFFF"/>
        </w:rPr>
        <w:t>人。</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eastAsia="zh-CN"/>
        </w:rPr>
      </w:pPr>
      <w:r>
        <w:rPr>
          <w:rFonts w:hint="eastAsia" w:ascii="仿宋_GB2312" w:hAnsi="仿宋_GB2312" w:eastAsia="仿宋_GB2312" w:cs="仿宋_GB2312"/>
          <w:i w:val="0"/>
          <w:iCs w:val="0"/>
          <w:caps w:val="0"/>
          <w:color w:val="333333"/>
          <w:spacing w:val="0"/>
          <w:sz w:val="34"/>
          <w:szCs w:val="34"/>
          <w:highlight w:val="none"/>
          <w:shd w:val="clear" w:fill="FFFFFF"/>
        </w:rPr>
        <w:t>年末共有养老机构1</w:t>
      </w:r>
      <w:r>
        <w:rPr>
          <w:rFonts w:hint="eastAsia" w:ascii="仿宋_GB2312" w:hAnsi="仿宋_GB2312" w:eastAsia="仿宋_GB2312" w:cs="仿宋_GB2312"/>
          <w:i w:val="0"/>
          <w:iCs w:val="0"/>
          <w:caps w:val="0"/>
          <w:color w:val="333333"/>
          <w:spacing w:val="0"/>
          <w:sz w:val="34"/>
          <w:szCs w:val="34"/>
          <w:highlight w:val="none"/>
          <w:shd w:val="clear" w:fill="FFFFFF"/>
          <w:lang w:val="en-US"/>
        </w:rPr>
        <w:t>4</w:t>
      </w:r>
      <w:r>
        <w:rPr>
          <w:rFonts w:hint="eastAsia" w:ascii="仿宋_GB2312" w:hAnsi="仿宋_GB2312" w:eastAsia="仿宋_GB2312" w:cs="仿宋_GB2312"/>
          <w:i w:val="0"/>
          <w:iCs w:val="0"/>
          <w:caps w:val="0"/>
          <w:color w:val="333333"/>
          <w:spacing w:val="0"/>
          <w:sz w:val="34"/>
          <w:szCs w:val="34"/>
          <w:highlight w:val="none"/>
          <w:shd w:val="clear" w:fill="FFFFFF"/>
        </w:rPr>
        <w:t>家</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其中</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公办社会福利机构</w:t>
      </w:r>
      <w:r>
        <w:rPr>
          <w:rFonts w:hint="eastAsia" w:ascii="仿宋_GB2312" w:hAnsi="仿宋_GB2312" w:eastAsia="仿宋_GB2312" w:cs="仿宋_GB2312"/>
          <w:i w:val="0"/>
          <w:iCs w:val="0"/>
          <w:caps w:val="0"/>
          <w:color w:val="333333"/>
          <w:spacing w:val="0"/>
          <w:sz w:val="34"/>
          <w:szCs w:val="34"/>
          <w:highlight w:val="none"/>
          <w:shd w:val="clear" w:fill="FFFFFF"/>
          <w:lang w:val="en-US"/>
        </w:rPr>
        <w:t>11</w:t>
      </w:r>
      <w:r>
        <w:rPr>
          <w:rFonts w:hint="eastAsia" w:ascii="仿宋_GB2312" w:hAnsi="仿宋_GB2312" w:eastAsia="仿宋_GB2312" w:cs="仿宋_GB2312"/>
          <w:i w:val="0"/>
          <w:iCs w:val="0"/>
          <w:caps w:val="0"/>
          <w:color w:val="333333"/>
          <w:spacing w:val="0"/>
          <w:sz w:val="34"/>
          <w:szCs w:val="34"/>
          <w:highlight w:val="none"/>
          <w:shd w:val="clear" w:fill="FFFFFF"/>
        </w:rPr>
        <w:t>家</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（县级</w:t>
      </w: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9家，乡级2家</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r>
        <w:rPr>
          <w:rFonts w:hint="eastAsia" w:ascii="仿宋_GB2312" w:hAnsi="仿宋_GB2312" w:eastAsia="仿宋_GB2312" w:cs="仿宋_GB2312"/>
          <w:i w:val="0"/>
          <w:iCs w:val="0"/>
          <w:caps w:val="0"/>
          <w:color w:val="333333"/>
          <w:spacing w:val="0"/>
          <w:sz w:val="34"/>
          <w:szCs w:val="34"/>
          <w:highlight w:val="none"/>
          <w:shd w:val="clear" w:fill="FFFFFF"/>
        </w:rPr>
        <w:t>民办养老机构</w:t>
      </w:r>
      <w:r>
        <w:rPr>
          <w:rFonts w:hint="eastAsia" w:ascii="仿宋_GB2312" w:hAnsi="仿宋_GB2312" w:eastAsia="仿宋_GB2312" w:cs="仿宋_GB2312"/>
          <w:i w:val="0"/>
          <w:iCs w:val="0"/>
          <w:caps w:val="0"/>
          <w:color w:val="333333"/>
          <w:spacing w:val="0"/>
          <w:sz w:val="34"/>
          <w:szCs w:val="34"/>
          <w:highlight w:val="none"/>
          <w:shd w:val="clear" w:fill="FFFFFF"/>
          <w:lang w:val="en-US"/>
        </w:rPr>
        <w:t>3</w:t>
      </w:r>
      <w:r>
        <w:rPr>
          <w:rFonts w:hint="eastAsia" w:ascii="仿宋_GB2312" w:hAnsi="仿宋_GB2312" w:eastAsia="仿宋_GB2312" w:cs="仿宋_GB2312"/>
          <w:i w:val="0"/>
          <w:iCs w:val="0"/>
          <w:caps w:val="0"/>
          <w:color w:val="333333"/>
          <w:spacing w:val="0"/>
          <w:sz w:val="34"/>
          <w:szCs w:val="34"/>
          <w:highlight w:val="none"/>
          <w:shd w:val="clear" w:fill="FFFFFF"/>
        </w:rPr>
        <w:t>家。提供收养床位</w:t>
      </w:r>
      <w:r>
        <w:rPr>
          <w:rFonts w:hint="eastAsia" w:ascii="仿宋_GB2312" w:hAnsi="仿宋_GB2312" w:eastAsia="仿宋_GB2312" w:cs="仿宋_GB2312"/>
          <w:i w:val="0"/>
          <w:iCs w:val="0"/>
          <w:caps w:val="0"/>
          <w:color w:val="333333"/>
          <w:spacing w:val="0"/>
          <w:sz w:val="34"/>
          <w:szCs w:val="34"/>
          <w:highlight w:val="none"/>
          <w:shd w:val="clear" w:fill="FFFFFF"/>
          <w:lang w:val="en-US"/>
        </w:rPr>
        <w:t>2069</w:t>
      </w:r>
      <w:r>
        <w:rPr>
          <w:rFonts w:hint="eastAsia" w:ascii="仿宋_GB2312" w:hAnsi="仿宋_GB2312" w:eastAsia="仿宋_GB2312" w:cs="仿宋_GB2312"/>
          <w:i w:val="0"/>
          <w:iCs w:val="0"/>
          <w:caps w:val="0"/>
          <w:color w:val="333333"/>
          <w:spacing w:val="0"/>
          <w:sz w:val="34"/>
          <w:szCs w:val="34"/>
          <w:highlight w:val="none"/>
          <w:shd w:val="clear" w:fill="FFFFFF"/>
        </w:rPr>
        <w:t>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w:t>
      </w:r>
    </w:p>
    <w:p>
      <w:pPr>
        <w:pStyle w:val="4"/>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shd w:val="clear" w:fill="FFFFFF"/>
        </w:rPr>
      </w:pPr>
      <w:r>
        <w:rPr>
          <w:rFonts w:hint="eastAsia" w:ascii="黑体" w:hAnsi="黑体" w:eastAsia="黑体" w:cs="黑体"/>
          <w:i w:val="0"/>
          <w:iCs w:val="0"/>
          <w:caps w:val="0"/>
          <w:color w:val="333333"/>
          <w:spacing w:val="0"/>
          <w:sz w:val="34"/>
          <w:szCs w:val="34"/>
          <w:highlight w:val="none"/>
          <w:shd w:val="clear" w:fill="FFFFFF"/>
        </w:rPr>
        <w:t>公共事业、环境和安全生产</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2021年末县城区道路总长86.9公里，实有铺装道路面积139.3万平方米，新建城市道路0.3公里。维修城市道路4公里，排水管道105.7公里，桥梁5座。城区人均公共绿地14.6平方米，建成区绿化覆盖率41.8%。城区燃气管道总长度141公里，燃气用户29846万户。改造提升老旧住宅小区20万平方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城区污水处理率100%，污水集中处理率95%，供水普及率99.10%,燃气普及率99.98%，生活垃圾处理率100%，生活垃圾无害化处理率100%。</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全年城市空气质量平均优良天数达到254天，环境空气质量优良率75.4%。</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lang w:val="en-US" w:eastAsia="zh-CN"/>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城市环境空气中可吸入颗粒物、细颗粒物、二氧化硫、二氧化氮、一氧化碳、臭氧年均浓度分别为：42微克/立方米、105微克/立方米、25微克/立方米、45微克/立方米、1.5毫克/立方米、128微克/立方米，二氧化硫、一氧化碳、臭氧三项指标达到《环境空气质量标准》（GB3095-2012）二级浓度限值要求。</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黑体" w:hAnsi="黑体" w:eastAsia="黑体" w:cs="黑体"/>
          <w:i w:val="0"/>
          <w:iCs w:val="0"/>
          <w:caps w:val="0"/>
          <w:color w:val="333333"/>
          <w:spacing w:val="0"/>
          <w:sz w:val="34"/>
          <w:szCs w:val="34"/>
          <w:highlight w:val="none"/>
        </w:rPr>
      </w:pPr>
      <w:r>
        <w:rPr>
          <w:rFonts w:hint="eastAsia" w:ascii="黑体" w:hAnsi="黑体" w:eastAsia="黑体" w:cs="黑体"/>
          <w:i w:val="0"/>
          <w:iCs w:val="0"/>
          <w:caps w:val="0"/>
          <w:color w:val="333333"/>
          <w:spacing w:val="0"/>
          <w:sz w:val="34"/>
          <w:szCs w:val="34"/>
          <w:highlight w:val="none"/>
          <w:shd w:val="clear" w:fill="FFFFFF"/>
        </w:rPr>
        <w:t>十五、人口和劳动就业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rPr>
        <w:t>年末</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户籍总人口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56.2</w:t>
      </w:r>
      <w:r>
        <w:rPr>
          <w:rFonts w:hint="eastAsia" w:ascii="仿宋_GB2312" w:hAnsi="仿宋_GB2312" w:eastAsia="仿宋_GB2312" w:cs="仿宋_GB2312"/>
          <w:i w:val="0"/>
          <w:iCs w:val="0"/>
          <w:caps w:val="0"/>
          <w:color w:val="333333"/>
          <w:spacing w:val="0"/>
          <w:sz w:val="34"/>
          <w:szCs w:val="34"/>
          <w:highlight w:val="none"/>
          <w:shd w:val="clear" w:fill="FFFFFF"/>
        </w:rPr>
        <w:t>万人。其中，男性人口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28.8</w:t>
      </w:r>
      <w:r>
        <w:rPr>
          <w:rFonts w:hint="eastAsia" w:ascii="仿宋_GB2312" w:hAnsi="仿宋_GB2312" w:eastAsia="仿宋_GB2312" w:cs="仿宋_GB2312"/>
          <w:i w:val="0"/>
          <w:iCs w:val="0"/>
          <w:caps w:val="0"/>
          <w:color w:val="333333"/>
          <w:spacing w:val="0"/>
          <w:sz w:val="34"/>
          <w:szCs w:val="34"/>
          <w:highlight w:val="none"/>
          <w:shd w:val="clear" w:fill="FFFFFF"/>
        </w:rPr>
        <w:t>万人，占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人口比重</w:t>
      </w:r>
      <w:r>
        <w:rPr>
          <w:rFonts w:hint="eastAsia" w:ascii="仿宋_GB2312" w:hAnsi="仿宋_GB2312" w:eastAsia="仿宋_GB2312" w:cs="仿宋_GB2312"/>
          <w:i w:val="0"/>
          <w:iCs w:val="0"/>
          <w:caps w:val="0"/>
          <w:color w:val="333333"/>
          <w:spacing w:val="0"/>
          <w:sz w:val="34"/>
          <w:szCs w:val="34"/>
          <w:highlight w:val="none"/>
          <w:shd w:val="clear" w:fill="FFFFFF"/>
          <w:lang w:val="en-US"/>
        </w:rPr>
        <w:t>51.2</w:t>
      </w:r>
      <w:r>
        <w:rPr>
          <w:rFonts w:hint="eastAsia" w:ascii="仿宋_GB2312" w:hAnsi="仿宋_GB2312" w:eastAsia="仿宋_GB2312" w:cs="仿宋_GB2312"/>
          <w:i w:val="0"/>
          <w:iCs w:val="0"/>
          <w:caps w:val="0"/>
          <w:color w:val="333333"/>
          <w:spacing w:val="0"/>
          <w:sz w:val="34"/>
          <w:szCs w:val="34"/>
          <w:highlight w:val="none"/>
          <w:shd w:val="clear" w:fill="FFFFFF"/>
        </w:rPr>
        <w:t>%；女性人口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27.4</w:t>
      </w:r>
      <w:r>
        <w:rPr>
          <w:rFonts w:hint="eastAsia" w:ascii="仿宋_GB2312" w:hAnsi="仿宋_GB2312" w:eastAsia="仿宋_GB2312" w:cs="仿宋_GB2312"/>
          <w:i w:val="0"/>
          <w:iCs w:val="0"/>
          <w:caps w:val="0"/>
          <w:color w:val="333333"/>
          <w:spacing w:val="0"/>
          <w:sz w:val="34"/>
          <w:szCs w:val="34"/>
          <w:highlight w:val="none"/>
          <w:shd w:val="clear" w:fill="FFFFFF"/>
        </w:rPr>
        <w:t>万人，占</w:t>
      </w:r>
      <w:r>
        <w:rPr>
          <w:rFonts w:hint="eastAsia" w:ascii="仿宋_GB2312" w:hAnsi="仿宋_GB2312" w:eastAsia="仿宋_GB2312" w:cs="仿宋_GB2312"/>
          <w:i w:val="0"/>
          <w:iCs w:val="0"/>
          <w:caps w:val="0"/>
          <w:color w:val="333333"/>
          <w:spacing w:val="0"/>
          <w:sz w:val="34"/>
          <w:szCs w:val="34"/>
          <w:highlight w:val="none"/>
          <w:shd w:val="clear" w:fill="FFFFFF"/>
          <w:lang w:eastAsia="zh-CN"/>
        </w:rPr>
        <w:t>全县</w:t>
      </w:r>
      <w:r>
        <w:rPr>
          <w:rFonts w:hint="eastAsia" w:ascii="仿宋_GB2312" w:hAnsi="仿宋_GB2312" w:eastAsia="仿宋_GB2312" w:cs="仿宋_GB2312"/>
          <w:i w:val="0"/>
          <w:iCs w:val="0"/>
          <w:caps w:val="0"/>
          <w:color w:val="333333"/>
          <w:spacing w:val="0"/>
          <w:sz w:val="34"/>
          <w:szCs w:val="34"/>
          <w:highlight w:val="none"/>
          <w:shd w:val="clear" w:fill="FFFFFF"/>
        </w:rPr>
        <w:t>人口比重</w:t>
      </w:r>
      <w:r>
        <w:rPr>
          <w:rFonts w:hint="eastAsia" w:ascii="仿宋_GB2312" w:hAnsi="仿宋_GB2312" w:eastAsia="仿宋_GB2312" w:cs="仿宋_GB2312"/>
          <w:i w:val="0"/>
          <w:iCs w:val="0"/>
          <w:caps w:val="0"/>
          <w:color w:val="333333"/>
          <w:spacing w:val="0"/>
          <w:sz w:val="34"/>
          <w:szCs w:val="34"/>
          <w:highlight w:val="none"/>
          <w:shd w:val="clear" w:fill="FFFFFF"/>
          <w:lang w:val="en-US"/>
        </w:rPr>
        <w:t>48.8</w:t>
      </w:r>
      <w:r>
        <w:rPr>
          <w:rFonts w:hint="eastAsia" w:ascii="仿宋_GB2312" w:hAnsi="仿宋_GB2312" w:eastAsia="仿宋_GB2312" w:cs="仿宋_GB2312"/>
          <w:i w:val="0"/>
          <w:iCs w:val="0"/>
          <w:caps w:val="0"/>
          <w:color w:val="333333"/>
          <w:spacing w:val="0"/>
          <w:sz w:val="34"/>
          <w:szCs w:val="34"/>
          <w:highlight w:val="none"/>
          <w:shd w:val="clear" w:fill="FFFFFF"/>
        </w:rPr>
        <w:t>%。城镇人口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8.2</w:t>
      </w:r>
      <w:r>
        <w:rPr>
          <w:rFonts w:hint="eastAsia" w:ascii="仿宋_GB2312" w:hAnsi="仿宋_GB2312" w:eastAsia="仿宋_GB2312" w:cs="仿宋_GB2312"/>
          <w:i w:val="0"/>
          <w:iCs w:val="0"/>
          <w:caps w:val="0"/>
          <w:color w:val="333333"/>
          <w:spacing w:val="0"/>
          <w:sz w:val="34"/>
          <w:szCs w:val="34"/>
          <w:highlight w:val="none"/>
          <w:shd w:val="clear" w:fill="FFFFFF"/>
        </w:rPr>
        <w:t>万人，占</w:t>
      </w:r>
      <w:r>
        <w:rPr>
          <w:rFonts w:hint="eastAsia" w:ascii="仿宋_GB2312" w:hAnsi="仿宋_GB2312" w:eastAsia="仿宋_GB2312" w:cs="仿宋_GB2312"/>
          <w:i w:val="0"/>
          <w:iCs w:val="0"/>
          <w:caps w:val="0"/>
          <w:color w:val="333333"/>
          <w:spacing w:val="0"/>
          <w:sz w:val="34"/>
          <w:szCs w:val="34"/>
          <w:highlight w:val="none"/>
          <w:shd w:val="clear" w:fill="FFFFFF"/>
          <w:lang w:val="en-US"/>
        </w:rPr>
        <w:t>14.5</w:t>
      </w:r>
      <w:r>
        <w:rPr>
          <w:rFonts w:hint="eastAsia" w:ascii="仿宋_GB2312" w:hAnsi="仿宋_GB2312" w:eastAsia="仿宋_GB2312" w:cs="仿宋_GB2312"/>
          <w:i w:val="0"/>
          <w:iCs w:val="0"/>
          <w:caps w:val="0"/>
          <w:color w:val="333333"/>
          <w:spacing w:val="0"/>
          <w:sz w:val="34"/>
          <w:szCs w:val="34"/>
          <w:highlight w:val="none"/>
          <w:shd w:val="clear" w:fill="FFFFFF"/>
        </w:rPr>
        <w:t>%；</w:t>
      </w:r>
      <w:r>
        <w:rPr>
          <w:rFonts w:hint="eastAsia" w:ascii="仿宋_GB2312" w:hAnsi="仿宋_GB2312" w:eastAsia="仿宋_GB2312" w:cs="仿宋_GB2312"/>
          <w:i w:val="0"/>
          <w:iCs w:val="0"/>
          <w:caps w:val="0"/>
          <w:color w:val="333333"/>
          <w:spacing w:val="0"/>
          <w:sz w:val="34"/>
          <w:szCs w:val="34"/>
          <w:highlight w:val="none"/>
          <w:shd w:val="clear" w:fill="FFFFFF"/>
          <w:lang w:eastAsia="zh-CN"/>
        </w:rPr>
        <w:t>乡</w:t>
      </w:r>
      <w:r>
        <w:rPr>
          <w:rFonts w:hint="eastAsia" w:ascii="仿宋_GB2312" w:hAnsi="仿宋_GB2312" w:eastAsia="仿宋_GB2312" w:cs="仿宋_GB2312"/>
          <w:i w:val="0"/>
          <w:iCs w:val="0"/>
          <w:caps w:val="0"/>
          <w:color w:val="333333"/>
          <w:spacing w:val="0"/>
          <w:sz w:val="34"/>
          <w:szCs w:val="34"/>
          <w:highlight w:val="none"/>
          <w:shd w:val="clear" w:fill="FFFFFF"/>
        </w:rPr>
        <w:t>村人口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48</w:t>
      </w:r>
      <w:r>
        <w:rPr>
          <w:rFonts w:hint="eastAsia" w:ascii="仿宋_GB2312" w:hAnsi="仿宋_GB2312" w:eastAsia="仿宋_GB2312" w:cs="仿宋_GB2312"/>
          <w:i w:val="0"/>
          <w:iCs w:val="0"/>
          <w:caps w:val="0"/>
          <w:color w:val="333333"/>
          <w:spacing w:val="0"/>
          <w:sz w:val="34"/>
          <w:szCs w:val="34"/>
          <w:highlight w:val="none"/>
          <w:shd w:val="clear" w:fill="FFFFFF"/>
        </w:rPr>
        <w:t>万人，占</w:t>
      </w:r>
      <w:r>
        <w:rPr>
          <w:rFonts w:hint="eastAsia" w:ascii="仿宋_GB2312" w:hAnsi="仿宋_GB2312" w:eastAsia="仿宋_GB2312" w:cs="仿宋_GB2312"/>
          <w:i w:val="0"/>
          <w:iCs w:val="0"/>
          <w:caps w:val="0"/>
          <w:color w:val="333333"/>
          <w:spacing w:val="0"/>
          <w:sz w:val="34"/>
          <w:szCs w:val="34"/>
          <w:highlight w:val="none"/>
          <w:shd w:val="clear" w:fill="FFFFFF"/>
          <w:lang w:val="en-US"/>
        </w:rPr>
        <w:t>85.5</w:t>
      </w:r>
      <w:r>
        <w:rPr>
          <w:rFonts w:hint="eastAsia" w:ascii="仿宋_GB2312" w:hAnsi="仿宋_GB2312" w:eastAsia="仿宋_GB2312" w:cs="仿宋_GB2312"/>
          <w:i w:val="0"/>
          <w:iCs w:val="0"/>
          <w:caps w:val="0"/>
          <w:color w:val="333333"/>
          <w:spacing w:val="0"/>
          <w:sz w:val="34"/>
          <w:szCs w:val="34"/>
          <w:highlight w:val="none"/>
          <w:shd w:val="clear" w:fill="FFFFFF"/>
        </w:rPr>
        <w:t>%。全年出生人口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3085</w:t>
      </w:r>
      <w:r>
        <w:rPr>
          <w:rFonts w:hint="eastAsia" w:ascii="仿宋_GB2312" w:hAnsi="仿宋_GB2312" w:eastAsia="仿宋_GB2312" w:cs="仿宋_GB2312"/>
          <w:i w:val="0"/>
          <w:iCs w:val="0"/>
          <w:caps w:val="0"/>
          <w:color w:val="333333"/>
          <w:spacing w:val="0"/>
          <w:sz w:val="34"/>
          <w:szCs w:val="34"/>
          <w:highlight w:val="none"/>
          <w:shd w:val="clear" w:fill="FFFFFF"/>
        </w:rPr>
        <w:t>人，出生率</w:t>
      </w:r>
      <w:r>
        <w:rPr>
          <w:rFonts w:hint="eastAsia" w:ascii="仿宋_GB2312" w:hAnsi="仿宋_GB2312" w:eastAsia="仿宋_GB2312" w:cs="仿宋_GB2312"/>
          <w:i w:val="0"/>
          <w:iCs w:val="0"/>
          <w:caps w:val="0"/>
          <w:color w:val="333333"/>
          <w:spacing w:val="0"/>
          <w:sz w:val="34"/>
          <w:szCs w:val="34"/>
          <w:highlight w:val="none"/>
          <w:shd w:val="clear" w:fill="FFFFFF"/>
          <w:lang w:val="en-US"/>
        </w:rPr>
        <w:t>5.5</w:t>
      </w:r>
      <w:r>
        <w:rPr>
          <w:rFonts w:hint="eastAsia" w:ascii="仿宋_GB2312" w:hAnsi="仿宋_GB2312" w:eastAsia="仿宋_GB2312" w:cs="仿宋_GB2312"/>
          <w:i w:val="0"/>
          <w:iCs w:val="0"/>
          <w:caps w:val="0"/>
          <w:color w:val="333333"/>
          <w:spacing w:val="0"/>
          <w:sz w:val="34"/>
          <w:szCs w:val="34"/>
          <w:highlight w:val="none"/>
          <w:shd w:val="clear" w:fill="FFFFFF"/>
        </w:rPr>
        <w:t>‰；死亡人口</w:t>
      </w:r>
      <w:r>
        <w:rPr>
          <w:rFonts w:hint="eastAsia" w:ascii="仿宋_GB2312" w:hAnsi="仿宋_GB2312" w:eastAsia="仿宋_GB2312" w:cs="仿宋_GB2312"/>
          <w:i w:val="0"/>
          <w:iCs w:val="0"/>
          <w:caps w:val="0"/>
          <w:color w:val="333333"/>
          <w:spacing w:val="0"/>
          <w:sz w:val="34"/>
          <w:szCs w:val="34"/>
          <w:highlight w:val="none"/>
          <w:shd w:val="clear" w:fill="FFFFFF"/>
          <w:lang w:val="en-US"/>
        </w:rPr>
        <w:t>5029</w:t>
      </w:r>
      <w:r>
        <w:rPr>
          <w:rFonts w:hint="eastAsia" w:ascii="仿宋_GB2312" w:hAnsi="仿宋_GB2312" w:eastAsia="仿宋_GB2312" w:cs="仿宋_GB2312"/>
          <w:i w:val="0"/>
          <w:iCs w:val="0"/>
          <w:caps w:val="0"/>
          <w:color w:val="333333"/>
          <w:spacing w:val="0"/>
          <w:sz w:val="34"/>
          <w:szCs w:val="34"/>
          <w:highlight w:val="none"/>
          <w:shd w:val="clear" w:fill="FFFFFF"/>
        </w:rPr>
        <w:t>人，死亡率</w:t>
      </w:r>
      <w:r>
        <w:rPr>
          <w:rFonts w:hint="eastAsia" w:ascii="仿宋_GB2312" w:hAnsi="仿宋_GB2312" w:eastAsia="仿宋_GB2312" w:cs="仿宋_GB2312"/>
          <w:i w:val="0"/>
          <w:iCs w:val="0"/>
          <w:caps w:val="0"/>
          <w:color w:val="333333"/>
          <w:spacing w:val="0"/>
          <w:sz w:val="34"/>
          <w:szCs w:val="34"/>
          <w:highlight w:val="none"/>
          <w:shd w:val="clear" w:fill="FFFFFF"/>
          <w:lang w:val="en-US"/>
        </w:rPr>
        <w:t>8.9</w:t>
      </w:r>
      <w:r>
        <w:rPr>
          <w:rFonts w:hint="eastAsia" w:ascii="仿宋_GB2312" w:hAnsi="仿宋_GB2312" w:eastAsia="仿宋_GB2312" w:cs="仿宋_GB2312"/>
          <w:i w:val="0"/>
          <w:iCs w:val="0"/>
          <w:caps w:val="0"/>
          <w:color w:val="333333"/>
          <w:spacing w:val="0"/>
          <w:sz w:val="34"/>
          <w:szCs w:val="34"/>
          <w:highlight w:val="none"/>
          <w:shd w:val="clear" w:fill="FFFFFF"/>
        </w:rPr>
        <w:t>‰；自然增长率</w:t>
      </w:r>
      <w:r>
        <w:rPr>
          <w:rFonts w:hint="eastAsia" w:ascii="仿宋_GB2312" w:hAnsi="仿宋_GB2312" w:eastAsia="仿宋_GB2312" w:cs="仿宋_GB2312"/>
          <w:i w:val="0"/>
          <w:iCs w:val="0"/>
          <w:caps w:val="0"/>
          <w:color w:val="333333"/>
          <w:spacing w:val="0"/>
          <w:sz w:val="34"/>
          <w:szCs w:val="34"/>
          <w:highlight w:val="none"/>
          <w:shd w:val="clear" w:fill="FFFFFF"/>
          <w:lang w:val="en-US"/>
        </w:rPr>
        <w:t>-3.4</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tbl>
      <w:tblPr>
        <w:tblStyle w:val="5"/>
        <w:tblW w:w="90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58"/>
        <w:gridCol w:w="2092"/>
        <w:gridCol w:w="2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jc w:val="center"/>
        </w:trPr>
        <w:tc>
          <w:tcPr>
            <w:tcW w:w="9004" w:type="dxa"/>
            <w:gridSpan w:val="3"/>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3" w:firstLineChars="200"/>
              <w:jc w:val="center"/>
              <w:textAlignment w:val="center"/>
              <w:rPr>
                <w:rFonts w:hint="eastAsia" w:ascii="仿宋_GB2312" w:hAnsi="仿宋_GB2312" w:eastAsia="仿宋_GB2312" w:cs="仿宋_GB2312"/>
                <w:b/>
                <w:bCs/>
                <w:i w:val="0"/>
                <w:iCs w:val="0"/>
                <w:color w:val="000000"/>
                <w:sz w:val="34"/>
                <w:szCs w:val="34"/>
                <w:u w:val="none"/>
              </w:rPr>
            </w:pPr>
            <w:r>
              <w:rPr>
                <w:rFonts w:hint="eastAsia" w:ascii="仿宋_GB2312" w:hAnsi="仿宋_GB2312" w:eastAsia="仿宋_GB2312" w:cs="仿宋_GB2312"/>
                <w:b/>
                <w:bCs/>
                <w:i w:val="0"/>
                <w:iCs w:val="0"/>
                <w:color w:val="000000"/>
                <w:kern w:val="0"/>
                <w:sz w:val="34"/>
                <w:szCs w:val="34"/>
                <w:u w:val="none"/>
                <w:lang w:val="en-US" w:eastAsia="zh-CN" w:bidi="ar"/>
              </w:rPr>
              <w:t>表2 2021年年末人口数及其构成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9" w:hRule="atLeast"/>
          <w:jc w:val="center"/>
        </w:trPr>
        <w:tc>
          <w:tcPr>
            <w:tcW w:w="4758" w:type="dxa"/>
            <w:tcBorders>
              <w:top w:val="single" w:color="000000" w:sz="12"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center"/>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指   标</w:t>
            </w:r>
          </w:p>
        </w:tc>
        <w:tc>
          <w:tcPr>
            <w:tcW w:w="2092" w:type="dxa"/>
            <w:tcBorders>
              <w:top w:val="single" w:color="000000" w:sz="12"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both"/>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年末数（人）</w:t>
            </w:r>
          </w:p>
        </w:tc>
        <w:tc>
          <w:tcPr>
            <w:tcW w:w="2154" w:type="dxa"/>
            <w:tcBorders>
              <w:top w:val="single" w:color="000000" w:sz="12" w:space="0"/>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single" w:color="000000" w:sz="4" w:space="0"/>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全县总人口</w:t>
            </w:r>
          </w:p>
        </w:tc>
        <w:tc>
          <w:tcPr>
            <w:tcW w:w="2092"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561940</w:t>
            </w:r>
          </w:p>
        </w:tc>
        <w:tc>
          <w:tcPr>
            <w:tcW w:w="2154" w:type="dxa"/>
            <w:tcBorders>
              <w:top w:val="single" w:color="000000" w:sz="4" w:space="0"/>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其中：城镇</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81734</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乡村</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480206</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85.5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其中：男性</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287828</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51.2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女性</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274112</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48.8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其中：0-17岁</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86654</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18-59岁</w:t>
            </w:r>
          </w:p>
        </w:tc>
        <w:tc>
          <w:tcPr>
            <w:tcW w:w="2092" w:type="dxa"/>
            <w:tcBorders>
              <w:top w:val="nil"/>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351260</w:t>
            </w:r>
          </w:p>
        </w:tc>
        <w:tc>
          <w:tcPr>
            <w:tcW w:w="2154" w:type="dxa"/>
            <w:tcBorders>
              <w:top w:val="nil"/>
              <w:left w:val="single" w:color="000000" w:sz="4" w:space="0"/>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4758" w:type="dxa"/>
            <w:tcBorders>
              <w:top w:val="nil"/>
              <w:left w:val="nil"/>
              <w:bottom w:val="single" w:color="000000" w:sz="12"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lef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           60岁及以上</w:t>
            </w:r>
          </w:p>
        </w:tc>
        <w:tc>
          <w:tcPr>
            <w:tcW w:w="2092" w:type="dxa"/>
            <w:tcBorders>
              <w:top w:val="nil"/>
              <w:left w:val="single" w:color="000000" w:sz="4" w:space="0"/>
              <w:bottom w:val="single" w:color="000000" w:sz="12"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124026</w:t>
            </w:r>
          </w:p>
        </w:tc>
        <w:tc>
          <w:tcPr>
            <w:tcW w:w="2154" w:type="dxa"/>
            <w:tcBorders>
              <w:top w:val="nil"/>
              <w:left w:val="single" w:color="000000" w:sz="4" w:space="0"/>
              <w:bottom w:val="single" w:color="000000" w:sz="12"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680" w:firstLineChars="200"/>
              <w:jc w:val="right"/>
              <w:textAlignment w:val="center"/>
              <w:rPr>
                <w:rFonts w:hint="eastAsia" w:ascii="仿宋_GB2312" w:hAnsi="仿宋_GB2312" w:eastAsia="仿宋_GB2312" w:cs="仿宋_GB2312"/>
                <w:i w:val="0"/>
                <w:iCs w:val="0"/>
                <w:color w:val="000000"/>
                <w:sz w:val="34"/>
                <w:szCs w:val="34"/>
                <w:u w:val="none"/>
              </w:rPr>
            </w:pPr>
            <w:r>
              <w:rPr>
                <w:rFonts w:hint="eastAsia" w:ascii="仿宋_GB2312" w:hAnsi="仿宋_GB2312" w:eastAsia="仿宋_GB2312" w:cs="仿宋_GB2312"/>
                <w:i w:val="0"/>
                <w:iCs w:val="0"/>
                <w:color w:val="000000"/>
                <w:kern w:val="0"/>
                <w:sz w:val="34"/>
                <w:szCs w:val="34"/>
                <w:u w:val="none"/>
                <w:lang w:val="en-US" w:eastAsia="zh-CN" w:bidi="ar"/>
              </w:rPr>
              <w:t xml:space="preserve">22.1 </w:t>
            </w:r>
          </w:p>
        </w:tc>
      </w:tr>
    </w:tbl>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全年城镇累计新就业人员</w:t>
      </w:r>
      <w:r>
        <w:rPr>
          <w:rFonts w:hint="eastAsia" w:ascii="仿宋_GB2312" w:hAnsi="仿宋_GB2312" w:eastAsia="仿宋_GB2312" w:cs="仿宋_GB2312"/>
          <w:i w:val="0"/>
          <w:iCs w:val="0"/>
          <w:caps w:val="0"/>
          <w:color w:val="333333"/>
          <w:spacing w:val="0"/>
          <w:sz w:val="34"/>
          <w:szCs w:val="34"/>
          <w:highlight w:val="none"/>
          <w:shd w:val="clear" w:fill="FFFFFF"/>
          <w:lang w:val="en-US"/>
        </w:rPr>
        <w:t>2252</w:t>
      </w:r>
      <w:r>
        <w:rPr>
          <w:rFonts w:hint="eastAsia" w:ascii="仿宋_GB2312" w:hAnsi="仿宋_GB2312" w:eastAsia="仿宋_GB2312" w:cs="仿宋_GB2312"/>
          <w:i w:val="0"/>
          <w:iCs w:val="0"/>
          <w:caps w:val="0"/>
          <w:color w:val="333333"/>
          <w:spacing w:val="0"/>
          <w:sz w:val="34"/>
          <w:szCs w:val="34"/>
          <w:highlight w:val="none"/>
          <w:shd w:val="clear" w:fill="FFFFFF"/>
        </w:rPr>
        <w:t>人，年末城镇登记失业率</w:t>
      </w:r>
      <w:r>
        <w:rPr>
          <w:rFonts w:hint="eastAsia" w:ascii="仿宋_GB2312" w:hAnsi="仿宋_GB2312" w:eastAsia="仿宋_GB2312" w:cs="仿宋_GB2312"/>
          <w:i w:val="0"/>
          <w:iCs w:val="0"/>
          <w:caps w:val="0"/>
          <w:color w:val="333333"/>
          <w:spacing w:val="0"/>
          <w:sz w:val="34"/>
          <w:szCs w:val="34"/>
          <w:highlight w:val="none"/>
          <w:shd w:val="clear" w:fill="FFFFFF"/>
          <w:lang w:val="en-US"/>
        </w:rPr>
        <w:t>1.66</w:t>
      </w:r>
      <w:r>
        <w:rPr>
          <w:rFonts w:hint="eastAsia" w:ascii="仿宋_GB2312" w:hAnsi="仿宋_GB2312" w:eastAsia="仿宋_GB2312" w:cs="仿宋_GB2312"/>
          <w:i w:val="0"/>
          <w:iCs w:val="0"/>
          <w:caps w:val="0"/>
          <w:color w:val="333333"/>
          <w:spacing w:val="0"/>
          <w:sz w:val="34"/>
          <w:szCs w:val="34"/>
          <w:highlight w:val="none"/>
          <w:shd w:val="clear" w:fill="FFFFFF"/>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rPr>
      </w:pPr>
      <w:r>
        <w:rPr>
          <w:rFonts w:hint="eastAsia" w:ascii="仿宋_GB2312" w:hAnsi="仿宋_GB2312" w:eastAsia="仿宋_GB2312" w:cs="仿宋_GB2312"/>
          <w:i w:val="0"/>
          <w:iCs w:val="0"/>
          <w:caps w:val="0"/>
          <w:color w:val="333333"/>
          <w:spacing w:val="0"/>
          <w:sz w:val="34"/>
          <w:szCs w:val="34"/>
          <w:highlight w:val="none"/>
          <w:shd w:val="clear" w:fill="FFFFFF"/>
        </w:rPr>
        <w:t>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1.本公报中202</w:t>
      </w:r>
      <w:r>
        <w:rPr>
          <w:rFonts w:hint="eastAsia" w:ascii="仿宋_GB2312" w:hAnsi="仿宋_GB2312" w:eastAsia="仿宋_GB2312" w:cs="仿宋_GB2312"/>
          <w:i w:val="0"/>
          <w:iCs w:val="0"/>
          <w:caps w:val="0"/>
          <w:color w:val="333333"/>
          <w:spacing w:val="0"/>
          <w:sz w:val="32"/>
          <w:szCs w:val="32"/>
          <w:highlight w:val="none"/>
          <w:shd w:val="clear" w:fill="FFFFFF"/>
          <w:lang w:val="en-US"/>
        </w:rPr>
        <w:t>1</w:t>
      </w:r>
      <w:r>
        <w:rPr>
          <w:rFonts w:hint="eastAsia" w:ascii="仿宋_GB2312" w:hAnsi="仿宋_GB2312" w:eastAsia="仿宋_GB2312" w:cs="仿宋_GB2312"/>
          <w:i w:val="0"/>
          <w:iCs w:val="0"/>
          <w:caps w:val="0"/>
          <w:color w:val="333333"/>
          <w:spacing w:val="0"/>
          <w:sz w:val="32"/>
          <w:szCs w:val="32"/>
          <w:highlight w:val="none"/>
          <w:shd w:val="clear" w:fill="FFFFFF"/>
        </w:rPr>
        <w:t>年数据均为初步统计数，部分指标数据在年报时可能还有调整。部分数据因四舍五入的原因，存在着与分项合计不等的情况。</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2.公报中生产总值（GDP）、各产业增加值及各行业增加值绝对数按现价计算，增长速度按可比价格计算。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3.三次产业划分执行新标准，将“农、林、牧、渔业”中的“农、林、牧、渔服务业”、“采矿业”中的“开采辅助活动”以及“制造业”中的“金属制品、机械和设备修理业”三个大类一并调入第三产业。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4.规模以上工业统计范围为年主营业务收入2000万元及以上的工业法人企业</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5.固定资产投资（不含农户）：统计范围为各种登记注册类型的法人单位以及个体经营进行的计划总投资500万元及以上的投资项目，不包括农户投资、军工和国防项目。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6.2019年社会消费品零售总额已根据第四次全国经济普查结果进行了修订，202</w:t>
      </w:r>
      <w:r>
        <w:rPr>
          <w:rFonts w:hint="eastAsia" w:ascii="仿宋_GB2312" w:hAnsi="仿宋_GB2312" w:eastAsia="仿宋_GB2312" w:cs="仿宋_GB2312"/>
          <w:i w:val="0"/>
          <w:iCs w:val="0"/>
          <w:caps w:val="0"/>
          <w:color w:val="333333"/>
          <w:spacing w:val="0"/>
          <w:sz w:val="32"/>
          <w:szCs w:val="32"/>
          <w:highlight w:val="none"/>
          <w:shd w:val="clear" w:fill="FFFFFF"/>
          <w:lang w:val="en-US"/>
        </w:rPr>
        <w:t>1</w:t>
      </w:r>
      <w:r>
        <w:rPr>
          <w:rFonts w:hint="eastAsia" w:ascii="仿宋_GB2312" w:hAnsi="仿宋_GB2312" w:eastAsia="仿宋_GB2312" w:cs="仿宋_GB2312"/>
          <w:i w:val="0"/>
          <w:iCs w:val="0"/>
          <w:caps w:val="0"/>
          <w:color w:val="333333"/>
          <w:spacing w:val="0"/>
          <w:sz w:val="32"/>
          <w:szCs w:val="32"/>
          <w:highlight w:val="none"/>
          <w:shd w:val="clear" w:fill="FFFFFF"/>
        </w:rPr>
        <w:t>年数据以修订后数据为计算依据。</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7.社会消费品零售总额统计中限额以上单位：指年主营业务收入2000万元及以上的批发业企业（单位）、500万元及以上的零售业企业（单位）、200万元及以上的住宿和餐饮业企业（单位）。</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8.民用汽车保有量：指报告期末，按照《机动车注册登记工作规范》，在公安交通管理部门已注册登记领有民用车辆牌照的全部汽车数量。汽车保有量统计的主要分类：根据汽车结构分为载客汽车、载货汽车、专项作业车；根据汽车所有者分为个人(私人)汽车、单位汽车；根据汽车的使用性质分为营运汽车、非营运汽车；根据汽车大小规格，载客汽车分为大型、中型、小型和微型，载货汽车分为重型、中型、轻型、微型、三轮汽车和低速汽车。</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val="en-US"/>
        </w:rPr>
        <w:t>9</w:t>
      </w:r>
      <w:r>
        <w:rPr>
          <w:rFonts w:hint="eastAsia" w:ascii="仿宋_GB2312" w:hAnsi="仿宋_GB2312" w:eastAsia="仿宋_GB2312" w:cs="仿宋_GB2312"/>
          <w:i w:val="0"/>
          <w:iCs w:val="0"/>
          <w:caps w:val="0"/>
          <w:color w:val="333333"/>
          <w:spacing w:val="0"/>
          <w:sz w:val="32"/>
          <w:szCs w:val="32"/>
          <w:highlight w:val="none"/>
          <w:shd w:val="clear" w:fill="FFFFFF"/>
        </w:rPr>
        <w:t>.总诊疗人次：指所有诊疗工作的总人次数，包括门诊、急诊、出诊、预约诊疗、单项健康检查、健康咨询指导（不含健康讲座）人次。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lang w:val="en-US"/>
        </w:rPr>
        <w:t>10</w:t>
      </w:r>
      <w:r>
        <w:rPr>
          <w:rFonts w:hint="eastAsia" w:ascii="仿宋_GB2312" w:hAnsi="仿宋_GB2312" w:eastAsia="仿宋_GB2312" w:cs="仿宋_GB2312"/>
          <w:i w:val="0"/>
          <w:iCs w:val="0"/>
          <w:caps w:val="0"/>
          <w:color w:val="333333"/>
          <w:spacing w:val="0"/>
          <w:sz w:val="32"/>
          <w:szCs w:val="32"/>
          <w:highlight w:val="none"/>
          <w:shd w:val="clear" w:fill="FFFFFF"/>
        </w:rPr>
        <w:t>.出院人数：指报告期内所有住院后出院的人数，包括医嘱离院、医嘱转其他医疗机构、非医嘱离院、死亡及其他人数，不含家庭病床撤床人数。</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1</w:t>
      </w:r>
      <w:r>
        <w:rPr>
          <w:rFonts w:hint="eastAsia" w:ascii="仿宋_GB2312" w:hAnsi="仿宋_GB2312" w:eastAsia="仿宋_GB2312" w:cs="仿宋_GB2312"/>
          <w:i w:val="0"/>
          <w:iCs w:val="0"/>
          <w:caps w:val="0"/>
          <w:color w:val="333333"/>
          <w:spacing w:val="0"/>
          <w:sz w:val="32"/>
          <w:szCs w:val="32"/>
          <w:highlight w:val="none"/>
          <w:shd w:val="clear" w:fill="FFFFFF"/>
          <w:lang w:val="en-US"/>
        </w:rPr>
        <w:t>1</w:t>
      </w:r>
      <w:r>
        <w:rPr>
          <w:rFonts w:hint="eastAsia" w:ascii="仿宋_GB2312" w:hAnsi="仿宋_GB2312" w:eastAsia="仿宋_GB2312" w:cs="仿宋_GB2312"/>
          <w:i w:val="0"/>
          <w:iCs w:val="0"/>
          <w:caps w:val="0"/>
          <w:color w:val="333333"/>
          <w:spacing w:val="0"/>
          <w:sz w:val="32"/>
          <w:szCs w:val="32"/>
          <w:highlight w:val="none"/>
          <w:shd w:val="clear" w:fill="FFFFFF"/>
        </w:rPr>
        <w:t>.参加城镇职工基本医疗保险人数：包括参保职工和参保退休人员。</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1</w:t>
      </w:r>
      <w:r>
        <w:rPr>
          <w:rFonts w:hint="eastAsia" w:ascii="仿宋_GB2312" w:hAnsi="仿宋_GB2312" w:eastAsia="仿宋_GB2312" w:cs="仿宋_GB2312"/>
          <w:i w:val="0"/>
          <w:iCs w:val="0"/>
          <w:caps w:val="0"/>
          <w:color w:val="333333"/>
          <w:spacing w:val="0"/>
          <w:sz w:val="32"/>
          <w:szCs w:val="32"/>
          <w:highlight w:val="none"/>
          <w:shd w:val="clear" w:fill="FFFFFF"/>
          <w:lang w:val="en-US"/>
        </w:rPr>
        <w:t>2</w:t>
      </w:r>
      <w:r>
        <w:rPr>
          <w:rFonts w:hint="eastAsia" w:ascii="仿宋_GB2312" w:hAnsi="仿宋_GB2312" w:eastAsia="仿宋_GB2312" w:cs="仿宋_GB2312"/>
          <w:i w:val="0"/>
          <w:iCs w:val="0"/>
          <w:caps w:val="0"/>
          <w:color w:val="333333"/>
          <w:spacing w:val="0"/>
          <w:sz w:val="32"/>
          <w:szCs w:val="32"/>
          <w:highlight w:val="none"/>
          <w:shd w:val="clear" w:fill="FFFFFF"/>
        </w:rPr>
        <w:t>.参加城乡居民基本医疗保险人数：由于政策调整，自2019年起新型农村合作医疗保险全部并入城乡居民基本医疗保险。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1</w:t>
      </w:r>
      <w:r>
        <w:rPr>
          <w:rFonts w:hint="eastAsia" w:ascii="仿宋_GB2312" w:hAnsi="仿宋_GB2312" w:eastAsia="仿宋_GB2312" w:cs="仿宋_GB2312"/>
          <w:i w:val="0"/>
          <w:iCs w:val="0"/>
          <w:caps w:val="0"/>
          <w:color w:val="333333"/>
          <w:spacing w:val="0"/>
          <w:sz w:val="32"/>
          <w:szCs w:val="32"/>
          <w:highlight w:val="none"/>
          <w:shd w:val="clear" w:fill="FFFFFF"/>
          <w:lang w:val="en-US"/>
        </w:rPr>
        <w:t>4</w:t>
      </w:r>
      <w:r>
        <w:rPr>
          <w:rFonts w:hint="eastAsia" w:ascii="仿宋_GB2312" w:hAnsi="仿宋_GB2312" w:eastAsia="仿宋_GB2312" w:cs="仿宋_GB2312"/>
          <w:i w:val="0"/>
          <w:iCs w:val="0"/>
          <w:caps w:val="0"/>
          <w:color w:val="333333"/>
          <w:spacing w:val="0"/>
          <w:sz w:val="32"/>
          <w:szCs w:val="32"/>
          <w:highlight w:val="none"/>
          <w:shd w:val="clear" w:fill="FFFFFF"/>
        </w:rPr>
        <w:t>.可吸入颗粒物：指悬浮在空气中，空气动力学当量直径≤10微米的颗粒物。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highlight w:val="none"/>
          <w:shd w:val="clear" w:fill="FFFFFF"/>
        </w:rPr>
      </w:pPr>
      <w:r>
        <w:rPr>
          <w:rFonts w:hint="eastAsia" w:ascii="仿宋_GB2312" w:hAnsi="仿宋_GB2312" w:eastAsia="仿宋_GB2312" w:cs="仿宋_GB2312"/>
          <w:i w:val="0"/>
          <w:iCs w:val="0"/>
          <w:caps w:val="0"/>
          <w:color w:val="333333"/>
          <w:spacing w:val="0"/>
          <w:sz w:val="32"/>
          <w:szCs w:val="32"/>
          <w:highlight w:val="none"/>
          <w:shd w:val="clear" w:fill="FFFFFF"/>
        </w:rPr>
        <w:t>1</w:t>
      </w:r>
      <w:r>
        <w:rPr>
          <w:rFonts w:hint="eastAsia" w:ascii="仿宋_GB2312" w:hAnsi="仿宋_GB2312" w:eastAsia="仿宋_GB2312" w:cs="仿宋_GB2312"/>
          <w:i w:val="0"/>
          <w:iCs w:val="0"/>
          <w:caps w:val="0"/>
          <w:color w:val="333333"/>
          <w:spacing w:val="0"/>
          <w:sz w:val="32"/>
          <w:szCs w:val="32"/>
          <w:highlight w:val="none"/>
          <w:shd w:val="clear" w:fill="FFFFFF"/>
          <w:lang w:val="en-US"/>
        </w:rPr>
        <w:t>5</w:t>
      </w:r>
      <w:r>
        <w:rPr>
          <w:rFonts w:hint="eastAsia" w:ascii="仿宋_GB2312" w:hAnsi="仿宋_GB2312" w:eastAsia="仿宋_GB2312" w:cs="仿宋_GB2312"/>
          <w:i w:val="0"/>
          <w:iCs w:val="0"/>
          <w:caps w:val="0"/>
          <w:color w:val="333333"/>
          <w:spacing w:val="0"/>
          <w:sz w:val="32"/>
          <w:szCs w:val="32"/>
          <w:highlight w:val="none"/>
          <w:shd w:val="clear" w:fill="FFFFFF"/>
        </w:rPr>
        <w:t>.资料来源：本公报中粮食产量、播种面积、</w:t>
      </w:r>
      <w:r>
        <w:rPr>
          <w:rFonts w:hint="eastAsia" w:ascii="仿宋_GB2312" w:hAnsi="仿宋_GB2312" w:eastAsia="仿宋_GB2312" w:cs="仿宋_GB2312"/>
          <w:i w:val="0"/>
          <w:iCs w:val="0"/>
          <w:caps w:val="0"/>
          <w:color w:val="333333"/>
          <w:spacing w:val="0"/>
          <w:sz w:val="32"/>
          <w:szCs w:val="32"/>
          <w:highlight w:val="none"/>
          <w:shd w:val="clear" w:fill="FFFFFF"/>
          <w:lang w:eastAsia="zh-CN"/>
        </w:rPr>
        <w:t>畜牧业数据、</w:t>
      </w:r>
      <w:r>
        <w:rPr>
          <w:rFonts w:hint="eastAsia" w:ascii="仿宋_GB2312" w:hAnsi="仿宋_GB2312" w:eastAsia="仿宋_GB2312" w:cs="仿宋_GB2312"/>
          <w:i w:val="0"/>
          <w:iCs w:val="0"/>
          <w:caps w:val="0"/>
          <w:color w:val="333333"/>
          <w:spacing w:val="0"/>
          <w:sz w:val="32"/>
          <w:szCs w:val="32"/>
          <w:highlight w:val="none"/>
          <w:shd w:val="clear" w:fill="FFFFFF"/>
        </w:rPr>
        <w:t>农村常住居民人均可支配收入和物价数据数据来自国家统计局建平调查队；林业数据来自县林草局、农业机械总动力数据来自县农业农村局；对外经济等数据来自县工信局；交通运输等数据来自县交通局、县公路管理段、县交警队；邮政业务数据来自县邮政局；财政数据来自县财政局；金融数据来自中国人民银行建平分行；科学技术数据来自县科技局；教育数据来自县教育局；文化体育数据来自县文化旅游和广播电视局；卫生数据来自县卫生健康局；城乡最低生活保障和社会福利等数据来自县民政局；社会保险、劳动就业等数据来自县人力资源和社会保障局；城市公用事业等数据来自县住房和城乡建设局；环境保护等数据来自县环境保护局；人口数据来自县公安局；其他数据均来自县统计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center"/>
        <w:rPr>
          <w:rFonts w:hint="eastAsia" w:ascii="仿宋_GB2312" w:hAnsi="仿宋_GB2312" w:eastAsia="仿宋_GB2312" w:cs="仿宋_GB2312"/>
          <w:i w:val="0"/>
          <w:iCs w:val="0"/>
          <w:caps w:val="0"/>
          <w:color w:val="333333"/>
          <w:spacing w:val="0"/>
          <w:sz w:val="34"/>
          <w:szCs w:val="34"/>
          <w:highlight w:val="none"/>
          <w:shd w:val="clear" w:fill="FFFFFF"/>
        </w:rPr>
      </w:pPr>
      <w:r>
        <w:rPr>
          <w:rFonts w:hint="eastAsia" w:ascii="仿宋_GB2312" w:hAnsi="仿宋_GB2312" w:eastAsia="仿宋_GB2312" w:cs="仿宋_GB2312"/>
          <w:i w:val="0"/>
          <w:iCs w:val="0"/>
          <w:caps w:val="0"/>
          <w:color w:val="333333"/>
          <w:spacing w:val="0"/>
          <w:sz w:val="34"/>
          <w:szCs w:val="34"/>
          <w:highlight w:val="none"/>
          <w:shd w:val="clear" w:fill="FFFFFF"/>
          <w:lang w:val="en-US" w:eastAsia="zh-CN"/>
        </w:rPr>
        <w:t xml:space="preserve">                 </w:t>
      </w:r>
      <w:r>
        <w:rPr>
          <w:rFonts w:hint="eastAsia" w:ascii="仿宋_GB2312" w:hAnsi="仿宋_GB2312" w:eastAsia="仿宋_GB2312" w:cs="仿宋_GB2312"/>
          <w:i w:val="0"/>
          <w:iCs w:val="0"/>
          <w:caps w:val="0"/>
          <w:color w:val="333333"/>
          <w:spacing w:val="0"/>
          <w:sz w:val="34"/>
          <w:szCs w:val="34"/>
          <w:highlight w:val="none"/>
          <w:shd w:val="clear" w:fill="FFFFFF"/>
        </w:rPr>
        <w:t>建平县统计局</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80" w:firstLineChars="200"/>
        <w:jc w:val="left"/>
        <w:rPr>
          <w:rFonts w:hint="eastAsia" w:ascii="仿宋_GB2312" w:hAnsi="仿宋_GB2312" w:eastAsia="仿宋_GB2312" w:cs="仿宋_GB2312"/>
          <w:i w:val="0"/>
          <w:iCs w:val="0"/>
          <w:caps w:val="0"/>
          <w:color w:val="333333"/>
          <w:spacing w:val="0"/>
          <w:sz w:val="34"/>
          <w:szCs w:val="34"/>
          <w:highlight w:val="none"/>
          <w:shd w:val="clear" w:fill="FFFFFF"/>
        </w:rPr>
      </w:pPr>
    </w:p>
    <w:sectPr>
      <w:pgSz w:w="11906" w:h="16838"/>
      <w:pgMar w:top="1757" w:right="1417" w:bottom="175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C90CE3"/>
    <w:multiLevelType w:val="singleLevel"/>
    <w:tmpl w:val="11C90CE3"/>
    <w:lvl w:ilvl="0" w:tentative="0">
      <w:start w:val="1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1" w:cryptProviderType="rsaFull" w:cryptAlgorithmClass="hash" w:cryptAlgorithmType="typeAny" w:cryptAlgorithmSid="4" w:cryptSpinCount="0" w:hash="goB5ZsXfntf6T74p20j/qTts7Qk=" w:salt="q9hOSj+MLqh0Ov/T7FEsb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04473"/>
    <w:rsid w:val="012A3AE8"/>
    <w:rsid w:val="01BE23BA"/>
    <w:rsid w:val="05E37523"/>
    <w:rsid w:val="07CF792A"/>
    <w:rsid w:val="0ABD5431"/>
    <w:rsid w:val="0C44598C"/>
    <w:rsid w:val="0CD73403"/>
    <w:rsid w:val="0FC2695B"/>
    <w:rsid w:val="101A7770"/>
    <w:rsid w:val="11BC05A9"/>
    <w:rsid w:val="13D0545B"/>
    <w:rsid w:val="147C2786"/>
    <w:rsid w:val="164C5327"/>
    <w:rsid w:val="185E1CDD"/>
    <w:rsid w:val="29536468"/>
    <w:rsid w:val="303D6C1D"/>
    <w:rsid w:val="3A2503DA"/>
    <w:rsid w:val="3BD81908"/>
    <w:rsid w:val="40B24E59"/>
    <w:rsid w:val="4D043C66"/>
    <w:rsid w:val="4D084FC2"/>
    <w:rsid w:val="4FF35903"/>
    <w:rsid w:val="505A1B2C"/>
    <w:rsid w:val="55A97784"/>
    <w:rsid w:val="5AB65211"/>
    <w:rsid w:val="5DDB4C02"/>
    <w:rsid w:val="5E224C60"/>
    <w:rsid w:val="5EC458B3"/>
    <w:rsid w:val="618526A8"/>
    <w:rsid w:val="65F84D3B"/>
    <w:rsid w:val="677E7E96"/>
    <w:rsid w:val="68337D3A"/>
    <w:rsid w:val="6B904473"/>
    <w:rsid w:val="6CF91D43"/>
    <w:rsid w:val="6D3747C6"/>
    <w:rsid w:val="6F103A70"/>
    <w:rsid w:val="73E5796C"/>
    <w:rsid w:val="740C6639"/>
    <w:rsid w:val="79B36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customStyle="1" w:styleId="9">
    <w:name w:val="font31"/>
    <w:basedOn w:val="6"/>
    <w:qFormat/>
    <w:uiPriority w:val="0"/>
    <w:rPr>
      <w:rFonts w:hint="default" w:ascii="Times New Roman" w:hAnsi="Times New Roman" w:cs="Times New Roman"/>
      <w:color w:val="000000"/>
      <w:sz w:val="24"/>
      <w:szCs w:val="24"/>
      <w:u w:val="none"/>
    </w:rPr>
  </w:style>
  <w:style w:type="character" w:customStyle="1" w:styleId="10">
    <w:name w:val="font2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844;&#25253;&#22270;&#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844;&#25253;&#22270;&#34920;.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0844;&#25253;&#22270;&#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0844;&#25253;&#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400" b="1" i="0" u="none" strike="noStrike" baseline="0">
                <a:solidFill>
                  <a:srgbClr val="000000"/>
                </a:solidFill>
                <a:latin typeface="宋体" panose="02010600030101010101" charset="-122"/>
                <a:ea typeface="宋体" panose="02010600030101010101" charset="-122"/>
                <a:cs typeface="宋体" panose="02010600030101010101" charset="-122"/>
              </a:rPr>
              <a:t> 2016-202</a:t>
            </a:r>
            <a:r>
              <a:rPr lang="en-US" altLang="zh-CN" sz="1400" b="1" i="0" u="none" strike="noStrike" baseline="0">
                <a:solidFill>
                  <a:srgbClr val="000000"/>
                </a:solidFill>
                <a:latin typeface="宋体" panose="02010600030101010101" charset="-122"/>
                <a:ea typeface="宋体" panose="02010600030101010101" charset="-122"/>
                <a:cs typeface="宋体" panose="02010600030101010101" charset="-122"/>
              </a:rPr>
              <a:t>1</a:t>
            </a:r>
            <a:r>
              <a:rPr sz="1400" b="1" i="0" u="none" strike="noStrike" baseline="0">
                <a:solidFill>
                  <a:srgbClr val="000000"/>
                </a:solidFill>
                <a:latin typeface="宋体" panose="02010600030101010101" charset="-122"/>
                <a:ea typeface="宋体" panose="02010600030101010101" charset="-122"/>
                <a:cs typeface="宋体" panose="02010600030101010101" charset="-122"/>
              </a:rPr>
              <a:t>年粮食总产量</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18773112194595"/>
          <c:y val="0.0612770412245478"/>
        </c:manualLayout>
      </c:layout>
      <c:overlay val="0"/>
    </c:title>
    <c:autoTitleDeleted val="0"/>
    <c:plotArea>
      <c:layout>
        <c:manualLayout>
          <c:layoutTarget val="inner"/>
          <c:xMode val="edge"/>
          <c:yMode val="edge"/>
          <c:x val="0.169811462977279"/>
          <c:y val="0.31624019609207"/>
          <c:w val="0.708405396056728"/>
          <c:h val="0.481482821077115"/>
        </c:manualLayout>
      </c:layout>
      <c:barChart>
        <c:barDir val="col"/>
        <c:grouping val="clustered"/>
        <c:varyColors val="0"/>
        <c:ser>
          <c:idx val="0"/>
          <c:order val="0"/>
          <c:spPr>
            <a:solidFill>
              <a:srgbClr val="FF7C80">
                <a:alpha val="91000"/>
              </a:srgbClr>
            </a:solidFill>
            <a:ln w="12700">
              <a:solidFill>
                <a:schemeClr val="bg1">
                  <a:alpha val="100000"/>
                </a:schemeClr>
              </a:solidFill>
              <a:prstDash val="solid"/>
            </a:ln>
          </c:spPr>
          <c:invertIfNegative val="0"/>
          <c:dPt>
            <c:idx val="4"/>
            <c:invertIfNegative val="0"/>
            <c:bubble3D val="0"/>
            <c:explosion val="0"/>
            <c:spPr>
              <a:solidFill>
                <a:srgbClr val="FF7C80">
                  <a:alpha val="91000"/>
                </a:srgbClr>
              </a:solidFill>
              <a:ln w="12700">
                <a:solidFill>
                  <a:schemeClr val="bg1">
                    <a:alpha val="100000"/>
                  </a:schemeClr>
                </a:solidFill>
                <a:prstDash val="solid"/>
              </a:ln>
            </c:spPr>
          </c:dPt>
          <c:dLbls>
            <c:dLbl>
              <c:idx val="1"/>
              <c:layout>
                <c:manualLayout>
                  <c:x val="-0.00158478605388273"/>
                  <c:y val="0.01432664756446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'[公报图表.xls]图2 粮食产量'!$B$6:$B$11</c:f>
              <c:numCache>
                <c:formatCode>General</c:formatCode>
                <c:ptCount val="6"/>
                <c:pt idx="0">
                  <c:v>2016</c:v>
                </c:pt>
                <c:pt idx="1">
                  <c:v>2017</c:v>
                </c:pt>
                <c:pt idx="2">
                  <c:v>2018</c:v>
                </c:pt>
                <c:pt idx="3">
                  <c:v>2019</c:v>
                </c:pt>
                <c:pt idx="4">
                  <c:v>2020</c:v>
                </c:pt>
                <c:pt idx="5">
                  <c:v>2021</c:v>
                </c:pt>
              </c:numCache>
            </c:numRef>
          </c:cat>
          <c:val>
            <c:numRef>
              <c:f>'[公报图表.xls]图2 粮食产量'!$C$6:$C$11</c:f>
              <c:numCache>
                <c:formatCode>General</c:formatCode>
                <c:ptCount val="6"/>
                <c:pt idx="0">
                  <c:v>90.2</c:v>
                </c:pt>
                <c:pt idx="1">
                  <c:v>100</c:v>
                </c:pt>
                <c:pt idx="2">
                  <c:v>100.7</c:v>
                </c:pt>
                <c:pt idx="3">
                  <c:v>104.4</c:v>
                </c:pt>
                <c:pt idx="4">
                  <c:v>102.5</c:v>
                </c:pt>
                <c:pt idx="5">
                  <c:v>105.9</c:v>
                </c:pt>
              </c:numCache>
            </c:numRef>
          </c:val>
        </c:ser>
        <c:dLbls>
          <c:showLegendKey val="0"/>
          <c:showVal val="0"/>
          <c:showCatName val="0"/>
          <c:showSerName val="0"/>
          <c:showPercent val="0"/>
          <c:showBubbleSize val="0"/>
        </c:dLbls>
        <c:gapWidth val="150"/>
        <c:overlap val="0"/>
        <c:axId val="121628821"/>
        <c:axId val="811220608"/>
      </c:barChart>
      <c:catAx>
        <c:axId val="121628821"/>
        <c:scaling>
          <c:orientation val="minMax"/>
        </c:scaling>
        <c:delete val="0"/>
        <c:axPos val="b"/>
        <c:majorTickMark val="in"/>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811220608"/>
        <c:crosses val="autoZero"/>
        <c:auto val="0"/>
        <c:lblAlgn val="ctr"/>
        <c:lblOffset val="100"/>
        <c:tickLblSkip val="1"/>
        <c:noMultiLvlLbl val="0"/>
      </c:catAx>
      <c:valAx>
        <c:axId val="811220608"/>
        <c:scaling>
          <c:orientation val="minMax"/>
        </c:scaling>
        <c:delete val="0"/>
        <c:axPos val="l"/>
        <c:majorGridlines>
          <c:spPr>
            <a:ln w="9525" cap="flat" cmpd="sng" algn="ctr">
              <a:solidFill>
                <a:schemeClr val="bg1"/>
              </a:solidFill>
              <a:prstDash val="solid"/>
              <a:round/>
            </a:ln>
          </c:spPr>
        </c:majorGridlines>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万吨</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01425246372505"/>
              <c:y val="0.202976721926853"/>
            </c:manualLayout>
          </c:layout>
          <c:overlay val="0"/>
        </c:title>
        <c:numFmt formatCode="General" sourceLinked="1"/>
        <c:majorTickMark val="none"/>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121628821"/>
        <c:crosses val="autoZero"/>
        <c:crossBetween val="between"/>
      </c:valAx>
      <c:spPr>
        <a:solidFill>
          <a:srgbClr val="EDF6F9">
            <a:alpha val="100000"/>
          </a:srgbClr>
        </a:solidFill>
        <a:ln w="3175">
          <a:noFill/>
        </a:ln>
      </c:spPr>
    </c:plotArea>
    <c:plotVisOnly val="1"/>
    <c:dispBlanksAs val="gap"/>
    <c:showDLblsOverMax val="0"/>
  </c:chart>
  <c:spPr>
    <a:solidFill>
      <a:srgbClr val="FFFFFF">
        <a:alpha val="100000"/>
      </a:srgbClr>
    </a:solidFill>
    <a:ln w="3175" cap="flat" cmpd="sng" algn="ctr">
      <a:noFill/>
      <a:prstDash val="solid"/>
      <a:round/>
    </a:ln>
    <a:effectLst/>
  </c:spPr>
  <c:txPr>
    <a:bodyPr rot="0" wrap="square" anchor="ctr" anchorCtr="1"/>
    <a:lstStyle/>
    <a:p>
      <a:pPr>
        <a:defRPr lang="zh-CN" sz="1075"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400" b="0" i="0" u="none" strike="noStrike" baseline="0">
                <a:solidFill>
                  <a:srgbClr val="333333"/>
                </a:solidFill>
                <a:latin typeface="Calibri" panose="020F0502020204030204" pitchFamily="2" charset="0"/>
                <a:ea typeface="Calibri" panose="020F0502020204030204" pitchFamily="2" charset="0"/>
                <a:cs typeface="Calibri" panose="020F0502020204030204" pitchFamily="2" charset="0"/>
              </a:rPr>
              <a:t>2021</a:t>
            </a:r>
            <a:r>
              <a:rPr altLang="en-US" sz="1400" b="0" i="0" u="none" strike="noStrike" baseline="0">
                <a:solidFill>
                  <a:srgbClr val="333333"/>
                </a:solidFill>
                <a:latin typeface="宋体" panose="02010600030101010101" charset="-122"/>
                <a:ea typeface="宋体" panose="02010600030101010101" charset="-122"/>
                <a:cs typeface="宋体" panose="02010600030101010101" charset="-122"/>
              </a:rPr>
              <a:t>年居民消费价格月度涨跌幅度</a:t>
            </a:r>
            <a:endParaRPr altLang="en-US"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0760661202944854"/>
          <c:y val="0.177083333333333"/>
          <c:w val="0.906709265175719"/>
          <c:h val="0.709490740740741"/>
        </c:manualLayout>
      </c:layout>
      <c:lineChart>
        <c:grouping val="standard"/>
        <c:varyColors val="0"/>
        <c:ser>
          <c:idx val="0"/>
          <c:order val="0"/>
          <c:tx>
            <c:strRef>
              <c:f>'[公报图表.xls]表1 居民消费价格指数'!$B$24</c:f>
              <c:strCache>
                <c:ptCount val="1"/>
                <c:pt idx="0">
                  <c:v>月度同比</c:v>
                </c:pt>
              </c:strCache>
            </c:strRef>
          </c:tx>
          <c:spPr>
            <a:ln w="28575" cap="rnd" cmpd="sng" algn="ctr">
              <a:solidFill>
                <a:schemeClr val="accent1"/>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dLbls>
            <c:delete val="1"/>
          </c:dLbls>
          <c:cat>
            <c:strRef>
              <c:f>'[公报图表.xls]表1 居民消费价格指数'!$A$25:$A$36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'[公报图表.xls]表1 居民消费价格指数'!$B$25:$B$36</c:f>
              <c:numCache>
                <c:formatCode>0.0_ </c:formatCode>
                <c:ptCount val="12"/>
                <c:pt idx="0">
                  <c:v>-0.4</c:v>
                </c:pt>
                <c:pt idx="1">
                  <c:v>-0.1</c:v>
                </c:pt>
                <c:pt idx="2">
                  <c:v>0.4</c:v>
                </c:pt>
                <c:pt idx="3">
                  <c:v>0.8</c:v>
                </c:pt>
                <c:pt idx="4">
                  <c:v>1.1</c:v>
                </c:pt>
                <c:pt idx="5">
                  <c:v>0.8</c:v>
                </c:pt>
                <c:pt idx="6">
                  <c:v>0.7</c:v>
                </c:pt>
                <c:pt idx="7">
                  <c:v>0.6</c:v>
                </c:pt>
                <c:pt idx="8">
                  <c:v>0.4</c:v>
                </c:pt>
                <c:pt idx="9">
                  <c:v>1.2</c:v>
                </c:pt>
                <c:pt idx="10">
                  <c:v>2.3</c:v>
                </c:pt>
                <c:pt idx="11">
                  <c:v>1.1</c:v>
                </c:pt>
              </c:numCache>
            </c:numRef>
          </c:val>
          <c:smooth val="0"/>
        </c:ser>
        <c:ser>
          <c:idx val="1"/>
          <c:order val="1"/>
          <c:tx>
            <c:strRef>
              <c:f>'[公报图表.xls]表1 居民消费价格指数'!$C$24</c:f>
              <c:strCache>
                <c:ptCount val="1"/>
                <c:pt idx="0">
                  <c:v>月度环比</c:v>
                </c:pt>
              </c:strCache>
            </c:strRef>
          </c:tx>
          <c:spPr>
            <a:ln w="28575" cap="rnd" cmpd="sng" algn="ctr">
              <a:solidFill>
                <a:schemeClr val="accent2"/>
              </a:solidFill>
              <a:prstDash val="solid"/>
              <a:round/>
            </a:ln>
            <a:effectLst/>
          </c:spPr>
          <c:marker>
            <c:symbol val="circle"/>
            <c:size val="5"/>
            <c:spPr>
              <a:solidFill>
                <a:schemeClr val="accent2"/>
              </a:solidFill>
              <a:ln w="9525" cap="flat" cmpd="sng" algn="ctr">
                <a:solidFill>
                  <a:schemeClr val="accent2"/>
                </a:solidFill>
                <a:prstDash val="solid"/>
                <a:round/>
              </a:ln>
              <a:effectLst/>
            </c:spPr>
          </c:marker>
          <c:dLbls>
            <c:delete val="1"/>
          </c:dLbls>
          <c:cat>
            <c:strRef>
              <c:f>'[公报图表.xls]表1 居民消费价格指数'!$A$25:$A$36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'[公报图表.xls]表1 居民消费价格指数'!$C$25:$C$36</c:f>
              <c:numCache>
                <c:formatCode>0.0_ </c:formatCode>
                <c:ptCount val="12"/>
                <c:pt idx="0">
                  <c:v>1</c:v>
                </c:pt>
                <c:pt idx="1">
                  <c:v>0.3</c:v>
                </c:pt>
                <c:pt idx="2">
                  <c:v>-0.4</c:v>
                </c:pt>
                <c:pt idx="3">
                  <c:v>-0.7</c:v>
                </c:pt>
                <c:pt idx="4">
                  <c:v>-0.2</c:v>
                </c:pt>
                <c:pt idx="5">
                  <c:v>-0.4</c:v>
                </c:pt>
                <c:pt idx="6">
                  <c:v>0.2</c:v>
                </c:pt>
                <c:pt idx="7">
                  <c:v>0.1</c:v>
                </c:pt>
                <c:pt idx="8">
                  <c:v>0.1</c:v>
                </c:pt>
                <c:pt idx="9">
                  <c:v>0.5</c:v>
                </c:pt>
                <c:pt idx="10">
                  <c:v>1</c:v>
                </c:pt>
                <c:pt idx="11">
                  <c:v>-0.4</c:v>
                </c:pt>
              </c:numCache>
            </c:numRef>
          </c:val>
          <c:smooth val="0"/>
        </c:ser>
        <c:dLbls>
          <c:showLegendKey val="0"/>
          <c:showVal val="0"/>
          <c:showCatName val="0"/>
          <c:showSerName val="0"/>
          <c:showPercent val="0"/>
          <c:showBubbleSize val="0"/>
        </c:dLbls>
        <c:marker val="1"/>
        <c:smooth val="0"/>
        <c:axId val="380486689"/>
        <c:axId val="964014063"/>
      </c:lineChart>
      <c:catAx>
        <c:axId val="38048668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t"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964014063"/>
        <c:crossesAt val="0"/>
        <c:auto val="1"/>
        <c:lblAlgn val="ctr"/>
        <c:lblOffset val="600"/>
        <c:noMultiLvlLbl val="0"/>
      </c:catAx>
      <c:valAx>
        <c:axId val="964014063"/>
        <c:scaling>
          <c:orientation val="minMax"/>
          <c:max val="3.5"/>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0486689"/>
        <c:crosses val="autoZero"/>
        <c:crossBetween val="between"/>
      </c:valAx>
      <c:spPr>
        <a:noFill/>
        <a:ln>
          <a:noFill/>
        </a:ln>
        <a:effectLst/>
      </c:spPr>
    </c:plotArea>
    <c:legend>
      <c:legendPos val="b"/>
      <c:layout>
        <c:manualLayout>
          <c:xMode val="edge"/>
          <c:yMode val="edge"/>
          <c:x val="0.336629693973005"/>
          <c:y val="0.92291356976003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no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1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400" b="1" i="0" u="none" strike="noStrike" baseline="0">
                <a:solidFill>
                  <a:srgbClr val="000000"/>
                </a:solidFill>
                <a:latin typeface="宋体" panose="02010600030101010101" charset="-122"/>
                <a:ea typeface="宋体" panose="02010600030101010101" charset="-122"/>
                <a:cs typeface="宋体" panose="02010600030101010101" charset="-122"/>
              </a:rPr>
              <a:t> 2016-202</a:t>
            </a:r>
            <a:r>
              <a:rPr lang="en-US" altLang="zh-CN" sz="1400" b="1" i="0" u="none" strike="noStrike" baseline="0">
                <a:solidFill>
                  <a:srgbClr val="000000"/>
                </a:solidFill>
                <a:latin typeface="宋体" panose="02010600030101010101" charset="-122"/>
                <a:ea typeface="宋体" panose="02010600030101010101" charset="-122"/>
                <a:cs typeface="宋体" panose="02010600030101010101" charset="-122"/>
              </a:rPr>
              <a:t>1</a:t>
            </a:r>
            <a:r>
              <a:rPr sz="1400" b="1" i="0" u="none" strike="noStrike" baseline="0">
                <a:solidFill>
                  <a:srgbClr val="000000"/>
                </a:solidFill>
                <a:latin typeface="宋体" panose="02010600030101010101" charset="-122"/>
                <a:ea typeface="宋体" panose="02010600030101010101" charset="-122"/>
                <a:cs typeface="宋体" panose="02010600030101010101" charset="-122"/>
              </a:rPr>
              <a:t>年地方公共财政预算收入</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46372160376505"/>
          <c:y val="0.120774825021872"/>
        </c:manualLayout>
      </c:layout>
      <c:overlay val="0"/>
      <c:spPr>
        <a:noFill/>
        <a:ln w="3175">
          <a:noFill/>
        </a:ln>
      </c:spPr>
    </c:title>
    <c:autoTitleDeleted val="0"/>
    <c:plotArea>
      <c:layout>
        <c:manualLayout>
          <c:layoutTarget val="inner"/>
          <c:xMode val="edge"/>
          <c:yMode val="edge"/>
          <c:x val="0.202454064938334"/>
          <c:y val="0.339032282296904"/>
          <c:w val="0.64963503649635"/>
          <c:h val="0.407408540911405"/>
        </c:manualLayout>
      </c:layout>
      <c:barChart>
        <c:barDir val="col"/>
        <c:grouping val="clustered"/>
        <c:varyColors val="0"/>
        <c:ser>
          <c:idx val="0"/>
          <c:order val="0"/>
          <c:spPr>
            <a:solidFill>
              <a:srgbClr val="FF7D7D">
                <a:alpha val="91000"/>
              </a:srgbClr>
            </a:solidFill>
            <a:ln w="12700">
              <a:noFill/>
              <a:prstDash val="solid"/>
            </a:ln>
          </c:spPr>
          <c:invertIfNegative val="0"/>
          <c:dLbls>
            <c:dLbl>
              <c:idx val="1"/>
              <c:layout>
                <c:manualLayout>
                  <c:x val="0.00394088669950744"/>
                  <c:y val="0.0154808125140671"/>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377668308702791"/>
                  <c:y val="0.0182291666666667"/>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29885057471264"/>
                  <c:y val="0.020833333333333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31034482758621"/>
                  <c:y val="0.0364583333333333"/>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1165845648604"/>
                  <c:y val="0.0235095937429665"/>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'[公报图表.xls]图4 财政预算收入'!$A$4:$A$9</c:f>
              <c:numCache>
                <c:formatCode>General</c:formatCode>
                <c:ptCount val="6"/>
                <c:pt idx="0">
                  <c:v>2016</c:v>
                </c:pt>
                <c:pt idx="1">
                  <c:v>2017</c:v>
                </c:pt>
                <c:pt idx="2">
                  <c:v>2018</c:v>
                </c:pt>
                <c:pt idx="3">
                  <c:v>2019</c:v>
                </c:pt>
                <c:pt idx="4">
                  <c:v>2020</c:v>
                </c:pt>
                <c:pt idx="5">
                  <c:v>2021</c:v>
                </c:pt>
              </c:numCache>
            </c:numRef>
          </c:cat>
          <c:val>
            <c:numRef>
              <c:f>'[公报图表.xls]图4 财政预算收入'!$B$4:$B$9</c:f>
              <c:numCache>
                <c:formatCode>General</c:formatCode>
                <c:ptCount val="6"/>
                <c:pt idx="0">
                  <c:v>5.6</c:v>
                </c:pt>
                <c:pt idx="1">
                  <c:v>7.1</c:v>
                </c:pt>
                <c:pt idx="2">
                  <c:v>7.9</c:v>
                </c:pt>
                <c:pt idx="3">
                  <c:v>9.1</c:v>
                </c:pt>
                <c:pt idx="4">
                  <c:v>10.6</c:v>
                </c:pt>
                <c:pt idx="5">
                  <c:v>12.6</c:v>
                </c:pt>
              </c:numCache>
            </c:numRef>
          </c:val>
        </c:ser>
        <c:dLbls>
          <c:showLegendKey val="0"/>
          <c:showVal val="0"/>
          <c:showCatName val="0"/>
          <c:showSerName val="0"/>
          <c:showPercent val="0"/>
          <c:showBubbleSize val="0"/>
        </c:dLbls>
        <c:gapWidth val="150"/>
        <c:overlap val="0"/>
        <c:axId val="74234320"/>
        <c:axId val="501473621"/>
      </c:barChart>
      <c:lineChart>
        <c:grouping val="stacked"/>
        <c:varyColors val="0"/>
        <c:ser>
          <c:idx val="1"/>
          <c:order val="1"/>
          <c:dLbls>
            <c:dLbl>
              <c:idx val="2"/>
              <c:layout>
                <c:manualLayout>
                  <c:x val="-0.0364532019704433"/>
                  <c:y val="-0.033709979180733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31034482758621"/>
                  <c:y val="-0.0338541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46551724137931"/>
                  <c:y val="-0.041666666666666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586206896551724"/>
                  <c:y val="-0.054327031285167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'[公报图表.xls]图4 财政预算收入'!$A$4:$A$9</c:f>
              <c:numCache>
                <c:formatCode>General</c:formatCode>
                <c:ptCount val="6"/>
                <c:pt idx="0">
                  <c:v>2016</c:v>
                </c:pt>
                <c:pt idx="1">
                  <c:v>2017</c:v>
                </c:pt>
                <c:pt idx="2">
                  <c:v>2018</c:v>
                </c:pt>
                <c:pt idx="3">
                  <c:v>2019</c:v>
                </c:pt>
                <c:pt idx="4">
                  <c:v>2020</c:v>
                </c:pt>
                <c:pt idx="5">
                  <c:v>2021</c:v>
                </c:pt>
              </c:numCache>
            </c:numRef>
          </c:cat>
          <c:val>
            <c:numRef>
              <c:f>'[公报图表.xls]图4 财政预算收入'!$C$4:$C$9</c:f>
              <c:numCache>
                <c:formatCode>0.0_ </c:formatCode>
                <c:ptCount val="6"/>
                <c:pt idx="0">
                  <c:v>-23.2</c:v>
                </c:pt>
                <c:pt idx="1">
                  <c:v>27.5</c:v>
                </c:pt>
                <c:pt idx="2">
                  <c:v>10.3</c:v>
                </c:pt>
                <c:pt idx="3">
                  <c:v>15.3</c:v>
                </c:pt>
                <c:pt idx="4">
                  <c:v>16.3</c:v>
                </c:pt>
                <c:pt idx="5">
                  <c:v>19</c:v>
                </c:pt>
              </c:numCache>
            </c:numRef>
          </c:val>
          <c:smooth val="0"/>
        </c:ser>
        <c:dLbls>
          <c:showLegendKey val="0"/>
          <c:showVal val="0"/>
          <c:showCatName val="0"/>
          <c:showSerName val="0"/>
          <c:showPercent val="0"/>
          <c:showBubbleSize val="0"/>
        </c:dLbls>
        <c:marker val="1"/>
        <c:smooth val="0"/>
        <c:axId val="559439907"/>
        <c:axId val="928325465"/>
      </c:lineChart>
      <c:catAx>
        <c:axId val="74234320"/>
        <c:scaling>
          <c:orientation val="minMax"/>
        </c:scaling>
        <c:delete val="0"/>
        <c:axPos val="b"/>
        <c:title>
          <c:tx>
            <c:rich>
              <a:bodyPr rot="0" spcFirstLastPara="0" vertOverflow="ellipsis" vert="horz" wrap="square" anchor="ctr" anchorCtr="1"/>
              <a:lstStyle/>
              <a:p>
                <a:pPr defTabSz="914400">
                  <a:defRPr lang="zh-CN" sz="8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亿元</a:t>
                </a:r>
                <a:endParaRPr sz="875"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45493709837994"/>
              <c:y val="0.260130686789151"/>
            </c:manualLayout>
          </c:layout>
          <c:overlay val="0"/>
          <c:spPr>
            <a:noFill/>
            <a:ln w="3175">
              <a:noFill/>
            </a:ln>
          </c:spPr>
        </c:title>
        <c:majorTickMark val="in"/>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501473621"/>
        <c:crosses val="autoZero"/>
        <c:auto val="1"/>
        <c:lblAlgn val="ctr"/>
        <c:lblOffset val="100"/>
        <c:tickLblSkip val="1"/>
        <c:noMultiLvlLbl val="0"/>
      </c:catAx>
      <c:valAx>
        <c:axId val="501473621"/>
        <c:scaling>
          <c:orientation val="minMax"/>
          <c:max val="15"/>
          <c:min val="0"/>
        </c:scaling>
        <c:delete val="0"/>
        <c:axPos val="l"/>
        <c:majorGridlines>
          <c:spPr>
            <a:ln w="9525" cap="flat" cmpd="sng" algn="ctr">
              <a:solidFill>
                <a:schemeClr val="bg1"/>
              </a:solidFill>
              <a:prstDash val="solid"/>
              <a:round/>
            </a:ln>
          </c:spPr>
        </c:majorGridlines>
        <c:numFmt formatCode="General" sourceLinked="1"/>
        <c:majorTickMark val="in"/>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74234320"/>
        <c:crosses val="autoZero"/>
        <c:crossBetween val="between"/>
        <c:majorUnit val="2"/>
      </c:valAx>
      <c:catAx>
        <c:axId val="559439907"/>
        <c:scaling>
          <c:orientation val="minMax"/>
        </c:scaling>
        <c:delete val="1"/>
        <c:axPos val="b"/>
        <c:majorTickMark val="none"/>
        <c:minorTickMark val="none"/>
        <c:tickLblPos val="nextTo"/>
        <c:txPr>
          <a:bodyPr rot="-60000000" spcFirstLastPara="0" vertOverflow="ellipsis" vert="horz" wrap="square" anchor="ctr" anchorCtr="1"/>
          <a:lstStyle/>
          <a:p>
            <a:pPr>
              <a:defRPr lang="zh-CN" sz="1175"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928325465"/>
        <c:crosses val="autoZero"/>
        <c:auto val="1"/>
        <c:lblAlgn val="ctr"/>
        <c:lblOffset val="100"/>
        <c:noMultiLvlLbl val="0"/>
      </c:catAx>
      <c:valAx>
        <c:axId val="928325465"/>
        <c:scaling>
          <c:orientation val="minMax"/>
          <c:max val="30"/>
          <c:min val="-30"/>
        </c:scaling>
        <c:delete val="0"/>
        <c:axPos val="r"/>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crossAx val="559439907"/>
        <c:crosses val="max"/>
        <c:crossBetween val="between"/>
      </c:valAx>
      <c:spPr>
        <a:solidFill>
          <a:srgbClr val="EDF6F9"/>
        </a:solidFill>
        <a:ln w="3175">
          <a:noFill/>
        </a:ln>
      </c:spPr>
    </c:plotArea>
    <c:plotVisOnly val="1"/>
    <c:dispBlanksAs val="zero"/>
    <c:showDLblsOverMax val="0"/>
  </c:chart>
  <c:spPr>
    <a:solidFill>
      <a:srgbClr val="FFFFFF">
        <a:alpha val="100000"/>
      </a:srgbClr>
    </a:solidFill>
    <a:ln w="3175" cap="flat" cmpd="sng" algn="ctr">
      <a:noFill/>
      <a:prstDash val="solid"/>
      <a:round/>
    </a:ln>
  </c:spPr>
  <c:txPr>
    <a:bodyPr rot="0" wrap="square" anchor="ctr" anchorCtr="1"/>
    <a:lstStyle/>
    <a:p>
      <a:pPr>
        <a:defRPr lang="zh-CN" sz="11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rPr sz="1400" b="1" i="0" u="none" strike="noStrike" baseline="0">
                <a:solidFill>
                  <a:srgbClr val="000000"/>
                </a:solidFill>
                <a:latin typeface="宋体" panose="02010600030101010101" charset="-122"/>
                <a:ea typeface="宋体" panose="02010600030101010101" charset="-122"/>
                <a:cs typeface="宋体" panose="02010600030101010101" charset="-122"/>
              </a:rPr>
              <a:t> 2016-202</a:t>
            </a:r>
            <a:r>
              <a:rPr lang="en-US" altLang="zh-CN" sz="1400" b="1" i="0" u="none" strike="noStrike" baseline="0">
                <a:solidFill>
                  <a:srgbClr val="000000"/>
                </a:solidFill>
                <a:latin typeface="宋体" panose="02010600030101010101" charset="-122"/>
                <a:ea typeface="宋体" panose="02010600030101010101" charset="-122"/>
                <a:cs typeface="宋体" panose="02010600030101010101" charset="-122"/>
              </a:rPr>
              <a:t>1</a:t>
            </a:r>
            <a:r>
              <a:rPr sz="1400" b="1" i="0" u="none" strike="noStrike" baseline="0">
                <a:solidFill>
                  <a:srgbClr val="000000"/>
                </a:solidFill>
                <a:latin typeface="宋体" panose="02010600030101010101" charset="-122"/>
                <a:ea typeface="宋体" panose="02010600030101010101" charset="-122"/>
                <a:cs typeface="宋体" panose="02010600030101010101" charset="-122"/>
              </a:rPr>
              <a:t>年金融机构人民币存贷款余额</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77472231900216"/>
          <c:y val="0.0719062894915913"/>
        </c:manualLayout>
      </c:layout>
      <c:overlay val="0"/>
      <c:spPr>
        <a:noFill/>
        <a:ln w="3175">
          <a:noFill/>
        </a:ln>
      </c:spPr>
    </c:title>
    <c:autoTitleDeleted val="0"/>
    <c:plotArea>
      <c:layout>
        <c:manualLayout>
          <c:layoutTarget val="inner"/>
          <c:xMode val="edge"/>
          <c:yMode val="edge"/>
          <c:x val="0.139823129686748"/>
          <c:y val="0.359789289303513"/>
          <c:w val="0.704425387535768"/>
          <c:h val="0.45767314006991"/>
        </c:manualLayout>
      </c:layout>
      <c:barChart>
        <c:barDir val="col"/>
        <c:grouping val="clustered"/>
        <c:varyColors val="0"/>
        <c:ser>
          <c:idx val="0"/>
          <c:order val="0"/>
          <c:tx>
            <c:strRef>
              <c:f>"存款"</c:f>
              <c:strCache>
                <c:ptCount val="1"/>
                <c:pt idx="0">
                  <c:v>存款</c:v>
                </c:pt>
              </c:strCache>
            </c:strRef>
          </c:tx>
          <c:spPr>
            <a:solidFill>
              <a:srgbClr val="FF7D7D"/>
            </a:solidFill>
            <a:ln w="12700">
              <a:noFill/>
              <a:prstDash val="solid"/>
            </a:ln>
          </c:spPr>
          <c:invertIfNegative val="0"/>
          <c:dLbls>
            <c:dLbl>
              <c:idx val="3"/>
              <c:layout>
                <c:manualLayout>
                  <c:x val="0.00170648464163812"/>
                  <c:y val="0.00265910299592269"/>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3469249348456e-16"/>
                  <c:y val="0.00531820599184538"/>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'[公报图表.xls]图5 金融机构人民币存贷款'!$A$5:$A$10</c:f>
              <c:numCache>
                <c:formatCode>General</c:formatCode>
                <c:ptCount val="6"/>
                <c:pt idx="0">
                  <c:v>2016</c:v>
                </c:pt>
                <c:pt idx="1">
                  <c:v>2017</c:v>
                </c:pt>
                <c:pt idx="2">
                  <c:v>2018</c:v>
                </c:pt>
                <c:pt idx="3">
                  <c:v>2019</c:v>
                </c:pt>
                <c:pt idx="4">
                  <c:v>2020</c:v>
                </c:pt>
                <c:pt idx="5">
                  <c:v>2021</c:v>
                </c:pt>
              </c:numCache>
            </c:numRef>
          </c:cat>
          <c:val>
            <c:numRef>
              <c:f>'[公报图表.xls]图5 金融机构人民币存贷款'!$B$5:$B$10</c:f>
              <c:numCache>
                <c:formatCode>General</c:formatCode>
                <c:ptCount val="6"/>
                <c:pt idx="0">
                  <c:v>238</c:v>
                </c:pt>
                <c:pt idx="1">
                  <c:v>251.9</c:v>
                </c:pt>
                <c:pt idx="2">
                  <c:v>270.8</c:v>
                </c:pt>
                <c:pt idx="3">
                  <c:v>300.4</c:v>
                </c:pt>
                <c:pt idx="4">
                  <c:v>336.9</c:v>
                </c:pt>
                <c:pt idx="5">
                  <c:v>378.3</c:v>
                </c:pt>
              </c:numCache>
            </c:numRef>
          </c:val>
        </c:ser>
        <c:ser>
          <c:idx val="1"/>
          <c:order val="1"/>
          <c:tx>
            <c:strRef>
              <c:f>"贷款"</c:f>
              <c:strCache>
                <c:ptCount val="1"/>
                <c:pt idx="0">
                  <c:v>贷款</c:v>
                </c:pt>
              </c:strCache>
            </c:strRef>
          </c:tx>
          <c:spPr>
            <a:solidFill>
              <a:srgbClr val="C6D9F1"/>
            </a:solidFill>
            <a:ln w="12700">
              <a:noFill/>
              <a:prstDash val="solid"/>
            </a:ln>
          </c:spPr>
          <c:invertIfNegative val="0"/>
          <c:dLbls>
            <c:dLbl>
              <c:idx val="0"/>
              <c:layout>
                <c:manualLayout>
                  <c:x val="0.0145589854365549"/>
                  <c:y val="0.00705467372134039"/>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39056511741342"/>
                  <c:y val="0"/>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32521310942327"/>
                  <c:y val="0"/>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56120131001324"/>
                  <c:y val="-0.00265911205543751"/>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7271967110307"/>
                  <c:y val="0.00736213528864448"/>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15929203539823"/>
                  <c:y val="0"/>
                </c:manualLayout>
              </c:layout>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w="3175">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'[公报图表.xls]图5 金融机构人民币存贷款'!$A$5:$A$10</c:f>
              <c:numCache>
                <c:formatCode>General</c:formatCode>
                <c:ptCount val="6"/>
                <c:pt idx="0">
                  <c:v>2016</c:v>
                </c:pt>
                <c:pt idx="1">
                  <c:v>2017</c:v>
                </c:pt>
                <c:pt idx="2">
                  <c:v>2018</c:v>
                </c:pt>
                <c:pt idx="3">
                  <c:v>2019</c:v>
                </c:pt>
                <c:pt idx="4">
                  <c:v>2020</c:v>
                </c:pt>
                <c:pt idx="5">
                  <c:v>2021</c:v>
                </c:pt>
              </c:numCache>
            </c:numRef>
          </c:cat>
          <c:val>
            <c:numRef>
              <c:f>'[公报图表.xls]图5 金融机构人民币存贷款'!$C$5:$C$10</c:f>
              <c:numCache>
                <c:formatCode>General</c:formatCode>
                <c:ptCount val="6"/>
                <c:pt idx="0">
                  <c:v>106.5</c:v>
                </c:pt>
                <c:pt idx="1">
                  <c:v>114.1</c:v>
                </c:pt>
                <c:pt idx="2">
                  <c:v>115.5</c:v>
                </c:pt>
                <c:pt idx="3">
                  <c:v>126.7</c:v>
                </c:pt>
                <c:pt idx="4">
                  <c:v>125.3</c:v>
                </c:pt>
                <c:pt idx="5">
                  <c:v>155.1</c:v>
                </c:pt>
              </c:numCache>
            </c:numRef>
          </c:val>
        </c:ser>
        <c:dLbls>
          <c:showLegendKey val="0"/>
          <c:showVal val="0"/>
          <c:showCatName val="0"/>
          <c:showSerName val="0"/>
          <c:showPercent val="0"/>
          <c:showBubbleSize val="0"/>
        </c:dLbls>
        <c:gapWidth val="150"/>
        <c:overlap val="0"/>
        <c:axId val="745823493"/>
        <c:axId val="45837083"/>
      </c:barChart>
      <c:catAx>
        <c:axId val="745823493"/>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r>
                  <a:t>亿元</a:t>
                </a:r>
                <a:endParaRPr sz="10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643142173599981"/>
              <c:y val="0.266368648363399"/>
            </c:manualLayout>
          </c:layout>
          <c:overlay val="0"/>
          <c:spPr>
            <a:noFill/>
            <a:ln w="3175">
              <a:noFill/>
            </a:ln>
          </c:spPr>
        </c:title>
        <c:majorTickMark val="in"/>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45837083"/>
        <c:crosses val="autoZero"/>
        <c:auto val="1"/>
        <c:lblAlgn val="ctr"/>
        <c:lblOffset val="100"/>
        <c:tickLblSkip val="1"/>
        <c:noMultiLvlLbl val="0"/>
      </c:catAx>
      <c:valAx>
        <c:axId val="45837083"/>
        <c:scaling>
          <c:orientation val="minMax"/>
        </c:scaling>
        <c:delete val="0"/>
        <c:axPos val="l"/>
        <c:majorGridlines>
          <c:spPr>
            <a:ln w="9525" cap="flat" cmpd="sng" algn="ctr">
              <a:solidFill>
                <a:schemeClr val="bg1"/>
              </a:solidFill>
              <a:prstDash val="solid"/>
              <a:round/>
            </a:ln>
          </c:spPr>
        </c:majorGridlines>
        <c:numFmt formatCode="General" sourceLinked="1"/>
        <c:majorTickMark val="in"/>
        <c:minorTickMark val="none"/>
        <c:tickLblPos val="nextTo"/>
        <c:spPr>
          <a:ln w="3175" cap="flat" cmpd="sng" algn="ctr">
            <a:noFill/>
            <a:prstDash val="solid"/>
            <a:round/>
          </a:ln>
        </c:spPr>
        <c:txPr>
          <a:bodyPr rot="0" spcFirstLastPara="0" vertOverflow="ellipsis" vert="horz" wrap="square" anchor="ctr" anchorCtr="1"/>
          <a:lstStyle/>
          <a:p>
            <a:pPr>
              <a:defRPr lang="zh-CN" sz="10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745823493"/>
        <c:crosses val="autoZero"/>
        <c:crossBetween val="between"/>
      </c:valAx>
      <c:spPr>
        <a:solidFill>
          <a:srgbClr val="EDF6F9"/>
        </a:solidFill>
        <a:ln w="3175">
          <a:noFill/>
        </a:ln>
      </c:spPr>
    </c:plotArea>
    <c:legend>
      <c:legendPos val="r"/>
      <c:legendEntry>
        <c:idx val="0"/>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legendEntry>
      <c:legendEntry>
        <c:idx val="1"/>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legendEntry>
      <c:layout>
        <c:manualLayout>
          <c:xMode val="edge"/>
          <c:yMode val="edge"/>
          <c:x val="0.214395280235988"/>
          <c:y val="0.238095238095238"/>
          <c:w val="0.57475"/>
          <c:h val="0.11425"/>
        </c:manualLayout>
      </c:layout>
      <c:overlay val="0"/>
      <c:spPr>
        <a:noFill/>
        <a:ln w="3175">
          <a:noFill/>
          <a:prstDash val="solid"/>
        </a:ln>
      </c:spPr>
      <c:txPr>
        <a:bodyPr rot="0" spcFirstLastPara="0" vertOverflow="ellipsis" vert="horz" wrap="square" anchor="ctr" anchorCtr="1"/>
        <a:lstStyle/>
        <a:p>
          <a:pPr>
            <a:defRPr lang="zh-CN" sz="1000" b="0" i="0" u="none" strike="noStrike" kern="1200" cap="none" spc="0" normalizeH="0" baseline="0">
              <a:solidFill>
                <a:srgbClr val="000000"/>
              </a:solidFill>
              <a:uFill>
                <a:solidFill>
                  <a:srgbClr val="000000"/>
                </a:solidFill>
              </a:u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0.852216748768473</cdr:x>
      <cdr:y>0.24561107359892</cdr:y>
    </cdr:from>
    <cdr:to>
      <cdr:x>0.906403940886699</cdr:x>
      <cdr:y>0.313977042538825</cdr:y>
    </cdr:to>
    <cdr:sp>
      <cdr:nvSpPr>
        <cdr:cNvPr id="2" name="矩形 1"/>
        <cdr:cNvSpPr/>
      </cdr:nvSpPr>
      <cdr:spPr xmlns:a="http://schemas.openxmlformats.org/drawingml/2006/main">
        <a:xfrm xmlns:a="http://schemas.openxmlformats.org/drawingml/2006/main">
          <a:off x="4943475" y="923925"/>
          <a:ext cx="314325" cy="257175"/>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r>
            <a:rPr lang="en-US" altLang="zh-CN" sz="1000">
              <a:latin typeface="宋体" panose="02010600030101010101" charset="-122"/>
              <a:ea typeface="宋体" panose="02010600030101010101" charset="-122"/>
            </a:rPr>
            <a:t>%</a:t>
          </a:r>
          <a:endParaRPr lang="en-US" altLang="zh-CN" sz="1000">
            <a:latin typeface="宋体" panose="02010600030101010101" charset="-122"/>
            <a:ea typeface="宋体" panose="02010600030101010101" charset="-122"/>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2022-04-01T03:21:00Z</dcterms:created>
  <dc:creator>Administrator</dc:creator>
  <cp:lastModifiedBy>杰</cp:lastModifiedBy>
  <cp:lastPrinted>2022-04-13T02:33:00Z</cp:lastPrinted>
  <dcterms:modified xsi:type="dcterms:W3CDTF">2022-04-14T09:01:04Z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C94794617F0F4136A1F9CCD4F425598D</vt:lpwstr>
  </property>
</Properties>
</file>