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仿宋_GB2312" w:eastAsia="仿宋_GB2312"/>
          <w:color w:val="000000"/>
          <w:szCs w:val="32"/>
        </w:rPr>
      </w:pPr>
    </w:p>
    <w:p>
      <w:pPr>
        <w:snapToGrid w:val="0"/>
        <w:spacing w:line="600" w:lineRule="exact"/>
        <w:jc w:val="center"/>
        <w:rPr>
          <w:rFonts w:ascii="仿宋_GB2312" w:hAnsi="仿宋" w:eastAsia="仿宋_GB2312"/>
          <w:color w:val="000000"/>
          <w:szCs w:val="32"/>
        </w:rPr>
      </w:pPr>
    </w:p>
    <w:p>
      <w:pPr>
        <w:snapToGrid w:val="0"/>
        <w:spacing w:line="600" w:lineRule="exact"/>
        <w:jc w:val="center"/>
        <w:rPr>
          <w:rFonts w:ascii="仿宋_GB2312" w:hAnsi="仿宋" w:eastAsia="仿宋_GB2312"/>
          <w:color w:val="000000"/>
          <w:szCs w:val="32"/>
        </w:rPr>
      </w:pPr>
    </w:p>
    <w:p>
      <w:pPr>
        <w:snapToGrid w:val="0"/>
        <w:spacing w:line="600" w:lineRule="exact"/>
        <w:jc w:val="center"/>
        <w:rPr>
          <w:rFonts w:ascii="仿宋_GB2312" w:hAnsi="仿宋" w:eastAsia="仿宋_GB2312"/>
          <w:color w:val="000000"/>
          <w:szCs w:val="32"/>
        </w:rPr>
      </w:pPr>
    </w:p>
    <w:p>
      <w:pPr>
        <w:snapToGrid w:val="0"/>
        <w:spacing w:line="600" w:lineRule="exact"/>
        <w:jc w:val="center"/>
        <w:rPr>
          <w:rFonts w:ascii="宋体" w:hAnsi="宋体" w:eastAsia="宋体"/>
          <w:b/>
          <w:bCs/>
          <w:color w:val="000000"/>
          <w:sz w:val="44"/>
          <w:szCs w:val="44"/>
        </w:rPr>
      </w:pPr>
      <w:r>
        <w:rPr>
          <w:rFonts w:hint="eastAsia" w:ascii="宋体" w:hAnsi="宋体" w:eastAsia="宋体"/>
          <w:b/>
          <w:bCs/>
          <w:color w:val="000000"/>
          <w:sz w:val="44"/>
          <w:szCs w:val="44"/>
        </w:rPr>
        <w:t>建平县生态环境保护“十四五”专项规划</w:t>
      </w:r>
    </w:p>
    <w:p>
      <w:pPr>
        <w:pStyle w:val="2"/>
        <w:spacing w:line="600" w:lineRule="exact"/>
        <w:jc w:val="center"/>
        <w:rPr>
          <w:rFonts w:ascii="宋体" w:hAnsi="宋体" w:eastAsia="宋体"/>
          <w:b/>
          <w:bCs/>
          <w:color w:val="000000"/>
          <w:sz w:val="44"/>
          <w:szCs w:val="44"/>
        </w:rPr>
      </w:pPr>
      <w:r>
        <w:rPr>
          <w:rFonts w:hint="eastAsia" w:ascii="宋体" w:hAnsi="宋体" w:eastAsia="宋体"/>
          <w:b/>
          <w:bCs/>
          <w:color w:val="000000"/>
          <w:sz w:val="44"/>
          <w:szCs w:val="44"/>
        </w:rPr>
        <w:t>（2021——2025年）</w:t>
      </w:r>
    </w:p>
    <w:p>
      <w:pPr>
        <w:jc w:val="center"/>
      </w:pPr>
    </w:p>
    <w:p>
      <w:pPr>
        <w:pStyle w:val="2"/>
        <w:spacing w:line="600" w:lineRule="exact"/>
        <w:rPr>
          <w:rFonts w:ascii="楷体" w:hAnsi="楷体" w:eastAsia="楷体"/>
          <w:color w:val="000000"/>
          <w:sz w:val="32"/>
          <w:szCs w:val="32"/>
        </w:rPr>
      </w:pPr>
    </w:p>
    <w:p>
      <w:pPr>
        <w:pStyle w:val="2"/>
        <w:spacing w:line="600" w:lineRule="exact"/>
        <w:rPr>
          <w:rFonts w:ascii="仿宋_GB2312" w:hAnsi="仿宋" w:eastAsia="仿宋_GB2312"/>
          <w:color w:val="000000"/>
          <w:sz w:val="32"/>
          <w:szCs w:val="32"/>
        </w:rPr>
      </w:pPr>
    </w:p>
    <w:p>
      <w:pPr>
        <w:pStyle w:val="2"/>
        <w:spacing w:line="600" w:lineRule="exact"/>
        <w:rPr>
          <w:rFonts w:ascii="仿宋_GB2312" w:hAnsi="仿宋" w:eastAsia="仿宋_GB2312"/>
          <w:color w:val="000000"/>
          <w:sz w:val="32"/>
          <w:szCs w:val="32"/>
        </w:rPr>
      </w:pPr>
    </w:p>
    <w:p>
      <w:pPr>
        <w:pStyle w:val="2"/>
        <w:tabs>
          <w:tab w:val="left" w:pos="1650"/>
        </w:tabs>
        <w:spacing w:line="600" w:lineRule="exact"/>
        <w:rPr>
          <w:rFonts w:ascii="仿宋_GB2312" w:hAnsi="仿宋" w:eastAsia="仿宋_GB2312"/>
          <w:color w:val="000000"/>
          <w:sz w:val="32"/>
          <w:szCs w:val="32"/>
        </w:rPr>
      </w:pPr>
    </w:p>
    <w:p>
      <w:pPr>
        <w:pStyle w:val="2"/>
        <w:spacing w:line="600" w:lineRule="exact"/>
        <w:rPr>
          <w:rFonts w:ascii="仿宋_GB2312" w:hAnsi="仿宋" w:eastAsia="仿宋_GB2312"/>
          <w:color w:val="000000"/>
          <w:sz w:val="32"/>
          <w:szCs w:val="32"/>
        </w:rPr>
      </w:pPr>
    </w:p>
    <w:p>
      <w:pPr>
        <w:pStyle w:val="2"/>
        <w:tabs>
          <w:tab w:val="left" w:pos="1725"/>
        </w:tabs>
        <w:spacing w:line="600" w:lineRule="exact"/>
        <w:rPr>
          <w:rFonts w:ascii="仿宋_GB2312" w:hAnsi="仿宋" w:eastAsia="仿宋_GB2312"/>
          <w:color w:val="000000"/>
          <w:sz w:val="32"/>
          <w:szCs w:val="32"/>
        </w:rPr>
      </w:pPr>
    </w:p>
    <w:p>
      <w:pPr>
        <w:pStyle w:val="2"/>
        <w:tabs>
          <w:tab w:val="left" w:pos="1725"/>
        </w:tabs>
        <w:spacing w:line="600" w:lineRule="exact"/>
        <w:rPr>
          <w:rFonts w:ascii="仿宋_GB2312" w:hAnsi="仿宋" w:eastAsia="仿宋_GB2312"/>
          <w:color w:val="000000"/>
          <w:sz w:val="32"/>
          <w:szCs w:val="32"/>
        </w:rPr>
      </w:pPr>
    </w:p>
    <w:p>
      <w:pPr>
        <w:pStyle w:val="2"/>
        <w:tabs>
          <w:tab w:val="left" w:pos="1725"/>
        </w:tabs>
        <w:spacing w:line="600" w:lineRule="exact"/>
        <w:rPr>
          <w:rFonts w:ascii="仿宋_GB2312" w:hAnsi="仿宋" w:eastAsia="仿宋_GB2312"/>
          <w:color w:val="000000"/>
          <w:sz w:val="32"/>
          <w:szCs w:val="32"/>
        </w:rPr>
      </w:pPr>
    </w:p>
    <w:p>
      <w:pPr>
        <w:pStyle w:val="2"/>
        <w:spacing w:line="600" w:lineRule="exact"/>
        <w:rPr>
          <w:rFonts w:ascii="仿宋_GB2312" w:hAnsi="仿宋" w:eastAsia="仿宋_GB2312"/>
          <w:color w:val="000000"/>
          <w:sz w:val="32"/>
          <w:szCs w:val="32"/>
        </w:rPr>
      </w:pPr>
    </w:p>
    <w:p>
      <w:pPr>
        <w:pStyle w:val="2"/>
        <w:spacing w:line="600" w:lineRule="exact"/>
        <w:rPr>
          <w:rFonts w:ascii="仿宋_GB2312" w:hAnsi="仿宋" w:eastAsia="仿宋_GB2312"/>
          <w:color w:val="000000"/>
          <w:sz w:val="32"/>
          <w:szCs w:val="32"/>
        </w:rPr>
      </w:pPr>
    </w:p>
    <w:p>
      <w:pPr>
        <w:pStyle w:val="2"/>
        <w:spacing w:line="600" w:lineRule="exact"/>
        <w:rPr>
          <w:rFonts w:ascii="仿宋_GB2312" w:hAnsi="仿宋" w:eastAsia="仿宋_GB2312"/>
          <w:color w:val="000000"/>
          <w:sz w:val="32"/>
          <w:szCs w:val="32"/>
        </w:rPr>
      </w:pPr>
    </w:p>
    <w:p>
      <w:pPr>
        <w:pStyle w:val="2"/>
        <w:spacing w:line="600" w:lineRule="exact"/>
        <w:jc w:val="center"/>
        <w:rPr>
          <w:rFonts w:hint="eastAsia" w:ascii="仿宋_GB2312" w:hAnsi="仿宋" w:eastAsia="仿宋_GB2312"/>
          <w:b/>
          <w:bCs/>
          <w:color w:val="000000"/>
          <w:sz w:val="32"/>
          <w:szCs w:val="32"/>
          <w:lang w:eastAsia="zh-CN"/>
        </w:rPr>
      </w:pPr>
      <w:r>
        <w:rPr>
          <w:rFonts w:hint="eastAsia" w:ascii="仿宋_GB2312" w:hAnsi="仿宋" w:eastAsia="仿宋_GB2312"/>
          <w:b/>
          <w:bCs/>
          <w:color w:val="000000"/>
          <w:sz w:val="32"/>
          <w:szCs w:val="32"/>
          <w:lang w:eastAsia="zh-CN"/>
        </w:rPr>
        <w:t>朝阳市生态环境局建平分局</w:t>
      </w:r>
    </w:p>
    <w:p>
      <w:pPr>
        <w:pStyle w:val="2"/>
        <w:spacing w:line="600" w:lineRule="exact"/>
        <w:jc w:val="center"/>
        <w:rPr>
          <w:rFonts w:ascii="仿宋_GB2312" w:hAnsi="仿宋" w:eastAsia="仿宋_GB2312"/>
          <w:b/>
          <w:bCs/>
          <w:color w:val="000000"/>
          <w:sz w:val="32"/>
          <w:szCs w:val="32"/>
        </w:rPr>
      </w:pPr>
      <w:r>
        <w:rPr>
          <w:rFonts w:hint="eastAsia" w:ascii="仿宋_GB2312" w:hAnsi="仿宋" w:eastAsia="仿宋_GB2312"/>
          <w:b/>
          <w:bCs/>
          <w:color w:val="000000"/>
          <w:sz w:val="32"/>
          <w:szCs w:val="32"/>
        </w:rPr>
        <w:t>二○二</w:t>
      </w:r>
      <w:r>
        <w:rPr>
          <w:rFonts w:hint="eastAsia" w:ascii="仿宋_GB2312" w:hAnsi="仿宋" w:eastAsia="仿宋_GB2312"/>
          <w:b/>
          <w:bCs/>
          <w:color w:val="000000"/>
          <w:sz w:val="32"/>
          <w:szCs w:val="32"/>
          <w:lang w:eastAsia="zh-CN"/>
        </w:rPr>
        <w:t>三</w:t>
      </w:r>
      <w:r>
        <w:rPr>
          <w:rFonts w:hint="eastAsia" w:ascii="仿宋_GB2312" w:hAnsi="仿宋" w:eastAsia="仿宋_GB2312"/>
          <w:b/>
          <w:bCs/>
          <w:color w:val="000000"/>
          <w:sz w:val="32"/>
          <w:szCs w:val="32"/>
        </w:rPr>
        <w:t>年</w:t>
      </w:r>
      <w:r>
        <w:rPr>
          <w:rFonts w:hint="eastAsia" w:ascii="仿宋_GB2312" w:hAnsi="仿宋" w:eastAsia="仿宋_GB2312"/>
          <w:b/>
          <w:bCs/>
          <w:color w:val="000000"/>
          <w:sz w:val="32"/>
          <w:szCs w:val="32"/>
          <w:lang w:eastAsia="zh-CN"/>
        </w:rPr>
        <w:t>六</w:t>
      </w:r>
      <w:r>
        <w:rPr>
          <w:rFonts w:hint="eastAsia" w:ascii="仿宋_GB2312" w:hAnsi="仿宋" w:eastAsia="仿宋_GB2312"/>
          <w:b/>
          <w:bCs/>
          <w:color w:val="000000"/>
          <w:sz w:val="32"/>
          <w:szCs w:val="32"/>
        </w:rPr>
        <w:t>月</w:t>
      </w:r>
    </w:p>
    <w:p>
      <w:pPr>
        <w:jc w:val="both"/>
        <w:rPr>
          <w:rFonts w:hint="eastAsia" w:ascii="仿宋_GB2312" w:eastAsia="仿宋_GB2312"/>
          <w:b/>
          <w:sz w:val="36"/>
          <w:szCs w:val="36"/>
        </w:rPr>
      </w:pPr>
    </w:p>
    <w:p>
      <w:pPr>
        <w:jc w:val="center"/>
        <w:rPr>
          <w:rFonts w:hint="eastAsia" w:ascii="仿宋_GB2312" w:eastAsia="仿宋_GB2312"/>
          <w:b/>
          <w:sz w:val="36"/>
          <w:szCs w:val="36"/>
        </w:rPr>
      </w:pPr>
    </w:p>
    <w:p>
      <w:pPr>
        <w:pStyle w:val="2"/>
        <w:rPr>
          <w:rFonts w:hint="eastAsia"/>
        </w:rPr>
      </w:pPr>
    </w:p>
    <w:p>
      <w:pPr>
        <w:rPr>
          <w:rFonts w:hint="eastAsia" w:ascii="仿宋_GB2312" w:eastAsia="仿宋_GB2312"/>
          <w:b/>
          <w:sz w:val="36"/>
          <w:szCs w:val="36"/>
        </w:rPr>
      </w:pPr>
    </w:p>
    <w:p>
      <w:pPr>
        <w:widowControl w:val="0"/>
        <w:wordWrap/>
        <w:adjustRightInd/>
        <w:snapToGrid/>
        <w:spacing w:before="0" w:after="0" w:line="450" w:lineRule="exact"/>
        <w:ind w:right="0" w:firstLine="0" w:firstLineChars="0"/>
        <w:jc w:val="center"/>
        <w:textAlignment w:val="auto"/>
        <w:outlineLvl w:val="9"/>
        <w:rPr>
          <w:rFonts w:hint="eastAsia" w:ascii="仿宋" w:hAnsi="仿宋" w:eastAsia="仿宋" w:cs="仿宋"/>
          <w:b/>
          <w:bCs w:val="0"/>
          <w:sz w:val="44"/>
          <w:szCs w:val="44"/>
        </w:rPr>
      </w:pPr>
      <w:r>
        <w:rPr>
          <w:rFonts w:hint="eastAsia" w:ascii="仿宋" w:hAnsi="仿宋" w:eastAsia="仿宋" w:cs="仿宋"/>
          <w:b/>
          <w:bCs w:val="0"/>
          <w:sz w:val="44"/>
          <w:szCs w:val="44"/>
          <w:lang w:eastAsia="zh-CN"/>
        </w:rPr>
        <w:t>目</w:t>
      </w:r>
      <w:r>
        <w:rPr>
          <w:rFonts w:hint="eastAsia" w:ascii="仿宋" w:hAnsi="仿宋" w:eastAsia="仿宋" w:cs="仿宋"/>
          <w:b/>
          <w:bCs w:val="0"/>
          <w:sz w:val="44"/>
          <w:szCs w:val="44"/>
          <w:lang w:val="en-US" w:eastAsia="zh-CN"/>
        </w:rPr>
        <w:t xml:space="preserve"> </w:t>
      </w:r>
      <w:r>
        <w:rPr>
          <w:rFonts w:hint="eastAsia" w:ascii="仿宋" w:hAnsi="仿宋" w:eastAsia="仿宋" w:cs="仿宋"/>
          <w:b/>
          <w:bCs w:val="0"/>
          <w:sz w:val="44"/>
          <w:szCs w:val="44"/>
          <w:lang w:eastAsia="zh-CN"/>
        </w:rPr>
        <w:t>录</w:t>
      </w:r>
    </w:p>
    <w:p>
      <w:pPr>
        <w:pStyle w:val="13"/>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TOC \o "1-2" \h  \u </w:instrText>
      </w:r>
      <w:r>
        <w:rPr>
          <w:rFonts w:hint="eastAsia" w:ascii="仿宋" w:hAnsi="仿宋" w:eastAsia="仿宋" w:cs="仿宋"/>
          <w:b/>
          <w:sz w:val="32"/>
          <w:szCs w:val="32"/>
        </w:rPr>
        <w:fldChar w:fldCharType="separate"/>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_Toc23671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第一章 总则</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_Toc23671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1</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_Toc26597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一、编制前言</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_Toc26597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1</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_Toc6584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二、指导思想</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_Toc6584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1</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_Toc18708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三、基本原则</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_Toc18708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_Toc26869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四、规划依据</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_Toc26869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3</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_Toc18984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五、规划范围</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_Toc18984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4</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_Toc17402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六、规划期限</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_Toc17402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4</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3"/>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_Toc7798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第二章 “十四五”生态环境保护的背景和基础</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_Toc7798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5</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_Toc5790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一、“十三五”时期工作回顾</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_Toc5790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5</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_Toc14590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二、“十四五”生态环境保护面临的形势</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_Toc14590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8</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3"/>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_Toc3136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第三章 规划目标</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_Toc3136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12</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_Toc4742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一、总体目标</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_Toc4742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12</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_Toc12807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二、具体指标</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_Toc12807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13</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3"/>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_Toc25916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第四章  生态环境保护重点任务</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_Toc25916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16</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_Toc23651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一、严格执行“三线一单”制度</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_Toc23651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16</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_Toc13005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二、积极应对气候变化</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_Toc13005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16</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_Toc29026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三、大气污染防治</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_Toc29026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18</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_Toc20437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四、水环境质量管控</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_Toc20437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23</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_Toc1747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五、提升声环境质量</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_Toc1747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27</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_Toc18441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六、强化固体废物分类安全处置</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_Toc18441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29</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_Toc31304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七、强化环境风险防控，筑牢环境安全防线</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_Toc31304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30</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sectPr>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start="1"/>
          <w:cols w:space="720" w:num="1"/>
          <w:docGrid w:type="lines" w:linePitch="312"/>
        </w:sectPr>
      </w:pP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_Toc18582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八、土壤环境风险防控</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_Toc18582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33</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_Toc6782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九、生态环境保护</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_Toc6782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35</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_Toc27264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十、加强环保能力建设</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_Toc27264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38</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3"/>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_Toc29878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第五章 规划保障</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_Toc29878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39</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_Toc17683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一、加强组织领导</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_Toc17683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39</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_Toc11764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二、加大投入力度</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_Toc11764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40</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_Toc12437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三、加强交流合作</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_Toc12437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42</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pStyle w:val="16"/>
        <w:tabs>
          <w:tab w:val="right" w:leader="dot" w:pos="8306"/>
        </w:tabs>
        <w:rPr>
          <w:rFonts w:ascii="Calibri" w:hAnsi="Calibri" w:eastAsia="宋体" w:cs="黑体"/>
          <w:kern w:val="2"/>
          <w:szCs w:val="24"/>
          <w:lang w:val="en-US" w:eastAsia="zh-CN" w:bidi="ar-SA"/>
        </w:rPr>
      </w:pP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_Toc20309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四、落实评估考核</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_Toc20309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42</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jc w:val="center"/>
        <w:outlineLvl w:val="0"/>
        <w:rPr>
          <w:rFonts w:hint="eastAsia" w:ascii="仿宋" w:hAnsi="仿宋" w:eastAsia="仿宋" w:cs="仿宋"/>
          <w:kern w:val="2"/>
          <w:szCs w:val="32"/>
          <w:lang w:val="en-US" w:eastAsia="zh-CN" w:bidi="ar-SA"/>
        </w:rPr>
      </w:pPr>
      <w:r>
        <w:rPr>
          <w:rFonts w:hint="eastAsia" w:ascii="仿宋" w:hAnsi="仿宋" w:eastAsia="仿宋" w:cs="仿宋"/>
          <w:kern w:val="2"/>
          <w:szCs w:val="32"/>
          <w:lang w:val="en-US" w:eastAsia="zh-CN" w:bidi="ar-SA"/>
        </w:rPr>
        <w:fldChar w:fldCharType="end"/>
      </w:r>
    </w:p>
    <w:p>
      <w:pPr>
        <w:jc w:val="center"/>
        <w:outlineLvl w:val="0"/>
        <w:rPr>
          <w:rFonts w:hint="eastAsia" w:ascii="仿宋" w:hAnsi="仿宋" w:eastAsia="仿宋" w:cs="仿宋"/>
          <w:kern w:val="2"/>
          <w:szCs w:val="32"/>
          <w:lang w:val="en-US" w:eastAsia="zh-CN" w:bidi="ar-SA"/>
        </w:rPr>
      </w:pPr>
    </w:p>
    <w:p>
      <w:pPr>
        <w:jc w:val="center"/>
        <w:outlineLvl w:val="0"/>
        <w:rPr>
          <w:rFonts w:hint="eastAsia" w:ascii="仿宋" w:hAnsi="仿宋" w:eastAsia="仿宋" w:cs="仿宋"/>
          <w:kern w:val="2"/>
          <w:szCs w:val="32"/>
          <w:lang w:val="en-US" w:eastAsia="zh-CN" w:bidi="ar-SA"/>
        </w:rPr>
      </w:pPr>
    </w:p>
    <w:p>
      <w:pPr>
        <w:jc w:val="center"/>
        <w:outlineLvl w:val="0"/>
        <w:rPr>
          <w:rFonts w:hint="eastAsia" w:ascii="仿宋" w:hAnsi="仿宋" w:eastAsia="仿宋" w:cs="仿宋"/>
          <w:kern w:val="2"/>
          <w:szCs w:val="32"/>
          <w:lang w:val="en-US" w:eastAsia="zh-CN" w:bidi="ar-SA"/>
        </w:rPr>
      </w:pPr>
    </w:p>
    <w:p>
      <w:pPr>
        <w:jc w:val="center"/>
        <w:outlineLvl w:val="0"/>
        <w:rPr>
          <w:rFonts w:hint="eastAsia" w:ascii="仿宋" w:hAnsi="仿宋" w:eastAsia="仿宋" w:cs="仿宋"/>
          <w:kern w:val="2"/>
          <w:szCs w:val="32"/>
          <w:lang w:val="en-US" w:eastAsia="zh-CN" w:bidi="ar-SA"/>
        </w:rPr>
      </w:pPr>
    </w:p>
    <w:p>
      <w:pPr>
        <w:jc w:val="center"/>
        <w:outlineLvl w:val="0"/>
        <w:rPr>
          <w:rFonts w:hint="eastAsia" w:ascii="仿宋" w:hAnsi="仿宋" w:eastAsia="仿宋" w:cs="仿宋"/>
          <w:kern w:val="2"/>
          <w:szCs w:val="32"/>
          <w:lang w:val="en-US" w:eastAsia="zh-CN" w:bidi="ar-SA"/>
        </w:rPr>
      </w:pPr>
    </w:p>
    <w:p>
      <w:pPr>
        <w:jc w:val="center"/>
        <w:outlineLvl w:val="0"/>
        <w:rPr>
          <w:rFonts w:hint="eastAsia" w:ascii="仿宋" w:hAnsi="仿宋" w:eastAsia="仿宋" w:cs="仿宋"/>
          <w:kern w:val="2"/>
          <w:szCs w:val="32"/>
          <w:lang w:val="en-US" w:eastAsia="zh-CN" w:bidi="ar-SA"/>
        </w:rPr>
      </w:pPr>
    </w:p>
    <w:p>
      <w:pPr>
        <w:jc w:val="center"/>
        <w:outlineLvl w:val="0"/>
        <w:rPr>
          <w:rFonts w:hint="eastAsia" w:ascii="仿宋" w:hAnsi="仿宋" w:eastAsia="仿宋" w:cs="仿宋"/>
          <w:kern w:val="2"/>
          <w:szCs w:val="32"/>
          <w:lang w:val="en-US" w:eastAsia="zh-CN" w:bidi="ar-SA"/>
        </w:rPr>
      </w:pPr>
    </w:p>
    <w:p>
      <w:pPr>
        <w:pStyle w:val="2"/>
        <w:rPr>
          <w:rFonts w:hint="eastAsia" w:ascii="仿宋" w:hAnsi="仿宋" w:eastAsia="仿宋" w:cs="仿宋"/>
          <w:kern w:val="2"/>
          <w:szCs w:val="32"/>
          <w:lang w:val="en-US" w:eastAsia="zh-CN" w:bidi="ar-SA"/>
        </w:rPr>
      </w:pPr>
    </w:p>
    <w:p>
      <w:pPr>
        <w:rPr>
          <w:rFonts w:hint="eastAsia" w:ascii="仿宋" w:hAnsi="仿宋" w:eastAsia="仿宋" w:cs="仿宋"/>
          <w:kern w:val="2"/>
          <w:szCs w:val="32"/>
          <w:lang w:val="en-US" w:eastAsia="zh-CN" w:bidi="ar-SA"/>
        </w:rPr>
      </w:pPr>
    </w:p>
    <w:p>
      <w:pPr>
        <w:pStyle w:val="2"/>
        <w:rPr>
          <w:rFonts w:hint="eastAsia" w:ascii="仿宋" w:hAnsi="仿宋" w:eastAsia="仿宋" w:cs="仿宋"/>
          <w:kern w:val="2"/>
          <w:szCs w:val="32"/>
          <w:lang w:val="en-US" w:eastAsia="zh-CN" w:bidi="ar-SA"/>
        </w:rPr>
      </w:pPr>
    </w:p>
    <w:p>
      <w:pPr>
        <w:rPr>
          <w:rFonts w:hint="eastAsia" w:ascii="仿宋" w:hAnsi="仿宋" w:eastAsia="仿宋" w:cs="仿宋"/>
          <w:kern w:val="2"/>
          <w:szCs w:val="32"/>
          <w:lang w:val="en-US" w:eastAsia="zh-CN" w:bidi="ar-SA"/>
        </w:rPr>
      </w:pPr>
    </w:p>
    <w:p>
      <w:pPr>
        <w:pStyle w:val="2"/>
        <w:rPr>
          <w:rFonts w:hint="eastAsia" w:ascii="仿宋" w:hAnsi="仿宋" w:eastAsia="仿宋" w:cs="仿宋"/>
          <w:kern w:val="2"/>
          <w:szCs w:val="32"/>
          <w:lang w:val="en-US" w:eastAsia="zh-CN" w:bidi="ar-SA"/>
        </w:rPr>
      </w:pPr>
    </w:p>
    <w:p>
      <w:pPr>
        <w:rPr>
          <w:rFonts w:hint="eastAsia" w:ascii="仿宋" w:hAnsi="仿宋" w:eastAsia="仿宋" w:cs="仿宋"/>
          <w:kern w:val="2"/>
          <w:szCs w:val="32"/>
          <w:lang w:val="en-US" w:eastAsia="zh-CN" w:bidi="ar-SA"/>
        </w:rPr>
      </w:pPr>
    </w:p>
    <w:p>
      <w:pPr>
        <w:pStyle w:val="2"/>
        <w:rPr>
          <w:rFonts w:hint="eastAsia" w:ascii="仿宋" w:hAnsi="仿宋" w:eastAsia="仿宋" w:cs="仿宋"/>
          <w:kern w:val="2"/>
          <w:szCs w:val="32"/>
          <w:lang w:val="en-US" w:eastAsia="zh-CN" w:bidi="ar-SA"/>
        </w:rPr>
      </w:pPr>
    </w:p>
    <w:p>
      <w:pPr>
        <w:rPr>
          <w:rFonts w:hint="eastAsia" w:ascii="仿宋" w:hAnsi="仿宋" w:eastAsia="仿宋" w:cs="仿宋"/>
          <w:kern w:val="2"/>
          <w:szCs w:val="32"/>
          <w:lang w:val="en-US" w:eastAsia="zh-CN" w:bidi="ar-SA"/>
        </w:rPr>
      </w:pPr>
    </w:p>
    <w:p>
      <w:pPr>
        <w:pStyle w:val="2"/>
        <w:rPr>
          <w:rFonts w:hint="eastAsia" w:ascii="仿宋" w:hAnsi="仿宋" w:eastAsia="仿宋" w:cs="仿宋"/>
          <w:kern w:val="2"/>
          <w:szCs w:val="32"/>
          <w:lang w:val="en-US" w:eastAsia="zh-CN" w:bidi="ar-SA"/>
        </w:rPr>
      </w:pPr>
    </w:p>
    <w:p>
      <w:pPr>
        <w:rPr>
          <w:rFonts w:hint="eastAsia" w:ascii="仿宋" w:hAnsi="仿宋" w:eastAsia="仿宋" w:cs="仿宋"/>
          <w:kern w:val="2"/>
          <w:szCs w:val="32"/>
          <w:lang w:val="en-US" w:eastAsia="zh-CN" w:bidi="ar-SA"/>
        </w:rPr>
      </w:pPr>
    </w:p>
    <w:p>
      <w:pPr>
        <w:pStyle w:val="2"/>
        <w:rPr>
          <w:rFonts w:hint="eastAsia" w:ascii="仿宋" w:hAnsi="仿宋" w:eastAsia="仿宋" w:cs="仿宋"/>
          <w:kern w:val="2"/>
          <w:szCs w:val="32"/>
          <w:lang w:val="en-US" w:eastAsia="zh-CN" w:bidi="ar-SA"/>
        </w:rPr>
      </w:pPr>
    </w:p>
    <w:p>
      <w:pPr>
        <w:rPr>
          <w:rFonts w:hint="eastAsia" w:ascii="仿宋" w:hAnsi="仿宋" w:eastAsia="仿宋" w:cs="仿宋"/>
          <w:kern w:val="2"/>
          <w:szCs w:val="32"/>
          <w:lang w:val="en-US" w:eastAsia="zh-CN" w:bidi="ar-SA"/>
        </w:rPr>
      </w:pPr>
    </w:p>
    <w:p>
      <w:pPr>
        <w:pStyle w:val="2"/>
        <w:rPr>
          <w:rFonts w:hint="eastAsia" w:ascii="仿宋" w:hAnsi="仿宋" w:eastAsia="仿宋" w:cs="仿宋"/>
          <w:kern w:val="2"/>
          <w:szCs w:val="32"/>
          <w:lang w:val="en-US" w:eastAsia="zh-CN" w:bidi="ar-SA"/>
        </w:rPr>
      </w:pPr>
    </w:p>
    <w:p>
      <w:pPr>
        <w:rPr>
          <w:rFonts w:hint="eastAsia" w:ascii="仿宋" w:hAnsi="仿宋" w:eastAsia="仿宋" w:cs="仿宋"/>
          <w:kern w:val="2"/>
          <w:szCs w:val="32"/>
          <w:lang w:val="en-US" w:eastAsia="zh-CN" w:bidi="ar-SA"/>
        </w:rPr>
      </w:pPr>
    </w:p>
    <w:p>
      <w:pPr>
        <w:pStyle w:val="2"/>
        <w:rPr>
          <w:rFonts w:hint="eastAsia" w:ascii="仿宋" w:hAnsi="仿宋" w:eastAsia="仿宋" w:cs="仿宋"/>
          <w:kern w:val="2"/>
          <w:szCs w:val="32"/>
          <w:lang w:val="en-US" w:eastAsia="zh-CN" w:bidi="ar-SA"/>
        </w:rPr>
      </w:pPr>
    </w:p>
    <w:p>
      <w:pPr>
        <w:rPr>
          <w:rFonts w:hint="eastAsia" w:ascii="仿宋" w:hAnsi="仿宋" w:eastAsia="仿宋" w:cs="仿宋"/>
          <w:kern w:val="2"/>
          <w:szCs w:val="32"/>
          <w:lang w:val="en-US" w:eastAsia="zh-CN" w:bidi="ar-SA"/>
        </w:rPr>
      </w:pPr>
    </w:p>
    <w:p>
      <w:pPr>
        <w:pStyle w:val="2"/>
        <w:rPr>
          <w:rFonts w:hint="eastAsia" w:ascii="仿宋" w:hAnsi="仿宋" w:eastAsia="仿宋" w:cs="仿宋"/>
          <w:kern w:val="2"/>
          <w:szCs w:val="32"/>
          <w:lang w:val="en-US" w:eastAsia="zh-CN" w:bidi="ar-SA"/>
        </w:rPr>
      </w:pPr>
    </w:p>
    <w:p>
      <w:pPr>
        <w:rPr>
          <w:rFonts w:hint="eastAsia" w:ascii="仿宋" w:hAnsi="仿宋" w:eastAsia="仿宋" w:cs="仿宋"/>
          <w:kern w:val="2"/>
          <w:szCs w:val="32"/>
          <w:lang w:val="en-US" w:eastAsia="zh-CN" w:bidi="ar-SA"/>
        </w:rPr>
      </w:pPr>
    </w:p>
    <w:p>
      <w:pPr>
        <w:pStyle w:val="2"/>
        <w:rPr>
          <w:rFonts w:hint="eastAsia" w:ascii="仿宋" w:hAnsi="仿宋" w:eastAsia="仿宋" w:cs="仿宋"/>
          <w:kern w:val="2"/>
          <w:szCs w:val="32"/>
          <w:lang w:val="en-US" w:eastAsia="zh-CN" w:bidi="ar-SA"/>
        </w:rPr>
      </w:pPr>
    </w:p>
    <w:p>
      <w:pPr>
        <w:rPr>
          <w:rFonts w:hint="eastAsia" w:ascii="仿宋" w:hAnsi="仿宋" w:eastAsia="仿宋" w:cs="仿宋"/>
          <w:kern w:val="2"/>
          <w:szCs w:val="32"/>
          <w:lang w:val="en-US" w:eastAsia="zh-CN" w:bidi="ar-SA"/>
        </w:rPr>
      </w:pPr>
    </w:p>
    <w:p>
      <w:pPr>
        <w:pStyle w:val="2"/>
        <w:rPr>
          <w:rFonts w:hint="eastAsia"/>
          <w:lang w:val="en-US" w:eastAsia="zh-CN"/>
        </w:rPr>
      </w:pPr>
    </w:p>
    <w:p>
      <w:pPr>
        <w:jc w:val="center"/>
        <w:outlineLvl w:val="0"/>
        <w:rPr>
          <w:rFonts w:hint="eastAsia" w:ascii="仿宋" w:hAnsi="仿宋" w:eastAsia="仿宋" w:cs="仿宋"/>
          <w:kern w:val="2"/>
          <w:szCs w:val="32"/>
          <w:lang w:val="en-US" w:eastAsia="zh-CN" w:bidi="ar-SA"/>
        </w:rPr>
      </w:pPr>
    </w:p>
    <w:p>
      <w:pPr>
        <w:jc w:val="center"/>
        <w:outlineLvl w:val="0"/>
        <w:rPr>
          <w:rFonts w:hint="eastAsia" w:ascii="仿宋" w:hAnsi="仿宋" w:eastAsia="仿宋" w:cs="仿宋"/>
          <w:b/>
          <w:sz w:val="44"/>
          <w:szCs w:val="44"/>
        </w:rPr>
        <w:sectPr>
          <w:footerReference r:id="rId5"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start="1"/>
          <w:cols w:space="720" w:num="1"/>
          <w:docGrid w:type="lines" w:linePitch="312"/>
        </w:sectPr>
      </w:pPr>
      <w:bookmarkStart w:id="0" w:name="_Toc23671"/>
    </w:p>
    <w:p>
      <w:pPr>
        <w:jc w:val="center"/>
        <w:outlineLvl w:val="0"/>
        <w:rPr>
          <w:rFonts w:hint="eastAsia" w:ascii="仿宋" w:hAnsi="仿宋" w:eastAsia="仿宋" w:cs="仿宋"/>
          <w:b/>
          <w:color w:val="auto"/>
          <w:sz w:val="44"/>
          <w:szCs w:val="44"/>
          <w:shd w:val="clear" w:color="auto" w:fill="auto"/>
        </w:rPr>
      </w:pPr>
      <w:r>
        <w:rPr>
          <w:rFonts w:hint="eastAsia" w:ascii="仿宋" w:hAnsi="仿宋" w:eastAsia="仿宋" w:cs="仿宋"/>
          <w:b/>
          <w:color w:val="auto"/>
          <w:sz w:val="44"/>
          <w:szCs w:val="44"/>
          <w:shd w:val="clear" w:color="auto" w:fill="auto"/>
        </w:rPr>
        <w:t>第一章 总则</w:t>
      </w:r>
      <w:bookmarkEnd w:id="0"/>
    </w:p>
    <w:p>
      <w:pPr>
        <w:pStyle w:val="2"/>
        <w:ind w:firstLine="643" w:firstLineChars="200"/>
        <w:outlineLvl w:val="1"/>
        <w:rPr>
          <w:rFonts w:ascii="仿宋" w:hAnsi="仿宋" w:eastAsia="仿宋" w:cs="仿宋"/>
          <w:color w:val="auto"/>
          <w:sz w:val="32"/>
          <w:szCs w:val="32"/>
          <w:shd w:val="clear" w:color="auto" w:fill="auto"/>
        </w:rPr>
      </w:pPr>
      <w:bookmarkStart w:id="1" w:name="_Toc26597"/>
      <w:r>
        <w:rPr>
          <w:rFonts w:hint="eastAsia" w:ascii="仿宋" w:hAnsi="仿宋" w:eastAsia="仿宋" w:cs="仿宋"/>
          <w:b/>
          <w:bCs/>
          <w:color w:val="auto"/>
          <w:sz w:val="32"/>
          <w:szCs w:val="32"/>
          <w:shd w:val="clear" w:color="auto" w:fill="auto"/>
        </w:rPr>
        <w:t>一、</w:t>
      </w:r>
      <w:r>
        <w:rPr>
          <w:rFonts w:hint="eastAsia" w:ascii="仿宋" w:hAnsi="仿宋" w:eastAsia="仿宋" w:cs="仿宋"/>
          <w:b/>
          <w:bCs/>
          <w:color w:val="auto"/>
          <w:sz w:val="32"/>
          <w:szCs w:val="32"/>
          <w:shd w:val="clear" w:color="auto" w:fill="auto"/>
          <w:lang w:eastAsia="zh-CN"/>
        </w:rPr>
        <w:t>编制前言</w:t>
      </w:r>
      <w:bookmarkEnd w:id="1"/>
    </w:p>
    <w:p>
      <w:pPr>
        <w:ind w:firstLine="800" w:firstLineChars="25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十四五”（2021-2025年）是全面建成小康社会、开启第二个百年奋斗目标新征程的第一个五年，也是深入贯彻落实习近平生态文明思想，是在打赢污染防治攻坚战的基础上，继续推进美丽中国建设的关键期。科学谋划“十四五”时期环境保护目标指标、重点任务和政策措施，对提高建平县环境质量，大力推进生态文明建设进程，开创环境保护工作新局面，实现建平经济持续快速健康发展和社会全面进步具有十分重大的意义。坚持“绿水青山就是金山银山”的绿色发展理念，巩固污染防治攻坚战治理成果，改善区域生态环境质量,完善生态环境治理体系，推进生态文明建设，建设美丽新建平。</w:t>
      </w:r>
    </w:p>
    <w:p>
      <w:pPr>
        <w:ind w:firstLine="800" w:firstLineChars="250"/>
        <w:rPr>
          <w:rFonts w:ascii="仿宋" w:hAnsi="仿宋" w:eastAsia="仿宋" w:cs="仿宋"/>
          <w:color w:val="auto"/>
          <w:sz w:val="32"/>
          <w:szCs w:val="32"/>
        </w:rPr>
      </w:pPr>
      <w:bookmarkStart w:id="57" w:name="_GoBack"/>
      <w:r>
        <w:rPr>
          <w:rFonts w:hint="eastAsia" w:ascii="仿宋" w:hAnsi="仿宋" w:eastAsia="仿宋" w:cs="仿宋"/>
          <w:color w:val="auto"/>
          <w:sz w:val="32"/>
          <w:szCs w:val="32"/>
        </w:rPr>
        <w:t>本规划提出的目标与措施</w:t>
      </w:r>
      <w:r>
        <w:rPr>
          <w:rFonts w:hint="eastAsia" w:ascii="仿宋" w:hAnsi="仿宋" w:eastAsia="仿宋" w:cs="仿宋"/>
          <w:color w:val="auto"/>
          <w:sz w:val="32"/>
          <w:szCs w:val="32"/>
          <w:lang w:eastAsia="zh-CN"/>
        </w:rPr>
        <w:t>将</w:t>
      </w:r>
      <w:r>
        <w:rPr>
          <w:rFonts w:hint="eastAsia" w:ascii="仿宋" w:hAnsi="仿宋" w:eastAsia="仿宋" w:cs="仿宋"/>
          <w:color w:val="auto"/>
          <w:sz w:val="32"/>
          <w:szCs w:val="32"/>
        </w:rPr>
        <w:t>纳入《建平县国民经济和社会发展第十四个五年规划纲要》中统一协调实施。同时本规划为开放性规划，</w:t>
      </w:r>
      <w:r>
        <w:rPr>
          <w:rFonts w:hint="eastAsia" w:ascii="仿宋" w:hAnsi="仿宋" w:eastAsia="仿宋" w:cs="仿宋"/>
          <w:color w:val="auto"/>
          <w:sz w:val="32"/>
          <w:szCs w:val="32"/>
          <w:lang w:eastAsia="zh-CN"/>
        </w:rPr>
        <w:t>在适合的时候</w:t>
      </w:r>
      <w:r>
        <w:rPr>
          <w:rFonts w:hint="eastAsia" w:ascii="仿宋" w:hAnsi="仿宋" w:eastAsia="仿宋" w:cs="仿宋"/>
          <w:color w:val="auto"/>
          <w:sz w:val="32"/>
          <w:szCs w:val="32"/>
        </w:rPr>
        <w:t>应开展中期评估，根据实际情况适当调整规划的工程与措施。</w:t>
      </w:r>
    </w:p>
    <w:p>
      <w:pPr>
        <w:pStyle w:val="25"/>
        <w:ind w:firstLine="643"/>
        <w:outlineLvl w:val="1"/>
        <w:rPr>
          <w:rFonts w:ascii="仿宋" w:hAnsi="仿宋" w:eastAsia="仿宋" w:cs="仿宋"/>
          <w:b/>
          <w:bCs/>
          <w:color w:val="auto"/>
          <w:sz w:val="32"/>
          <w:szCs w:val="32"/>
        </w:rPr>
      </w:pPr>
      <w:bookmarkStart w:id="2" w:name="_Toc6584"/>
      <w:r>
        <w:rPr>
          <w:rFonts w:hint="eastAsia" w:ascii="仿宋" w:hAnsi="仿宋" w:eastAsia="仿宋" w:cs="仿宋"/>
          <w:b/>
          <w:bCs/>
          <w:color w:val="auto"/>
          <w:sz w:val="32"/>
          <w:szCs w:val="32"/>
        </w:rPr>
        <w:t>二、</w:t>
      </w:r>
      <w:r>
        <w:rPr>
          <w:rFonts w:hint="eastAsia" w:ascii="仿宋" w:hAnsi="仿宋" w:eastAsia="仿宋" w:cs="仿宋"/>
          <w:b/>
          <w:bCs/>
          <w:color w:val="auto"/>
          <w:sz w:val="32"/>
          <w:szCs w:val="32"/>
          <w:lang w:eastAsia="zh-CN"/>
        </w:rPr>
        <w:t>指导</w:t>
      </w:r>
      <w:r>
        <w:rPr>
          <w:rFonts w:hint="eastAsia" w:ascii="仿宋" w:hAnsi="仿宋" w:eastAsia="仿宋" w:cs="仿宋"/>
          <w:b/>
          <w:bCs/>
          <w:color w:val="auto"/>
          <w:sz w:val="32"/>
          <w:szCs w:val="32"/>
        </w:rPr>
        <w:t>思想</w:t>
      </w:r>
      <w:bookmarkEnd w:id="2"/>
    </w:p>
    <w:p>
      <w:pPr>
        <w:ind w:firstLine="640"/>
        <w:rPr>
          <w:rFonts w:ascii="仿宋" w:hAnsi="仿宋" w:eastAsia="仿宋" w:cs="仿宋"/>
          <w:b/>
          <w:bCs/>
          <w:color w:val="auto"/>
          <w:sz w:val="32"/>
          <w:szCs w:val="32"/>
        </w:rPr>
      </w:pPr>
      <w:r>
        <w:rPr>
          <w:rFonts w:hint="eastAsia" w:ascii="仿宋" w:hAnsi="仿宋" w:eastAsia="仿宋" w:cs="仿宋"/>
          <w:color w:val="auto"/>
          <w:sz w:val="32"/>
          <w:szCs w:val="32"/>
        </w:rPr>
        <w:t>坚持以习近平新时代中国特色社会主义思想为指导，全面贯彻党的十九大和十九届二中、三中、四中全会精神，深入贯彻习近平生态文明思想，正确处理发展与保护之间的关系，实现与高质量发展相匹配的高水平生态环境保护。</w:t>
      </w:r>
      <w:r>
        <w:rPr>
          <w:rFonts w:hint="default" w:ascii="仿宋" w:hAnsi="仿宋" w:eastAsia="仿宋" w:cs="仿宋"/>
          <w:color w:val="auto"/>
          <w:sz w:val="32"/>
          <w:szCs w:val="32"/>
          <w:lang w:eastAsia="zh-CN"/>
        </w:rPr>
        <w:t>统筹推进“五位一体”总体布局、协调推进“四个全面”战略布局</w:t>
      </w:r>
      <w:r>
        <w:rPr>
          <w:rFonts w:hint="eastAsia" w:ascii="仿宋" w:hAnsi="仿宋" w:eastAsia="仿宋" w:cs="仿宋"/>
          <w:color w:val="auto"/>
          <w:sz w:val="32"/>
          <w:szCs w:val="32"/>
          <w:lang w:eastAsia="zh-CN"/>
        </w:rPr>
        <w:t>。在</w:t>
      </w:r>
      <w:r>
        <w:rPr>
          <w:rFonts w:hint="default" w:ascii="仿宋" w:hAnsi="仿宋" w:eastAsia="仿宋" w:cs="仿宋"/>
          <w:color w:val="auto"/>
          <w:sz w:val="32"/>
          <w:szCs w:val="32"/>
        </w:rPr>
        <w:t>推进经济建设、政治建设、文化建设、社会建设、生态文明建设</w:t>
      </w:r>
      <w:r>
        <w:rPr>
          <w:rFonts w:hint="eastAsia" w:ascii="仿宋" w:hAnsi="仿宋" w:eastAsia="仿宋" w:cs="仿宋"/>
          <w:color w:val="auto"/>
          <w:sz w:val="32"/>
          <w:szCs w:val="32"/>
          <w:lang w:eastAsia="zh-CN"/>
        </w:rPr>
        <w:t>过程中，</w:t>
      </w:r>
      <w:r>
        <w:rPr>
          <w:rFonts w:hint="eastAsia" w:ascii="仿宋" w:hAnsi="仿宋" w:eastAsia="仿宋" w:cs="仿宋"/>
          <w:color w:val="auto"/>
          <w:sz w:val="32"/>
          <w:szCs w:val="32"/>
        </w:rPr>
        <w:t>坚持以人民为中心的发展思想，以推动结构调整和高质量发展为主线，以改善生态环境质量为核心，建立生态环境分区管控体系，大力提高生态环境监管能力和水平，全方位提升生态环境治理和风险防控水平，积极推进生态环境治理体系和治理能力现代化，为打造生态宜居美丽新建平</w:t>
      </w:r>
      <w:r>
        <w:rPr>
          <w:rFonts w:hint="eastAsia" w:ascii="仿宋" w:hAnsi="仿宋" w:eastAsia="仿宋" w:cs="仿宋"/>
          <w:color w:val="auto"/>
          <w:sz w:val="32"/>
          <w:szCs w:val="32"/>
          <w:lang w:eastAsia="zh-CN"/>
        </w:rPr>
        <w:t>奠定</w:t>
      </w:r>
      <w:r>
        <w:rPr>
          <w:rFonts w:hint="eastAsia" w:ascii="仿宋" w:hAnsi="仿宋" w:eastAsia="仿宋" w:cs="仿宋"/>
          <w:color w:val="auto"/>
          <w:sz w:val="32"/>
          <w:szCs w:val="32"/>
        </w:rPr>
        <w:t>坚实基础。</w:t>
      </w:r>
    </w:p>
    <w:p>
      <w:pPr>
        <w:pStyle w:val="25"/>
        <w:ind w:firstLine="643"/>
        <w:outlineLvl w:val="1"/>
        <w:rPr>
          <w:rFonts w:hint="eastAsia" w:ascii="仿宋" w:hAnsi="仿宋" w:eastAsia="仿宋" w:cs="仿宋"/>
          <w:b/>
          <w:bCs/>
          <w:color w:val="auto"/>
          <w:sz w:val="32"/>
          <w:szCs w:val="32"/>
        </w:rPr>
      </w:pPr>
      <w:bookmarkStart w:id="3" w:name="_Toc18708"/>
      <w:r>
        <w:rPr>
          <w:rFonts w:hint="eastAsia" w:ascii="仿宋" w:hAnsi="仿宋" w:eastAsia="仿宋" w:cs="仿宋"/>
          <w:b/>
          <w:bCs/>
          <w:color w:val="auto"/>
          <w:sz w:val="32"/>
          <w:szCs w:val="32"/>
        </w:rPr>
        <w:t>三、基本原则</w:t>
      </w:r>
      <w:bookmarkEnd w:id="3"/>
    </w:p>
    <w:p>
      <w:pPr>
        <w:pStyle w:val="25"/>
        <w:ind w:firstLine="643"/>
        <w:rPr>
          <w:rFonts w:ascii="仿宋" w:hAnsi="仿宋" w:eastAsia="仿宋" w:cs="仿宋"/>
          <w:b/>
          <w:bCs/>
          <w:color w:val="auto"/>
          <w:sz w:val="32"/>
          <w:szCs w:val="32"/>
        </w:rPr>
      </w:pPr>
      <w:r>
        <w:rPr>
          <w:rFonts w:hint="eastAsia" w:ascii="仿宋" w:hAnsi="仿宋" w:eastAsia="仿宋" w:cs="仿宋"/>
          <w:b/>
          <w:bCs/>
          <w:color w:val="auto"/>
          <w:sz w:val="32"/>
          <w:szCs w:val="32"/>
        </w:rPr>
        <w:t>（一）坚持可持续发展的原则</w:t>
      </w:r>
    </w:p>
    <w:p>
      <w:pPr>
        <w:pStyle w:val="25"/>
        <w:ind w:firstLine="640"/>
        <w:rPr>
          <w:rFonts w:ascii="仿宋" w:hAnsi="仿宋" w:eastAsia="仿宋" w:cs="仿宋"/>
          <w:color w:val="auto"/>
          <w:sz w:val="32"/>
          <w:szCs w:val="32"/>
        </w:rPr>
      </w:pPr>
      <w:r>
        <w:rPr>
          <w:rFonts w:hint="eastAsia" w:ascii="仿宋" w:hAnsi="仿宋" w:eastAsia="仿宋" w:cs="仿宋"/>
          <w:color w:val="auto"/>
          <w:sz w:val="32"/>
          <w:szCs w:val="32"/>
        </w:rPr>
        <w:t>统筹“五位一体”总体布局和“四个全面”战略布局，加快补齐生态文明建设短板，着力推动生态环境建设实现根本性好转</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实行节约优先、保护优先、自然恢复为主的方针。以政府管理为主导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环境权益为核心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市场利益为牵引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企业治理为主体，覆盖污染防治、生态保护等领域，实现</w:t>
      </w:r>
      <w:r>
        <w:rPr>
          <w:rFonts w:hint="eastAsia" w:ascii="仿宋" w:hAnsi="仿宋" w:eastAsia="仿宋" w:cs="仿宋"/>
          <w:color w:val="auto"/>
          <w:sz w:val="32"/>
          <w:szCs w:val="32"/>
          <w:lang w:eastAsia="zh-CN"/>
        </w:rPr>
        <w:t>全社会</w:t>
      </w:r>
      <w:r>
        <w:rPr>
          <w:rFonts w:hint="eastAsia" w:ascii="仿宋" w:hAnsi="仿宋" w:eastAsia="仿宋" w:cs="仿宋"/>
          <w:color w:val="auto"/>
          <w:sz w:val="32"/>
          <w:szCs w:val="32"/>
        </w:rPr>
        <w:t>绿色、低碳、循环发展。</w:t>
      </w:r>
    </w:p>
    <w:p>
      <w:pPr>
        <w:pStyle w:val="25"/>
        <w:ind w:firstLine="643"/>
        <w:rPr>
          <w:rFonts w:ascii="仿宋" w:hAnsi="仿宋" w:eastAsia="仿宋" w:cs="仿宋"/>
          <w:b/>
          <w:bCs/>
          <w:color w:val="auto"/>
          <w:sz w:val="32"/>
          <w:szCs w:val="32"/>
        </w:rPr>
      </w:pPr>
      <w:r>
        <w:rPr>
          <w:rFonts w:hint="eastAsia" w:ascii="仿宋" w:hAnsi="仿宋" w:eastAsia="仿宋" w:cs="仿宋"/>
          <w:b/>
          <w:bCs/>
          <w:color w:val="auto"/>
          <w:sz w:val="32"/>
          <w:szCs w:val="32"/>
        </w:rPr>
        <w:t>（二）坚持依法行政的原则</w:t>
      </w:r>
    </w:p>
    <w:p>
      <w:pPr>
        <w:pStyle w:val="25"/>
        <w:ind w:firstLine="640"/>
        <w:rPr>
          <w:rFonts w:ascii="仿宋" w:hAnsi="仿宋" w:eastAsia="仿宋" w:cs="仿宋"/>
          <w:color w:val="auto"/>
          <w:sz w:val="32"/>
          <w:szCs w:val="32"/>
        </w:rPr>
      </w:pPr>
      <w:r>
        <w:rPr>
          <w:rFonts w:hint="eastAsia" w:ascii="仿宋" w:hAnsi="仿宋" w:eastAsia="仿宋" w:cs="仿宋"/>
          <w:color w:val="auto"/>
          <w:sz w:val="32"/>
          <w:szCs w:val="32"/>
        </w:rPr>
        <w:t>坚持依法行政，不断完善环境法律法规，严格环境执法；突出预防为主的方针，从源头防治污染和生态破坏，运用法律、经济、技术和必要的行政手段解决环境问题。</w:t>
      </w:r>
    </w:p>
    <w:p>
      <w:pPr>
        <w:pStyle w:val="25"/>
        <w:ind w:firstLine="643"/>
        <w:rPr>
          <w:rFonts w:ascii="仿宋" w:hAnsi="仿宋" w:eastAsia="仿宋" w:cs="仿宋"/>
          <w:b/>
          <w:bCs/>
          <w:color w:val="auto"/>
          <w:sz w:val="32"/>
          <w:szCs w:val="32"/>
        </w:rPr>
      </w:pPr>
      <w:r>
        <w:rPr>
          <w:rFonts w:hint="eastAsia" w:ascii="仿宋" w:hAnsi="仿宋" w:eastAsia="仿宋" w:cs="仿宋"/>
          <w:b/>
          <w:bCs/>
          <w:color w:val="auto"/>
          <w:sz w:val="32"/>
          <w:szCs w:val="32"/>
        </w:rPr>
        <w:t>（三）坚持绿色发展的原则</w:t>
      </w:r>
    </w:p>
    <w:p>
      <w:pPr>
        <w:pStyle w:val="25"/>
        <w:ind w:firstLine="640"/>
        <w:rPr>
          <w:rFonts w:ascii="仿宋" w:hAnsi="仿宋" w:eastAsia="仿宋" w:cs="仿宋"/>
          <w:color w:val="auto"/>
          <w:sz w:val="32"/>
          <w:szCs w:val="32"/>
        </w:rPr>
      </w:pPr>
      <w:r>
        <w:rPr>
          <w:rFonts w:hint="eastAsia" w:ascii="仿宋" w:hAnsi="仿宋" w:eastAsia="仿宋" w:cs="仿宋"/>
          <w:color w:val="auto"/>
          <w:sz w:val="32"/>
          <w:szCs w:val="32"/>
        </w:rPr>
        <w:t>坚持“绿水青山就是金山银山”，坚持调整优化结构和强化创新驱动相结合，坚持节约资源和保护环境相结合，坚持源头控制与工程治理相结合，大力推动经济绿色、低碳、循环发展，强化节能减排和生态红线的刚性约束，倒逼产业转型升级，严格控制污染物排放总量，做到增产不增污，努力实现增产减污。</w:t>
      </w:r>
    </w:p>
    <w:p>
      <w:pPr>
        <w:pStyle w:val="25"/>
        <w:ind w:firstLine="643"/>
        <w:rPr>
          <w:rFonts w:ascii="仿宋" w:hAnsi="仿宋" w:eastAsia="仿宋" w:cs="仿宋"/>
          <w:b/>
          <w:bCs/>
          <w:color w:val="auto"/>
          <w:sz w:val="32"/>
          <w:szCs w:val="32"/>
        </w:rPr>
      </w:pPr>
      <w:r>
        <w:rPr>
          <w:rFonts w:hint="eastAsia" w:ascii="仿宋" w:hAnsi="仿宋" w:eastAsia="仿宋" w:cs="仿宋"/>
          <w:b/>
          <w:bCs/>
          <w:color w:val="auto"/>
          <w:sz w:val="32"/>
          <w:szCs w:val="32"/>
        </w:rPr>
        <w:t>（四）坚持分类指导的原则</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因地制宜，分区规划，统筹城乡发展，</w:t>
      </w:r>
      <w:r>
        <w:rPr>
          <w:rFonts w:hint="default" w:ascii="仿宋" w:hAnsi="仿宋" w:eastAsia="仿宋" w:cs="仿宋"/>
          <w:color w:val="auto"/>
          <w:sz w:val="32"/>
          <w:szCs w:val="32"/>
        </w:rPr>
        <w:t>依据“分类指导,突出重点”的基本原则,分阶段解决制约经济发展和群众反映强烈的环境问题</w:t>
      </w:r>
      <w:r>
        <w:rPr>
          <w:rFonts w:hint="eastAsia" w:ascii="仿宋" w:hAnsi="仿宋" w:eastAsia="仿宋" w:cs="仿宋"/>
          <w:color w:val="auto"/>
          <w:sz w:val="32"/>
          <w:szCs w:val="32"/>
        </w:rPr>
        <w:t>，改善重点流域、区域的环境质量。</w:t>
      </w:r>
    </w:p>
    <w:p>
      <w:pPr>
        <w:pStyle w:val="25"/>
        <w:ind w:firstLine="643"/>
        <w:rPr>
          <w:rFonts w:ascii="仿宋" w:hAnsi="仿宋" w:eastAsia="仿宋" w:cs="仿宋"/>
          <w:b/>
          <w:bCs/>
          <w:color w:val="auto"/>
          <w:sz w:val="32"/>
          <w:szCs w:val="32"/>
        </w:rPr>
      </w:pPr>
      <w:r>
        <w:rPr>
          <w:rFonts w:hint="eastAsia" w:ascii="仿宋" w:hAnsi="仿宋" w:eastAsia="仿宋" w:cs="仿宋"/>
          <w:b/>
          <w:bCs/>
          <w:color w:val="auto"/>
          <w:sz w:val="32"/>
          <w:szCs w:val="32"/>
        </w:rPr>
        <w:t>（五）坚持</w:t>
      </w:r>
      <w:r>
        <w:rPr>
          <w:rFonts w:hint="eastAsia" w:ascii="仿宋" w:hAnsi="仿宋" w:eastAsia="仿宋" w:cs="仿宋"/>
          <w:b/>
          <w:bCs/>
          <w:color w:val="auto"/>
          <w:sz w:val="32"/>
          <w:szCs w:val="32"/>
          <w:lang w:eastAsia="zh-CN"/>
        </w:rPr>
        <w:t>问题导向</w:t>
      </w:r>
      <w:r>
        <w:rPr>
          <w:rFonts w:hint="eastAsia" w:ascii="仿宋" w:hAnsi="仿宋" w:eastAsia="仿宋" w:cs="仿宋"/>
          <w:b/>
          <w:bCs/>
          <w:color w:val="auto"/>
          <w:sz w:val="32"/>
          <w:szCs w:val="32"/>
        </w:rPr>
        <w:t>的原则</w:t>
      </w:r>
    </w:p>
    <w:p>
      <w:pPr>
        <w:pStyle w:val="25"/>
        <w:ind w:firstLine="640"/>
        <w:rPr>
          <w:rFonts w:ascii="仿宋" w:hAnsi="仿宋" w:eastAsia="仿宋" w:cs="仿宋"/>
          <w:color w:val="auto"/>
          <w:sz w:val="32"/>
          <w:szCs w:val="32"/>
        </w:rPr>
      </w:pPr>
      <w:r>
        <w:rPr>
          <w:rFonts w:hint="eastAsia" w:ascii="仿宋" w:hAnsi="仿宋" w:eastAsia="仿宋" w:cs="仿宋"/>
          <w:color w:val="auto"/>
          <w:sz w:val="32"/>
          <w:szCs w:val="32"/>
        </w:rPr>
        <w:t>坚持精细化管理思路，充分考虑各区域的发展定位、产业结构、城镇化建设等方面的差异，以解决群众反映强烈焦点问题和整治大气、水环境、土壤、生态方面突出问题为抓手，强化针对性、差异化的精准治理，带动区域环境保护水平整体提升。</w:t>
      </w:r>
    </w:p>
    <w:p>
      <w:pPr>
        <w:pStyle w:val="25"/>
        <w:ind w:firstLine="643"/>
        <w:rPr>
          <w:rFonts w:ascii="仿宋" w:hAnsi="仿宋" w:eastAsia="仿宋" w:cs="仿宋"/>
          <w:b/>
          <w:bCs/>
          <w:color w:val="auto"/>
          <w:sz w:val="32"/>
          <w:szCs w:val="32"/>
        </w:rPr>
      </w:pPr>
      <w:r>
        <w:rPr>
          <w:rFonts w:hint="eastAsia" w:ascii="仿宋" w:hAnsi="仿宋" w:eastAsia="仿宋" w:cs="仿宋"/>
          <w:b/>
          <w:bCs/>
          <w:color w:val="auto"/>
          <w:sz w:val="32"/>
          <w:szCs w:val="32"/>
        </w:rPr>
        <w:t>（六）坚持共建共治的原则</w:t>
      </w:r>
    </w:p>
    <w:p>
      <w:pPr>
        <w:pStyle w:val="25"/>
        <w:ind w:firstLine="640"/>
        <w:rPr>
          <w:rFonts w:ascii="仿宋" w:hAnsi="仿宋" w:eastAsia="仿宋" w:cs="仿宋"/>
          <w:color w:val="auto"/>
          <w:sz w:val="32"/>
          <w:szCs w:val="32"/>
        </w:rPr>
      </w:pPr>
      <w:r>
        <w:rPr>
          <w:rFonts w:hint="eastAsia" w:ascii="仿宋" w:hAnsi="仿宋" w:eastAsia="仿宋" w:cs="仿宋"/>
          <w:color w:val="auto"/>
          <w:sz w:val="32"/>
          <w:szCs w:val="32"/>
          <w:lang w:eastAsia="zh-CN"/>
        </w:rPr>
        <w:t>深入学习贯彻习近平生态文明思想</w:t>
      </w:r>
      <w:r>
        <w:rPr>
          <w:rFonts w:hint="eastAsia" w:ascii="仿宋" w:hAnsi="仿宋" w:eastAsia="仿宋" w:cs="仿宋"/>
          <w:color w:val="auto"/>
          <w:sz w:val="32"/>
          <w:szCs w:val="32"/>
        </w:rPr>
        <w:t>，落实生态保护“党政同责”“一岗双责”理念，不断强化党委领导责任、政府主体责任、行业主管责任、企业直接责任、环保监管责任和司法制裁责任的总体要求，厘清各方职责，积极引导公众参与，形成共建共治的强大合力。</w:t>
      </w:r>
    </w:p>
    <w:p>
      <w:pPr>
        <w:ind w:firstLine="723" w:firstLineChars="200"/>
        <w:outlineLvl w:val="1"/>
        <w:rPr>
          <w:rFonts w:ascii="仿宋" w:hAnsi="仿宋" w:eastAsia="仿宋" w:cs="仿宋"/>
          <w:b/>
          <w:bCs/>
          <w:color w:val="auto"/>
          <w:sz w:val="36"/>
          <w:szCs w:val="36"/>
        </w:rPr>
      </w:pPr>
      <w:bookmarkStart w:id="4" w:name="_Toc26869"/>
      <w:r>
        <w:rPr>
          <w:rFonts w:hint="eastAsia" w:ascii="仿宋" w:hAnsi="仿宋" w:eastAsia="仿宋" w:cs="仿宋"/>
          <w:b/>
          <w:bCs/>
          <w:color w:val="auto"/>
          <w:sz w:val="32"/>
          <w:szCs w:val="32"/>
        </w:rPr>
        <w:t>四、规划依据</w:t>
      </w:r>
      <w:bookmarkEnd w:id="4"/>
    </w:p>
    <w:p>
      <w:pPr>
        <w:widowControl/>
        <w:ind w:firstLine="62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《中华人民共和国环境保护法》（2014年修订）</w:t>
      </w:r>
    </w:p>
    <w:p>
      <w:pPr>
        <w:widowControl/>
        <w:ind w:firstLine="62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《中华人民共和国水污染防治法》（2017年修正）</w:t>
      </w:r>
    </w:p>
    <w:p>
      <w:pPr>
        <w:widowControl/>
        <w:ind w:firstLine="62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《中华人民共和国大气污染防治法》（2018年修正）</w:t>
      </w:r>
    </w:p>
    <w:p>
      <w:pPr>
        <w:widowControl/>
        <w:ind w:firstLine="62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《中华人民共和国噪声污染防治法》（2021年修正）</w:t>
      </w:r>
    </w:p>
    <w:p>
      <w:pPr>
        <w:widowControl/>
        <w:ind w:firstLine="62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《中华人民共和国固体废物污染环境防治法》（2020年修订）</w:t>
      </w:r>
    </w:p>
    <w:p>
      <w:pPr>
        <w:widowControl/>
        <w:ind w:firstLine="62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《中华人民共和国土壤污染防治法》（2019年）</w:t>
      </w:r>
    </w:p>
    <w:p>
      <w:pPr>
        <w:widowControl/>
        <w:ind w:firstLine="62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《中华人民共和国放射性污染防治法》（2003年）</w:t>
      </w:r>
    </w:p>
    <w:p>
      <w:pPr>
        <w:widowControl/>
        <w:ind w:firstLine="62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《中华人民共和国环境影响评价法》（2018年修正）</w:t>
      </w:r>
    </w:p>
    <w:p>
      <w:pPr>
        <w:widowControl/>
        <w:ind w:firstLine="62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《国务院关于印发水污染防治行动计划的通知》（国发〔2015〕17号）</w:t>
      </w:r>
    </w:p>
    <w:p>
      <w:pPr>
        <w:widowControl/>
        <w:ind w:firstLine="62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《国务院关于印发土壤污染防治行动计划的通知》（国发〔2016〕31号）</w:t>
      </w:r>
    </w:p>
    <w:p>
      <w:pPr>
        <w:pStyle w:val="2"/>
        <w:ind w:firstLine="62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《朝阳市“十四五”生态环境保护规划》</w:t>
      </w:r>
    </w:p>
    <w:p>
      <w:pPr>
        <w:widowControl/>
        <w:ind w:firstLine="62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国家、省、市相关法律、法规与其他相关规划； </w:t>
      </w:r>
    </w:p>
    <w:p>
      <w:pPr>
        <w:widowControl/>
        <w:ind w:firstLine="62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国务院、省委省政府、市委市政府、县委县政府关于建平县发展的相关要求及政策文件。 </w:t>
      </w:r>
    </w:p>
    <w:p>
      <w:pPr>
        <w:ind w:firstLine="723" w:firstLineChars="200"/>
        <w:outlineLvl w:val="1"/>
        <w:rPr>
          <w:rFonts w:ascii="仿宋" w:hAnsi="仿宋" w:eastAsia="仿宋" w:cs="仿宋"/>
          <w:b/>
          <w:bCs/>
          <w:color w:val="auto"/>
          <w:sz w:val="36"/>
          <w:szCs w:val="36"/>
        </w:rPr>
      </w:pPr>
      <w:bookmarkStart w:id="5" w:name="_Toc18984"/>
      <w:r>
        <w:rPr>
          <w:rFonts w:hint="eastAsia" w:ascii="仿宋" w:hAnsi="仿宋" w:eastAsia="仿宋" w:cs="仿宋"/>
          <w:b/>
          <w:bCs/>
          <w:color w:val="auto"/>
          <w:sz w:val="32"/>
          <w:szCs w:val="32"/>
        </w:rPr>
        <w:t>五、规划范围</w:t>
      </w:r>
      <w:bookmarkEnd w:id="5"/>
      <w:r>
        <w:rPr>
          <w:rFonts w:hint="eastAsia" w:ascii="仿宋" w:hAnsi="仿宋" w:eastAsia="仿宋" w:cs="仿宋"/>
          <w:b/>
          <w:bCs/>
          <w:color w:val="auto"/>
          <w:sz w:val="36"/>
          <w:szCs w:val="36"/>
        </w:rPr>
        <w:t xml:space="preserve"> </w:t>
      </w:r>
    </w:p>
    <w:p>
      <w:pPr>
        <w:widowControl/>
        <w:ind w:firstLine="62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规划范围为县域全部，包括4个街道、24个乡镇、2个国营农场</w:t>
      </w:r>
      <w:r>
        <w:rPr>
          <w:rFonts w:hint="eastAsia" w:ascii="仿宋" w:hAnsi="仿宋" w:eastAsia="仿宋" w:cs="仿宋"/>
          <w:color w:val="auto"/>
          <w:kern w:val="0"/>
          <w:sz w:val="32"/>
          <w:szCs w:val="32"/>
          <w:lang w:eastAsia="zh-CN"/>
        </w:rPr>
        <w:t>，共</w:t>
      </w:r>
      <w:r>
        <w:rPr>
          <w:rFonts w:hint="eastAsia" w:ascii="仿宋" w:hAnsi="仿宋" w:eastAsia="仿宋" w:cs="仿宋"/>
          <w:color w:val="auto"/>
          <w:kern w:val="0"/>
          <w:sz w:val="32"/>
          <w:szCs w:val="32"/>
          <w:lang w:val="en-US" w:eastAsia="zh-CN"/>
        </w:rPr>
        <w:t>4869.4平方公里</w:t>
      </w:r>
      <w:r>
        <w:rPr>
          <w:rFonts w:hint="eastAsia" w:ascii="仿宋" w:hAnsi="仿宋" w:eastAsia="仿宋" w:cs="仿宋"/>
          <w:color w:val="auto"/>
          <w:kern w:val="0"/>
          <w:sz w:val="32"/>
          <w:szCs w:val="32"/>
        </w:rPr>
        <w:t xml:space="preserve">。 </w:t>
      </w:r>
    </w:p>
    <w:p>
      <w:pPr>
        <w:widowControl/>
        <w:ind w:firstLine="723" w:firstLineChars="200"/>
        <w:jc w:val="left"/>
        <w:outlineLvl w:val="1"/>
        <w:rPr>
          <w:color w:val="auto"/>
        </w:rPr>
      </w:pPr>
      <w:bookmarkStart w:id="6" w:name="_Toc17402"/>
      <w:r>
        <w:rPr>
          <w:rFonts w:hint="eastAsia" w:ascii="仿宋" w:hAnsi="仿宋" w:eastAsia="仿宋" w:cs="仿宋"/>
          <w:b/>
          <w:bCs/>
          <w:color w:val="auto"/>
          <w:sz w:val="32"/>
          <w:szCs w:val="32"/>
        </w:rPr>
        <w:t>六、规划期限</w:t>
      </w:r>
      <w:bookmarkEnd w:id="6"/>
      <w:r>
        <w:rPr>
          <w:rFonts w:ascii="楷体_GB2312" w:hAnsi="楷体_GB2312" w:eastAsia="楷体_GB2312" w:cs="楷体_GB2312"/>
          <w:color w:val="auto"/>
          <w:kern w:val="0"/>
          <w:sz w:val="31"/>
          <w:szCs w:val="31"/>
        </w:rPr>
        <w:t xml:space="preserve"> </w:t>
      </w:r>
    </w:p>
    <w:p>
      <w:pPr>
        <w:widowControl/>
        <w:ind w:firstLine="62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规划期限为 2021-2025 年，规划基期年为2020年。 </w:t>
      </w:r>
    </w:p>
    <w:p>
      <w:pPr>
        <w:pStyle w:val="2"/>
        <w:rPr>
          <w:color w:val="auto"/>
        </w:rPr>
      </w:pPr>
    </w:p>
    <w:p>
      <w:pPr>
        <w:jc w:val="center"/>
        <w:outlineLvl w:val="0"/>
        <w:rPr>
          <w:rFonts w:ascii="仿宋" w:hAnsi="仿宋" w:eastAsia="仿宋" w:cs="仿宋"/>
          <w:b/>
          <w:bCs/>
          <w:color w:val="auto"/>
          <w:sz w:val="44"/>
          <w:szCs w:val="44"/>
        </w:rPr>
      </w:pPr>
      <w:bookmarkStart w:id="7" w:name="_Toc7798"/>
      <w:r>
        <w:rPr>
          <w:rFonts w:hint="eastAsia" w:ascii="仿宋" w:hAnsi="仿宋" w:eastAsia="仿宋" w:cs="仿宋"/>
          <w:b/>
          <w:bCs/>
          <w:color w:val="auto"/>
          <w:sz w:val="44"/>
          <w:szCs w:val="44"/>
        </w:rPr>
        <w:t>第二章</w:t>
      </w:r>
      <w:r>
        <w:rPr>
          <w:rFonts w:hint="eastAsia" w:ascii="仿宋" w:hAnsi="仿宋" w:eastAsia="仿宋" w:cs="仿宋"/>
          <w:b/>
          <w:bCs/>
          <w:color w:val="auto"/>
          <w:sz w:val="44"/>
          <w:szCs w:val="44"/>
          <w:lang w:val="en-US" w:eastAsia="zh-CN"/>
        </w:rPr>
        <w:t xml:space="preserve"> </w:t>
      </w:r>
      <w:r>
        <w:rPr>
          <w:rFonts w:hint="eastAsia" w:ascii="仿宋" w:hAnsi="仿宋" w:eastAsia="仿宋" w:cs="仿宋"/>
          <w:b/>
          <w:bCs/>
          <w:color w:val="auto"/>
          <w:sz w:val="44"/>
          <w:szCs w:val="44"/>
        </w:rPr>
        <w:t>“十四五”生态环境保护的背景和基础</w:t>
      </w:r>
      <w:bookmarkEnd w:id="7"/>
    </w:p>
    <w:p>
      <w:pPr>
        <w:widowControl/>
        <w:ind w:firstLine="723" w:firstLineChars="200"/>
        <w:jc w:val="left"/>
        <w:outlineLvl w:val="1"/>
        <w:rPr>
          <w:rFonts w:hint="eastAsia" w:ascii="仿宋" w:hAnsi="仿宋" w:eastAsia="仿宋" w:cs="仿宋"/>
          <w:b/>
          <w:bCs/>
          <w:color w:val="auto"/>
          <w:sz w:val="32"/>
          <w:szCs w:val="32"/>
        </w:rPr>
      </w:pPr>
      <w:bookmarkStart w:id="8" w:name="_Toc5790"/>
      <w:r>
        <w:rPr>
          <w:rFonts w:hint="eastAsia" w:ascii="仿宋" w:hAnsi="仿宋" w:eastAsia="仿宋" w:cs="仿宋"/>
          <w:b/>
          <w:bCs/>
          <w:color w:val="auto"/>
          <w:sz w:val="32"/>
          <w:szCs w:val="32"/>
        </w:rPr>
        <w:t>一、“十三五”时期工作回顾</w:t>
      </w:r>
      <w:bookmarkEnd w:id="8"/>
    </w:p>
    <w:p>
      <w:pPr>
        <w:widowControl/>
        <w:ind w:firstLine="62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十三五”规划实施以来，在县委、县政府的正确领导下，积极推进生态文明建设，全面深化生态环境保护领域改革，以大气、水体、土壤污染防治为主线，以打赢污染防治攻坚战和中央生态环保督察整改为主要抓手，以改善环境质量为方向，</w:t>
      </w:r>
      <w:r>
        <w:rPr>
          <w:rFonts w:hint="eastAsia" w:ascii="仿宋" w:hAnsi="仿宋" w:eastAsia="仿宋" w:cs="仿宋"/>
          <w:color w:val="auto"/>
          <w:kern w:val="0"/>
          <w:sz w:val="32"/>
          <w:szCs w:val="32"/>
          <w:lang w:eastAsia="zh-CN"/>
        </w:rPr>
        <w:t>推进</w:t>
      </w:r>
      <w:r>
        <w:rPr>
          <w:rFonts w:hint="eastAsia" w:ascii="仿宋" w:hAnsi="仿宋" w:eastAsia="仿宋" w:cs="仿宋"/>
          <w:color w:val="auto"/>
          <w:kern w:val="0"/>
          <w:sz w:val="32"/>
          <w:szCs w:val="32"/>
        </w:rPr>
        <w:t>法制环境、强化</w:t>
      </w:r>
      <w:r>
        <w:rPr>
          <w:rFonts w:hint="eastAsia" w:ascii="仿宋" w:hAnsi="仿宋" w:eastAsia="仿宋" w:cs="仿宋"/>
          <w:color w:val="auto"/>
          <w:kern w:val="0"/>
          <w:sz w:val="32"/>
          <w:szCs w:val="32"/>
          <w:lang w:eastAsia="zh-CN"/>
        </w:rPr>
        <w:t>企业</w:t>
      </w:r>
      <w:r>
        <w:rPr>
          <w:rFonts w:hint="eastAsia" w:ascii="仿宋" w:hAnsi="仿宋" w:eastAsia="仿宋" w:cs="仿宋"/>
          <w:color w:val="auto"/>
          <w:kern w:val="0"/>
          <w:sz w:val="32"/>
          <w:szCs w:val="32"/>
        </w:rPr>
        <w:t>监管、加大环保投入、统筹污染治理、总量减排、防范环境风险，全面完成了“十三五”规划确定的主要任务，实现生态环境质量总体改善的阶段性目标。</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（一）主要生态环境指标如期完成</w:t>
      </w:r>
    </w:p>
    <w:p>
      <w:pPr>
        <w:widowControl/>
        <w:ind w:firstLine="62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城镇集中式饮用水源水质稳定达标，中水回用率达80%以上；城镇声环境符合国家标准；工业废水处理率100%；化学需氧量、氨氮、二氧化硫、氮氧化物排放量持续下降。</w:t>
      </w:r>
    </w:p>
    <w:p>
      <w:pPr>
        <w:ind w:firstLine="643" w:firstLineChars="200"/>
        <w:rPr>
          <w:rFonts w:hint="eastAsia" w:ascii="仿宋" w:hAnsi="仿宋" w:eastAsia="仿宋" w:cs="仿宋"/>
          <w:b/>
          <w:bCs/>
          <w:strike w:val="0"/>
          <w:dstrike w:val="0"/>
          <w:color w:val="auto"/>
          <w:sz w:val="32"/>
          <w:szCs w:val="32"/>
          <w:lang w:eastAsia="zh-CN"/>
        </w:rPr>
      </w:pPr>
      <w:r>
        <w:rPr>
          <w:rFonts w:hint="eastAsia" w:ascii="仿宋" w:hAnsi="仿宋" w:eastAsia="仿宋" w:cs="仿宋"/>
          <w:b/>
          <w:bCs/>
          <w:color w:val="auto"/>
          <w:sz w:val="32"/>
          <w:szCs w:val="32"/>
        </w:rPr>
        <w:t>（二）环保督查</w:t>
      </w:r>
      <w:r>
        <w:rPr>
          <w:rFonts w:hint="eastAsia" w:ascii="仿宋" w:hAnsi="仿宋" w:eastAsia="仿宋" w:cs="仿宋"/>
          <w:b/>
          <w:bCs/>
          <w:color w:val="auto"/>
          <w:sz w:val="32"/>
          <w:szCs w:val="32"/>
          <w:lang w:eastAsia="zh-CN"/>
        </w:rPr>
        <w:t>信访案件完</w:t>
      </w:r>
      <w:r>
        <w:rPr>
          <w:rFonts w:hint="eastAsia" w:ascii="仿宋" w:hAnsi="仿宋" w:eastAsia="仿宋" w:cs="仿宋"/>
          <w:b/>
          <w:bCs/>
          <w:strike w:val="0"/>
          <w:dstrike w:val="0"/>
          <w:color w:val="auto"/>
          <w:sz w:val="32"/>
          <w:szCs w:val="32"/>
          <w:lang w:eastAsia="zh-CN"/>
        </w:rPr>
        <w:t>成整改销号</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2017年第一轮中央生态环境保护督察</w:t>
      </w:r>
      <w:r>
        <w:rPr>
          <w:rFonts w:hint="eastAsia" w:ascii="仿宋" w:hAnsi="仿宋" w:eastAsia="仿宋" w:cs="仿宋"/>
          <w:color w:val="auto"/>
          <w:sz w:val="32"/>
          <w:szCs w:val="32"/>
          <w:lang w:eastAsia="zh-CN"/>
        </w:rPr>
        <w:t>组交办我县</w:t>
      </w:r>
      <w:r>
        <w:rPr>
          <w:rFonts w:hint="eastAsia" w:ascii="仿宋" w:hAnsi="仿宋" w:eastAsia="仿宋" w:cs="仿宋"/>
          <w:color w:val="auto"/>
          <w:sz w:val="32"/>
          <w:szCs w:val="32"/>
        </w:rPr>
        <w:t>信访案件41件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2018年第一轮中央生态环境保护督察回头看</w:t>
      </w:r>
      <w:r>
        <w:rPr>
          <w:rFonts w:hint="eastAsia" w:ascii="仿宋" w:hAnsi="仿宋" w:eastAsia="仿宋" w:cs="仿宋"/>
          <w:color w:val="auto"/>
          <w:sz w:val="32"/>
          <w:szCs w:val="32"/>
          <w:lang w:eastAsia="zh-CN"/>
        </w:rPr>
        <w:t>交办我县</w:t>
      </w:r>
      <w:r>
        <w:rPr>
          <w:rFonts w:hint="eastAsia" w:ascii="仿宋" w:hAnsi="仿宋" w:eastAsia="仿宋" w:cs="仿宋"/>
          <w:color w:val="auto"/>
          <w:sz w:val="32"/>
          <w:szCs w:val="32"/>
        </w:rPr>
        <w:t>信访案件79件，2020年，辽宁省第四生态环境保护督察组</w:t>
      </w:r>
      <w:r>
        <w:rPr>
          <w:rFonts w:hint="eastAsia" w:ascii="仿宋" w:hAnsi="仿宋" w:eastAsia="仿宋" w:cs="仿宋"/>
          <w:color w:val="auto"/>
          <w:sz w:val="32"/>
          <w:szCs w:val="32"/>
          <w:lang w:eastAsia="zh-CN"/>
        </w:rPr>
        <w:t>收到</w:t>
      </w:r>
      <w:r>
        <w:rPr>
          <w:rFonts w:hint="eastAsia" w:ascii="仿宋" w:hAnsi="仿宋" w:eastAsia="仿宋" w:cs="仿宋"/>
          <w:color w:val="auto"/>
          <w:sz w:val="32"/>
          <w:szCs w:val="32"/>
        </w:rPr>
        <w:t>信访案件57件，2020年，辽宁省第四生态环境保护督察组反馈意见7件，2021年第二轮中央生态环境保护督察</w:t>
      </w:r>
      <w:r>
        <w:rPr>
          <w:rFonts w:hint="eastAsia" w:ascii="仿宋" w:hAnsi="仿宋" w:eastAsia="仿宋" w:cs="仿宋"/>
          <w:color w:val="auto"/>
          <w:sz w:val="32"/>
          <w:szCs w:val="32"/>
          <w:lang w:eastAsia="zh-CN"/>
        </w:rPr>
        <w:t>组交办我县</w:t>
      </w:r>
      <w:r>
        <w:rPr>
          <w:rFonts w:hint="eastAsia" w:ascii="仿宋" w:hAnsi="仿宋" w:eastAsia="仿宋" w:cs="仿宋"/>
          <w:color w:val="auto"/>
          <w:sz w:val="32"/>
          <w:szCs w:val="32"/>
        </w:rPr>
        <w:t>信访案件58件，现已全部完成整改销号。</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（三）实施大气污染综合治理，持续改善空气质量</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全面实施了《建平县打赢蓝天保卫战三年行动方案（2018-2020年）》等系列专项实施方案。深入开展燃煤锅炉综合整治工作，累计淘汰10蒸吨以下燃煤锅炉177台；大力开展工业污染达标治理，完成了147家企业工业粉尘污染工序安装高效除尘装置工作</w:t>
      </w:r>
      <w:r>
        <w:rPr>
          <w:rFonts w:hint="eastAsia" w:ascii="仿宋" w:hAnsi="仿宋" w:eastAsia="仿宋" w:cs="仿宋"/>
          <w:color w:val="auto"/>
          <w:sz w:val="32"/>
          <w:szCs w:val="32"/>
        </w:rPr>
        <w:t>；</w:t>
      </w:r>
      <w:r>
        <w:rPr>
          <w:rFonts w:hint="eastAsia" w:ascii="仿宋" w:hAnsi="仿宋" w:eastAsia="仿宋" w:cs="仿宋"/>
          <w:bCs/>
          <w:color w:val="auto"/>
          <w:sz w:val="32"/>
          <w:szCs w:val="32"/>
        </w:rPr>
        <w:t>全面控制城市建筑施工扬尘污染，施工场地周边设置不低于2.5米的围挡，工地场地硬化，物料运输采取密闭，物料堆放采用苫盖等抑尘措施；实施了膨润土、珍珠岩、硅石企业原料场、晾晒场周边设置高于料堆的防尘网或围挡；</w:t>
      </w:r>
      <w:r>
        <w:rPr>
          <w:rFonts w:hint="eastAsia" w:ascii="仿宋" w:hAnsi="仿宋" w:eastAsia="仿宋" w:cs="仿宋"/>
          <w:color w:val="auto"/>
          <w:sz w:val="32"/>
          <w:szCs w:val="32"/>
        </w:rPr>
        <w:t>持续开展“散、乱、污”企业综合整治，取缔关停了16家废塑料破碎清洗分选类企业和塑料再生造粒类企业；深入推进散煤治理，全县散煤消费量较“十二五”降低30%以上；进一步加强秸秆禁烧管控工作，建立秸秆禁烧网格化责任体系，秸秆综合利用率达到87%以上。深入实施机动车污染防治，累计淘汰黄标车和老旧车辆2600余台；新能源公交车辆占比稳步提高；积极有效应对重污染天气，印发实施《建平县重污染天气应急预案》，开展重污染天气应急实战演练，强化部门间应急联动与协作。</w:t>
      </w:r>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（四）开展水环境整治，改善水环境质量</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制定《建平县水污染防治工作方案》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加快城镇污水处理设施建设与改造，完成了建平县城市污水处理厂提标改造工程，出水标准由一级B提高到一级A排放标准；实施了经济开发区污水处理厂技术改造工程，目前已投入运行；</w:t>
      </w:r>
      <w:r>
        <w:rPr>
          <w:rFonts w:hint="eastAsia" w:ascii="仿宋" w:hAnsi="仿宋" w:eastAsia="仿宋" w:cs="仿宋"/>
          <w:bCs/>
          <w:color w:val="auto"/>
          <w:kern w:val="0"/>
          <w:sz w:val="32"/>
          <w:szCs w:val="32"/>
          <w:shd w:val="clear" w:color="auto" w:fill="FFFFFF"/>
        </w:rPr>
        <w:t>开展了入河排放口排查工作，全县入河排放口共计1407个，其中山水排放口145个、畜牧养殖排污口765个、工业企业排污口497个，制定下发了《建平县入河排污口整治实施方案》，2020年底前完成入河排污口整治工作；</w:t>
      </w:r>
      <w:r>
        <w:rPr>
          <w:rFonts w:hint="eastAsia" w:ascii="仿宋" w:hAnsi="仿宋" w:eastAsia="仿宋" w:cs="仿宋"/>
          <w:color w:val="auto"/>
          <w:sz w:val="32"/>
          <w:szCs w:val="32"/>
        </w:rPr>
        <w:t>开展了饮用水源专项执法检查行动，全面清理、整治水源保护区内存在的环境问题，全县饮用水水源地水质达标率为100%；建立了河流河段、入河排污口、重点监控断面全覆盖的县乡两级“河长制”管理体系，削减污染负荷，降低纳污总量，确保水体水质达到目标要求；完成了畜禽养殖禁养区划定工作，合理优化养殖布局;对新建、改建、扩建规模化养殖场（小区）实施雨污分流、粪便污水资源化利用，污染物不得向水体排放；对全县新建、在建、改造、迁建加油站地下油罐进行了双层罐改造工作。</w:t>
      </w:r>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（五）推进固体废物减量化、无害化、资源化</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eastAsia="zh-CN"/>
        </w:rPr>
        <w:t>根据</w:t>
      </w:r>
      <w:r>
        <w:rPr>
          <w:rFonts w:hint="eastAsia" w:ascii="仿宋" w:hAnsi="仿宋" w:eastAsia="仿宋" w:cs="仿宋"/>
          <w:color w:val="auto"/>
          <w:sz w:val="32"/>
          <w:szCs w:val="32"/>
        </w:rPr>
        <w:t>《“十三五”辽宁省危险废物规范化管理督查考核工作方案》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编制了《建平县坚决遏制固体废物非法转移和倾倒进一步加强危险废物全过程监管专项行动实施方案》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完成了“十三五”辽宁省危险废物规范化管理督查考核工作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对13家陶瓷企业进行了危险废物管理计划备案；开展了“百日攻坚”专项行动，共完成应急预案备案企业230家。</w:t>
      </w:r>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（六）强化土壤环境监管，促进土壤资源永续利用</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制定下发了《建平县土壤污染防治工作实施方案》，并按照</w:t>
      </w:r>
      <w:r>
        <w:rPr>
          <w:rFonts w:hint="eastAsia" w:ascii="仿宋" w:hAnsi="仿宋" w:eastAsia="仿宋" w:cs="仿宋"/>
          <w:color w:val="auto"/>
          <w:sz w:val="32"/>
          <w:szCs w:val="32"/>
          <w:lang w:eastAsia="zh-CN"/>
        </w:rPr>
        <w:t>辽宁省</w:t>
      </w:r>
      <w:r>
        <w:rPr>
          <w:rFonts w:hint="eastAsia" w:ascii="仿宋" w:hAnsi="仿宋" w:eastAsia="仿宋" w:cs="仿宋"/>
          <w:color w:val="auto"/>
          <w:sz w:val="32"/>
          <w:szCs w:val="32"/>
        </w:rPr>
        <w:t>环保厅要求完成我县土壤污染防治远程遥感填报和土壤点位监测工作，摸清了重点地块环境污染风险底数，建立建设用地准入管理，加强污染地块监督管理，持续推进土壤污染修复工作。</w:t>
      </w:r>
    </w:p>
    <w:p>
      <w:pPr>
        <w:widowControl/>
        <w:shd w:val="clear" w:color="auto" w:fill="FFFFFF"/>
        <w:spacing w:line="360" w:lineRule="auto"/>
        <w:ind w:firstLine="643" w:firstLineChars="200"/>
        <w:jc w:val="left"/>
        <w:rPr>
          <w:rStyle w:val="26"/>
          <w:rFonts w:ascii="仿宋_GB2312" w:eastAsia="仿宋_GB2312" w:cs="Arial"/>
          <w:b w:val="0"/>
          <w:bCs w:val="0"/>
          <w:color w:val="auto"/>
          <w:kern w:val="0"/>
          <w:sz w:val="28"/>
          <w:szCs w:val="28"/>
        </w:rPr>
      </w:pPr>
      <w:r>
        <w:rPr>
          <w:rFonts w:hint="eastAsia" w:ascii="仿宋" w:hAnsi="仿宋" w:eastAsia="仿宋" w:cs="仿宋"/>
          <w:b/>
          <w:bCs/>
          <w:color w:val="auto"/>
          <w:sz w:val="32"/>
          <w:szCs w:val="32"/>
        </w:rPr>
        <w:t>（七）加强生态环境保护，遏制生态恶化</w:t>
      </w:r>
    </w:p>
    <w:p>
      <w:pPr>
        <w:widowControl/>
        <w:spacing w:line="600" w:lineRule="exact"/>
        <w:ind w:firstLine="640"/>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完成了创建省级生态县部分指标，编制印发了《建平县畜禽禁养区、限养区划分方案》、《建平县全覆盖拉网式农村环境综合整治实施方案》、《建平县有机产业发展规划》，完善了老虎洞山省级自然保护区、天秀山省级自然保护区、古生物化石市级自然保护区相关管理制度建设；完成了古生物化石自然保护区界碑界桩设立工作，并编制专题报告报市政府及市环保局批准，解决历史遗留的养殖场和高铁穿越保护区问题。完成古生物化石自然保护区内耕地红线、土地规划</w:t>
      </w:r>
      <w:r>
        <w:rPr>
          <w:rFonts w:hint="eastAsia" w:ascii="仿宋" w:hAnsi="仿宋" w:eastAsia="仿宋" w:cs="仿宋"/>
          <w:color w:val="auto"/>
          <w:kern w:val="0"/>
          <w:sz w:val="32"/>
          <w:szCs w:val="32"/>
          <w:shd w:val="clear" w:color="auto" w:fill="FFFFFF"/>
          <w:lang w:eastAsia="zh-CN"/>
        </w:rPr>
        <w:t>的</w:t>
      </w:r>
      <w:r>
        <w:rPr>
          <w:rFonts w:hint="eastAsia" w:ascii="仿宋" w:hAnsi="仿宋" w:eastAsia="仿宋" w:cs="仿宋"/>
          <w:color w:val="auto"/>
          <w:kern w:val="0"/>
          <w:sz w:val="32"/>
          <w:szCs w:val="32"/>
          <w:shd w:val="clear" w:color="auto" w:fill="FFFFFF"/>
        </w:rPr>
        <w:t>梳理排查工作。</w:t>
      </w:r>
    </w:p>
    <w:p>
      <w:pPr>
        <w:widowControl/>
        <w:shd w:val="clear" w:color="auto" w:fill="FFFFFF"/>
        <w:spacing w:line="360" w:lineRule="auto"/>
        <w:ind w:firstLine="643" w:firstLineChars="20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（八）加强农村环境整治，改善农村环境质量</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共创建完成了1个省级生态镇、8个省级生态村、2个市级生态村。完成了</w:t>
      </w:r>
      <w:r>
        <w:rPr>
          <w:rFonts w:hint="eastAsia" w:ascii="仿宋" w:hAnsi="仿宋" w:eastAsia="仿宋" w:cs="仿宋"/>
          <w:color w:val="auto"/>
          <w:kern w:val="0"/>
          <w:sz w:val="32"/>
          <w:szCs w:val="32"/>
          <w:shd w:val="clear" w:color="auto" w:fill="FFFFFF"/>
        </w:rPr>
        <w:t>17个行政村农村环境综合整治工作。并</w:t>
      </w:r>
      <w:r>
        <w:rPr>
          <w:rFonts w:hint="eastAsia" w:ascii="仿宋" w:hAnsi="仿宋" w:eastAsia="仿宋" w:cs="仿宋"/>
          <w:color w:val="auto"/>
          <w:sz w:val="32"/>
          <w:szCs w:val="32"/>
        </w:rPr>
        <w:t>深入开展农村污水集中收集处理工程，完成了</w:t>
      </w:r>
      <w:r>
        <w:rPr>
          <w:rFonts w:hint="eastAsia" w:ascii="仿宋" w:hAnsi="仿宋" w:eastAsia="仿宋" w:cs="仿宋"/>
          <w:color w:val="auto"/>
          <w:kern w:val="0"/>
          <w:sz w:val="32"/>
          <w:szCs w:val="32"/>
          <w:shd w:val="clear" w:color="auto" w:fill="FFFFFF"/>
        </w:rPr>
        <w:t>万寿街道办事处小平房村农村生活污水集中收集处理设施建设，</w:t>
      </w:r>
      <w:r>
        <w:rPr>
          <w:rFonts w:hint="eastAsia" w:ascii="仿宋" w:hAnsi="仿宋" w:eastAsia="仿宋" w:cs="仿宋"/>
          <w:color w:val="auto"/>
          <w:sz w:val="32"/>
          <w:szCs w:val="32"/>
        </w:rPr>
        <w:t>实施了热水畜牧农场西岗分场、热水分场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白山乡嘎海吐村</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长汉池村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太平庄镇五间房村</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张家窝铺村的污水集中处理工程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农村</w:t>
      </w:r>
      <w:r>
        <w:rPr>
          <w:rFonts w:hint="eastAsia" w:ascii="仿宋" w:hAnsi="仿宋" w:eastAsia="仿宋" w:cs="仿宋"/>
          <w:color w:val="auto"/>
          <w:sz w:val="32"/>
          <w:szCs w:val="32"/>
          <w:lang w:eastAsia="zh-CN"/>
        </w:rPr>
        <w:t>生态</w:t>
      </w:r>
      <w:r>
        <w:rPr>
          <w:rFonts w:hint="eastAsia" w:ascii="仿宋" w:hAnsi="仿宋" w:eastAsia="仿宋" w:cs="仿宋"/>
          <w:color w:val="auto"/>
          <w:sz w:val="32"/>
          <w:szCs w:val="32"/>
        </w:rPr>
        <w:t>环境质量持续得到改善。</w:t>
      </w:r>
    </w:p>
    <w:p>
      <w:pPr>
        <w:widowControl/>
        <w:shd w:val="clear" w:color="auto" w:fill="FFFFFF"/>
        <w:spacing w:line="360" w:lineRule="auto"/>
        <w:ind w:firstLine="643" w:firstLineChars="200"/>
        <w:jc w:val="left"/>
        <w:outlineLvl w:val="1"/>
        <w:rPr>
          <w:rFonts w:hint="eastAsia" w:ascii="仿宋" w:hAnsi="仿宋" w:eastAsia="仿宋" w:cs="仿宋"/>
          <w:b/>
          <w:bCs/>
          <w:color w:val="auto"/>
          <w:sz w:val="32"/>
          <w:szCs w:val="32"/>
        </w:rPr>
      </w:pPr>
      <w:bookmarkStart w:id="9" w:name="_Toc14590"/>
      <w:r>
        <w:rPr>
          <w:rFonts w:hint="eastAsia" w:ascii="仿宋" w:hAnsi="仿宋" w:eastAsia="仿宋" w:cs="仿宋"/>
          <w:b/>
          <w:bCs/>
          <w:color w:val="auto"/>
          <w:sz w:val="32"/>
          <w:szCs w:val="32"/>
        </w:rPr>
        <w:t>二、“十四五”生态环境保护面临的形势</w:t>
      </w:r>
      <w:bookmarkEnd w:id="9"/>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“十四五”时期是全面贯彻习近平生态文明思想的重要战略机遇期，是开启美丽中国建设、实现第二个百年</w:t>
      </w:r>
      <w:r>
        <w:rPr>
          <w:rFonts w:hint="eastAsia" w:ascii="仿宋" w:hAnsi="仿宋" w:eastAsia="仿宋" w:cs="仿宋"/>
          <w:color w:val="auto"/>
          <w:sz w:val="32"/>
          <w:szCs w:val="32"/>
          <w:lang w:eastAsia="zh-CN"/>
        </w:rPr>
        <w:t>奋斗</w:t>
      </w:r>
      <w:r>
        <w:rPr>
          <w:rFonts w:hint="eastAsia" w:ascii="仿宋" w:hAnsi="仿宋" w:eastAsia="仿宋" w:cs="仿宋"/>
          <w:color w:val="auto"/>
          <w:sz w:val="32"/>
          <w:szCs w:val="32"/>
        </w:rPr>
        <w:t>目标的攻坚期，也是全面重构生态环境保护制度和深化生态文明改革的关键阶段。建平县也将进入全面振兴全方位振兴的关键期，全县经济发展将进入提速转型、跨越发展的关键时期，经济发展方式及结构转变带来环境保护工作新局面，“十四五”期间环境保护将大有作为。</w:t>
      </w:r>
    </w:p>
    <w:p>
      <w:pPr>
        <w:widowControl/>
        <w:shd w:val="clear" w:color="auto" w:fill="FFFFFF"/>
        <w:spacing w:line="360" w:lineRule="auto"/>
        <w:ind w:firstLine="643" w:firstLineChars="20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（一）生态环境保护面临的问题</w:t>
      </w:r>
    </w:p>
    <w:p>
      <w:pPr>
        <w:widowControl/>
        <w:shd w:val="clear" w:color="auto" w:fill="FFFFFF"/>
        <w:spacing w:line="360" w:lineRule="auto"/>
        <w:ind w:firstLine="643" w:firstLineChars="20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1、经济下行压力加大带来更多挑战</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些部门对保护与发展的辩证关系认识不高，推动绿色发展的能力不强、行动不实，重发展轻保护的现象依然存在。特别是新冠肺炎疫情从供给和需求两端给经济造成深入持续的影响，企业经营发展受限、供应链中断和消费停滞，致使部分地区、企业和群众发展预期受到影响，对生态环境保护的重视程度减弱、保护意愿下降、行动要求放松、投入力度减小的</w:t>
      </w:r>
      <w:r>
        <w:rPr>
          <w:rFonts w:hint="eastAsia" w:ascii="仿宋" w:hAnsi="仿宋" w:eastAsia="仿宋" w:cs="仿宋"/>
          <w:color w:val="auto"/>
          <w:sz w:val="32"/>
          <w:szCs w:val="32"/>
          <w:lang w:eastAsia="zh-CN"/>
        </w:rPr>
        <w:t>现象</w:t>
      </w:r>
      <w:r>
        <w:rPr>
          <w:rFonts w:hint="eastAsia" w:ascii="仿宋" w:hAnsi="仿宋" w:eastAsia="仿宋" w:cs="仿宋"/>
          <w:color w:val="auto"/>
          <w:sz w:val="32"/>
          <w:szCs w:val="32"/>
        </w:rPr>
        <w:t>有所增加，将给生态环境保护工作带来一定的反弹压力。</w:t>
      </w:r>
    </w:p>
    <w:p>
      <w:pPr>
        <w:widowControl/>
        <w:shd w:val="clear" w:color="auto" w:fill="FFFFFF"/>
        <w:spacing w:line="360" w:lineRule="auto"/>
        <w:ind w:firstLine="643" w:firstLineChars="20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2、生态环境治理仍然存在短板和薄弱环节</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以矿产资源为主的产业结构、以煤为主的能源结构尚未改变，清洁能源所占比重低。城市雨污分流管网不配套、土壤和地下水污染防治、固体废物</w:t>
      </w:r>
      <w:r>
        <w:rPr>
          <w:rFonts w:hint="eastAsia" w:ascii="仿宋" w:hAnsi="仿宋" w:eastAsia="仿宋" w:cs="仿宋"/>
          <w:color w:val="auto"/>
          <w:sz w:val="32"/>
          <w:szCs w:val="32"/>
          <w:lang w:eastAsia="zh-CN"/>
        </w:rPr>
        <w:t>监管</w:t>
      </w:r>
      <w:r>
        <w:rPr>
          <w:rFonts w:hint="eastAsia" w:ascii="仿宋" w:hAnsi="仿宋" w:eastAsia="仿宋" w:cs="仿宋"/>
          <w:color w:val="auto"/>
          <w:sz w:val="32"/>
          <w:szCs w:val="32"/>
        </w:rPr>
        <w:t>、农业农村</w:t>
      </w:r>
      <w:r>
        <w:rPr>
          <w:rFonts w:hint="eastAsia" w:ascii="仿宋" w:hAnsi="仿宋" w:eastAsia="仿宋" w:cs="仿宋"/>
          <w:color w:val="auto"/>
          <w:sz w:val="32"/>
          <w:szCs w:val="32"/>
          <w:lang w:eastAsia="zh-CN"/>
        </w:rPr>
        <w:t>环境整治</w:t>
      </w:r>
      <w:r>
        <w:rPr>
          <w:rFonts w:hint="eastAsia" w:ascii="仿宋" w:hAnsi="仿宋" w:eastAsia="仿宋" w:cs="仿宋"/>
          <w:color w:val="auto"/>
          <w:sz w:val="32"/>
          <w:szCs w:val="32"/>
        </w:rPr>
        <w:t>、生态环境</w:t>
      </w:r>
      <w:r>
        <w:rPr>
          <w:rFonts w:hint="eastAsia" w:ascii="仿宋" w:hAnsi="仿宋" w:eastAsia="仿宋" w:cs="仿宋"/>
          <w:color w:val="auto"/>
          <w:sz w:val="32"/>
          <w:szCs w:val="32"/>
          <w:lang w:eastAsia="zh-CN"/>
        </w:rPr>
        <w:t>保护</w:t>
      </w:r>
      <w:r>
        <w:rPr>
          <w:rFonts w:hint="eastAsia" w:ascii="仿宋" w:hAnsi="仿宋" w:eastAsia="仿宋" w:cs="仿宋"/>
          <w:color w:val="auto"/>
          <w:sz w:val="32"/>
          <w:szCs w:val="32"/>
        </w:rPr>
        <w:t>投入不足和渠道单一等问题</w:t>
      </w:r>
      <w:r>
        <w:rPr>
          <w:rFonts w:hint="eastAsia" w:ascii="仿宋" w:hAnsi="仿宋" w:eastAsia="仿宋" w:cs="仿宋"/>
          <w:color w:val="auto"/>
          <w:sz w:val="32"/>
          <w:szCs w:val="32"/>
          <w:lang w:eastAsia="zh-CN"/>
        </w:rPr>
        <w:t>依然</w:t>
      </w:r>
      <w:r>
        <w:rPr>
          <w:rFonts w:hint="eastAsia" w:ascii="仿宋" w:hAnsi="仿宋" w:eastAsia="仿宋" w:cs="仿宋"/>
          <w:color w:val="auto"/>
          <w:sz w:val="32"/>
          <w:szCs w:val="32"/>
        </w:rPr>
        <w:t>突出。</w:t>
      </w:r>
    </w:p>
    <w:p>
      <w:pPr>
        <w:widowControl/>
        <w:shd w:val="clear" w:color="auto" w:fill="FFFFFF"/>
        <w:spacing w:line="360" w:lineRule="auto"/>
        <w:ind w:firstLine="643" w:firstLineChars="20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3、污染物总量减排压力仍将较大</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四五”期间，我县仍将处于工业化中期，“两高一资”产业依然存在，化学需氧量、氨氮、二氧化硫、氮氧化物、挥发性有机物等主要污染物新增排放量仍然较大，污染物边削减、边增长的矛盾仍将持续。由于我县水资源短缺，水环境承载力偏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“十四五”期间，由于城镇污水处理厂</w:t>
      </w:r>
      <w:r>
        <w:rPr>
          <w:rFonts w:hint="eastAsia" w:ascii="仿宋" w:hAnsi="仿宋" w:eastAsia="仿宋" w:cs="仿宋"/>
          <w:color w:val="auto"/>
          <w:sz w:val="32"/>
          <w:szCs w:val="32"/>
          <w:lang w:eastAsia="zh-CN"/>
        </w:rPr>
        <w:t>日处理能力接近满负荷</w:t>
      </w:r>
      <w:r>
        <w:rPr>
          <w:rFonts w:hint="eastAsia" w:ascii="仿宋" w:hAnsi="仿宋" w:eastAsia="仿宋" w:cs="仿宋"/>
          <w:color w:val="auto"/>
          <w:sz w:val="32"/>
          <w:szCs w:val="32"/>
        </w:rPr>
        <w:t>，化学需氧量、氨氮减排量不足以抵消新增量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农村面源污染尤其是畜禽养殖所排放的污染物呈逐年增长态势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减排压力较大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由于现有脱硝工程能力有限，清洁替代能源发展迟缓，氮氧化物虽有减排空间，但涉及工程较大。我县目前挥发性有机物治理行业整体发展仍处于初期阶段。部分企业对挥发性有机物污染防治意识淡漠，大多数企业采用光氧或活性炭吸附工艺，去除效率不高，活性炭失效快，有效运行周期短，更换不及时，无法满足长周期达标排放要求。部分企业处理设施建成投用率不足，废气无组织排放现象较普遍。</w:t>
      </w:r>
    </w:p>
    <w:p>
      <w:pPr>
        <w:widowControl/>
        <w:shd w:val="clear" w:color="auto" w:fill="FFFFFF"/>
        <w:spacing w:line="360" w:lineRule="auto"/>
        <w:ind w:firstLine="643" w:firstLineChars="20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4、生态环保队伍</w:t>
      </w:r>
      <w:r>
        <w:rPr>
          <w:rFonts w:hint="eastAsia" w:ascii="仿宋" w:hAnsi="仿宋" w:eastAsia="仿宋" w:cs="仿宋"/>
          <w:b/>
          <w:bCs/>
          <w:color w:val="auto"/>
          <w:sz w:val="32"/>
          <w:szCs w:val="32"/>
          <w:lang w:eastAsia="zh-CN"/>
        </w:rPr>
        <w:t>建设</w:t>
      </w:r>
      <w:r>
        <w:rPr>
          <w:rFonts w:hint="eastAsia" w:ascii="仿宋" w:hAnsi="仿宋" w:eastAsia="仿宋" w:cs="仿宋"/>
          <w:b/>
          <w:bCs/>
          <w:color w:val="auto"/>
          <w:sz w:val="32"/>
          <w:szCs w:val="32"/>
        </w:rPr>
        <w:t>仍待加强</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生态环境系统队伍能力建设与生态环境保护监管需求不匹配，监督执法能力建设仍然不能适应目前如此严峻的环境执法工作的需要。一是硬件方面</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缺乏执法装备，影响了现场调查取证的正常</w:t>
      </w:r>
      <w:r>
        <w:rPr>
          <w:rFonts w:hint="eastAsia" w:ascii="仿宋" w:hAnsi="仿宋" w:eastAsia="仿宋" w:cs="仿宋"/>
          <w:color w:val="auto"/>
          <w:sz w:val="32"/>
          <w:szCs w:val="32"/>
          <w:lang w:eastAsia="zh-CN"/>
        </w:rPr>
        <w:t>开展</w:t>
      </w:r>
      <w:r>
        <w:rPr>
          <w:rFonts w:hint="eastAsia" w:ascii="仿宋" w:hAnsi="仿宋" w:eastAsia="仿宋" w:cs="仿宋"/>
          <w:color w:val="auto"/>
          <w:sz w:val="32"/>
          <w:szCs w:val="32"/>
        </w:rPr>
        <w:t>，从而造成不能及时发现存在的各类环境违法事件以及环境</w:t>
      </w:r>
      <w:r>
        <w:rPr>
          <w:rFonts w:hint="eastAsia" w:ascii="仿宋" w:hAnsi="仿宋" w:eastAsia="仿宋" w:cs="仿宋"/>
          <w:color w:val="auto"/>
          <w:sz w:val="32"/>
          <w:szCs w:val="32"/>
          <w:lang w:eastAsia="zh-CN"/>
        </w:rPr>
        <w:t>执法</w:t>
      </w:r>
      <w:r>
        <w:rPr>
          <w:rFonts w:hint="eastAsia" w:ascii="仿宋" w:hAnsi="仿宋" w:eastAsia="仿宋" w:cs="仿宋"/>
          <w:color w:val="auto"/>
          <w:sz w:val="32"/>
          <w:szCs w:val="32"/>
        </w:rPr>
        <w:t>过程证据不充分。二是</w:t>
      </w:r>
      <w:r>
        <w:rPr>
          <w:rFonts w:hint="eastAsia" w:ascii="仿宋" w:hAnsi="仿宋" w:eastAsia="仿宋" w:cs="仿宋"/>
          <w:color w:val="auto"/>
          <w:sz w:val="32"/>
          <w:szCs w:val="32"/>
          <w:lang w:eastAsia="zh-CN"/>
        </w:rPr>
        <w:t>人员方面，</w:t>
      </w:r>
      <w:r>
        <w:rPr>
          <w:rFonts w:hint="eastAsia" w:ascii="仿宋" w:hAnsi="仿宋" w:eastAsia="仿宋" w:cs="仿宋"/>
          <w:color w:val="auto"/>
          <w:sz w:val="32"/>
          <w:szCs w:val="32"/>
        </w:rPr>
        <w:t>目前执法人员少，不能满足高频次执法要求，</w:t>
      </w:r>
      <w:r>
        <w:rPr>
          <w:rFonts w:hint="eastAsia" w:ascii="仿宋" w:hAnsi="仿宋" w:eastAsia="仿宋" w:cs="仿宋"/>
          <w:color w:val="auto"/>
          <w:sz w:val="32"/>
          <w:szCs w:val="32"/>
          <w:lang w:eastAsia="zh-CN"/>
        </w:rPr>
        <w:t>加强</w:t>
      </w:r>
      <w:r>
        <w:rPr>
          <w:rFonts w:hint="eastAsia" w:ascii="仿宋" w:hAnsi="仿宋" w:eastAsia="仿宋" w:cs="仿宋"/>
          <w:color w:val="auto"/>
          <w:sz w:val="32"/>
          <w:szCs w:val="32"/>
        </w:rPr>
        <w:t>环境执法队伍的建设问题</w:t>
      </w:r>
      <w:r>
        <w:rPr>
          <w:rFonts w:hint="eastAsia" w:ascii="仿宋" w:hAnsi="仿宋" w:eastAsia="仿宋" w:cs="仿宋"/>
          <w:color w:val="auto"/>
          <w:sz w:val="32"/>
          <w:szCs w:val="32"/>
          <w:lang w:eastAsia="zh-CN"/>
        </w:rPr>
        <w:t>十分紧迫</w:t>
      </w:r>
      <w:r>
        <w:rPr>
          <w:rFonts w:hint="eastAsia" w:ascii="仿宋" w:hAnsi="仿宋" w:eastAsia="仿宋" w:cs="仿宋"/>
          <w:color w:val="auto"/>
          <w:sz w:val="32"/>
          <w:szCs w:val="32"/>
        </w:rPr>
        <w:t>。</w:t>
      </w:r>
    </w:p>
    <w:p>
      <w:pPr>
        <w:widowControl/>
        <w:shd w:val="clear" w:color="auto" w:fill="FFFFFF"/>
        <w:spacing w:line="360" w:lineRule="auto"/>
        <w:ind w:firstLine="643" w:firstLineChars="20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（二）生态环境保护面临的机遇</w:t>
      </w:r>
    </w:p>
    <w:p>
      <w:pPr>
        <w:widowControl/>
        <w:shd w:val="clear" w:color="auto" w:fill="FFFFFF"/>
        <w:spacing w:line="360" w:lineRule="auto"/>
        <w:ind w:firstLine="643" w:firstLineChars="20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1、坚持绿色发展，高质量发展</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四五”是污染防治攻坚战取得阶段性胜利、继续推进美丽中国建设的关键期。生态环境保护工作要坚持绿色发展理念，把经济社会发展同生态文明建设统筹起来，努力实现环境效益、经济效益和社会效益多赢。进一步发挥生态环境保护的倒逼作用，加快推动经济结构转型升级，协同推进经济高质量发展和生态环境高水平保护，坚持以改善生态环境质量为核心，以解决突出生态环境问题为重点，充分调动企业技术创新活力，带动生态环保产业创新发展，助力经济高质量绿色发展，为建设“美丽建平”贡献力量。</w:t>
      </w:r>
    </w:p>
    <w:p>
      <w:pPr>
        <w:widowControl/>
        <w:shd w:val="clear" w:color="auto" w:fill="FFFFFF"/>
        <w:spacing w:line="360" w:lineRule="auto"/>
        <w:ind w:firstLine="643" w:firstLineChars="20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2、强化“三线一单”硬性约束，服务生态文明建设</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深入贯彻落实习近平生态文明思想，坚持新发展理念，坚持底线思维和系统思维，以改善环境质量为核心，以生态保护红线、环境质量底线、资源利用上线为基础，</w:t>
      </w:r>
      <w:r>
        <w:rPr>
          <w:rFonts w:hint="eastAsia" w:ascii="仿宋" w:hAnsi="仿宋" w:eastAsia="仿宋" w:cs="仿宋"/>
          <w:color w:val="auto"/>
          <w:sz w:val="32"/>
          <w:szCs w:val="32"/>
          <w:lang w:eastAsia="zh-CN"/>
        </w:rPr>
        <w:t>根据</w:t>
      </w:r>
      <w:r>
        <w:rPr>
          <w:rFonts w:hint="eastAsia" w:ascii="仿宋" w:hAnsi="仿宋" w:eastAsia="仿宋" w:cs="仿宋"/>
          <w:color w:val="auto"/>
          <w:sz w:val="32"/>
          <w:szCs w:val="32"/>
        </w:rPr>
        <w:t>生态环境准入清单</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lang w:eastAsia="zh-CN"/>
        </w:rPr>
        <w:t>推进生态环境保护精细化管理、强化国土空间环境管控、推进</w:t>
      </w:r>
      <w:r>
        <w:rPr>
          <w:rFonts w:hint="eastAsia" w:ascii="仿宋" w:hAnsi="仿宋" w:eastAsia="仿宋" w:cs="仿宋"/>
          <w:color w:val="auto"/>
          <w:sz w:val="32"/>
          <w:szCs w:val="32"/>
          <w:lang w:eastAsia="zh-CN"/>
        </w:rPr>
        <w:t>建平县</w:t>
      </w:r>
      <w:r>
        <w:rPr>
          <w:rFonts w:hint="default" w:ascii="仿宋" w:hAnsi="仿宋" w:eastAsia="仿宋" w:cs="仿宋"/>
          <w:color w:val="auto"/>
          <w:sz w:val="32"/>
          <w:szCs w:val="32"/>
          <w:lang w:eastAsia="zh-CN"/>
        </w:rPr>
        <w:t>绿色发展高质量发展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以改善生态环境质量为核心，对生态环境基础状况与结构功能属性进行系统评价，对经济社会发展和生态环境保护管理的各项制度进行统筹衔接，形成以“三线一单”为核心的生态环境分区管控体系，形成“天—空—地”一体化的监控网络，掌握生态系统构成、分布与动态变化，及时评估和预警生态风险，及时发现破坏生态保护红线的行为，推动建平县经济与环境的可持续高质量发展，为建设美丽建平提供坚强保障。</w:t>
      </w:r>
    </w:p>
    <w:p>
      <w:pPr>
        <w:widowControl/>
        <w:shd w:val="clear" w:color="auto" w:fill="FFFFFF"/>
        <w:spacing w:line="360" w:lineRule="auto"/>
        <w:ind w:firstLine="643" w:firstLineChars="20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3、以生态环境保护督察</w:t>
      </w:r>
      <w:r>
        <w:rPr>
          <w:rFonts w:hint="eastAsia" w:ascii="仿宋" w:hAnsi="仿宋" w:eastAsia="仿宋" w:cs="仿宋"/>
          <w:b/>
          <w:bCs/>
          <w:color w:val="auto"/>
          <w:sz w:val="32"/>
          <w:szCs w:val="32"/>
          <w:lang w:eastAsia="zh-CN"/>
        </w:rPr>
        <w:t>为契机</w:t>
      </w:r>
      <w:r>
        <w:rPr>
          <w:rFonts w:hint="eastAsia" w:ascii="仿宋" w:hAnsi="仿宋" w:eastAsia="仿宋" w:cs="仿宋"/>
          <w:b/>
          <w:bCs/>
          <w:color w:val="auto"/>
          <w:sz w:val="32"/>
          <w:szCs w:val="32"/>
        </w:rPr>
        <w:t>促进生态文明建设</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生态环境保护督察是重要的生态环境监管问责制度。中央生态环境保护督察已成为我国生态环境保护督察的顶层制度安排,这在解决突出生态环境问题、改善环境质量等方面发挥了重要作用。县级生态环境保护部门要坚定不移地把督察这个行之有效的工作机制运用好、落实好，坚持边督边改、立行立改，将发现问题和解决问题无缝对接，做到件件有着落，事事有回音。抓实抓好环境信访案件办理查处，强化公众监督参与，以公开促整改。坚持以人民为中心，把群众满意作为生态环境保护的根本标准，取信于民，增强人民群众获得感。建立激励机制和容错纠错机制，秉持容纠并举、尽职免责的原则，确保推动生态环境保护工作向纵深发展。</w:t>
      </w:r>
    </w:p>
    <w:p>
      <w:pPr>
        <w:jc w:val="center"/>
        <w:outlineLvl w:val="0"/>
        <w:rPr>
          <w:rFonts w:hint="eastAsia" w:ascii="仿宋" w:hAnsi="仿宋" w:eastAsia="仿宋" w:cs="仿宋"/>
          <w:b/>
          <w:bCs/>
          <w:color w:val="auto"/>
          <w:sz w:val="44"/>
          <w:szCs w:val="44"/>
        </w:rPr>
      </w:pPr>
      <w:bookmarkStart w:id="10" w:name="_Toc3136"/>
      <w:r>
        <w:rPr>
          <w:rFonts w:hint="eastAsia" w:ascii="仿宋" w:hAnsi="仿宋" w:eastAsia="仿宋" w:cs="仿宋"/>
          <w:b/>
          <w:bCs/>
          <w:color w:val="auto"/>
          <w:sz w:val="44"/>
          <w:szCs w:val="44"/>
        </w:rPr>
        <w:t>第三章 规划目标</w:t>
      </w:r>
      <w:bookmarkEnd w:id="10"/>
    </w:p>
    <w:p>
      <w:pPr>
        <w:widowControl/>
        <w:shd w:val="clear" w:color="auto" w:fill="FFFFFF"/>
        <w:spacing w:line="360" w:lineRule="auto"/>
        <w:ind w:firstLine="643" w:firstLineChars="200"/>
        <w:jc w:val="left"/>
        <w:outlineLvl w:val="1"/>
        <w:rPr>
          <w:rFonts w:hint="eastAsia" w:ascii="仿宋" w:hAnsi="仿宋" w:eastAsia="仿宋" w:cs="仿宋"/>
          <w:b/>
          <w:bCs/>
          <w:color w:val="auto"/>
          <w:sz w:val="32"/>
          <w:szCs w:val="32"/>
        </w:rPr>
      </w:pPr>
      <w:bookmarkStart w:id="11" w:name="_Toc4742"/>
      <w:r>
        <w:rPr>
          <w:rFonts w:hint="eastAsia" w:ascii="仿宋" w:hAnsi="仿宋" w:eastAsia="仿宋" w:cs="仿宋"/>
          <w:b/>
          <w:bCs/>
          <w:color w:val="auto"/>
          <w:sz w:val="32"/>
          <w:szCs w:val="32"/>
        </w:rPr>
        <w:t>一、总体目标</w:t>
      </w:r>
      <w:bookmarkEnd w:id="11"/>
    </w:p>
    <w:p>
      <w:pPr>
        <w:ind w:firstLine="640"/>
        <w:rPr>
          <w:rFonts w:ascii="仿宋" w:hAnsi="仿宋" w:eastAsia="仿宋" w:cs="仿宋"/>
          <w:color w:val="auto"/>
          <w:sz w:val="32"/>
          <w:szCs w:val="32"/>
        </w:rPr>
      </w:pPr>
      <w:r>
        <w:rPr>
          <w:rFonts w:hint="eastAsia" w:ascii="仿宋" w:hAnsi="仿宋" w:eastAsia="仿宋" w:cs="仿宋"/>
          <w:color w:val="auto"/>
          <w:sz w:val="32"/>
          <w:szCs w:val="32"/>
        </w:rPr>
        <w:t>在“十三五”时期生态环境总体改善的基础上，</w:t>
      </w:r>
      <w:r>
        <w:rPr>
          <w:rFonts w:hint="eastAsia" w:ascii="仿宋" w:hAnsi="仿宋" w:eastAsia="仿宋" w:cs="仿宋"/>
          <w:color w:val="auto"/>
          <w:sz w:val="32"/>
          <w:szCs w:val="32"/>
          <w:lang w:eastAsia="zh-CN"/>
        </w:rPr>
        <w:t>继续</w:t>
      </w:r>
      <w:r>
        <w:rPr>
          <w:rFonts w:hint="eastAsia" w:ascii="仿宋" w:hAnsi="仿宋" w:eastAsia="仿宋" w:cs="仿宋"/>
          <w:color w:val="auto"/>
          <w:sz w:val="32"/>
          <w:szCs w:val="32"/>
        </w:rPr>
        <w:t>夯实法治基础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巩固扩大污染防治攻坚战成果，全面改善生态环境治理水平，我县主要污染物排放总量得到有效控制，完成省、市下达的约束性指标。环境质量持续改善，整体生态环境</w:t>
      </w:r>
      <w:r>
        <w:rPr>
          <w:rFonts w:hint="eastAsia" w:ascii="仿宋" w:hAnsi="仿宋" w:eastAsia="仿宋" w:cs="仿宋"/>
          <w:color w:val="auto"/>
          <w:sz w:val="32"/>
          <w:szCs w:val="32"/>
          <w:lang w:eastAsia="zh-CN"/>
        </w:rPr>
        <w:t>质量</w:t>
      </w:r>
      <w:r>
        <w:rPr>
          <w:rFonts w:hint="eastAsia" w:ascii="仿宋" w:hAnsi="仿宋" w:eastAsia="仿宋" w:cs="仿宋"/>
          <w:color w:val="auto"/>
          <w:sz w:val="32"/>
          <w:szCs w:val="32"/>
        </w:rPr>
        <w:t>良好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污染综合防治水平和环境监管能力不断提高，环境安全得到有效保障，县域经济可持续发展能力显著增强。</w:t>
      </w:r>
    </w:p>
    <w:p>
      <w:pPr>
        <w:widowControl/>
        <w:shd w:val="clear" w:color="auto" w:fill="FFFFFF"/>
        <w:spacing w:line="360" w:lineRule="auto"/>
        <w:ind w:firstLine="643" w:firstLineChars="200"/>
        <w:jc w:val="left"/>
        <w:outlineLvl w:val="1"/>
        <w:rPr>
          <w:rFonts w:hint="eastAsia" w:ascii="仿宋" w:hAnsi="仿宋" w:eastAsia="仿宋" w:cs="仿宋"/>
          <w:b/>
          <w:bCs/>
          <w:color w:val="auto"/>
          <w:sz w:val="32"/>
          <w:szCs w:val="32"/>
        </w:rPr>
      </w:pPr>
      <w:bookmarkStart w:id="12" w:name="_Toc12807"/>
      <w:r>
        <w:rPr>
          <w:rFonts w:hint="eastAsia" w:ascii="仿宋" w:hAnsi="仿宋" w:eastAsia="仿宋" w:cs="仿宋"/>
          <w:b/>
          <w:bCs/>
          <w:color w:val="auto"/>
          <w:sz w:val="32"/>
          <w:szCs w:val="32"/>
        </w:rPr>
        <w:t>二、具体指标</w:t>
      </w:r>
      <w:bookmarkEnd w:id="12"/>
    </w:p>
    <w:p>
      <w:pPr>
        <w:widowControl/>
        <w:shd w:val="clear" w:color="auto" w:fill="FFFFFF"/>
        <w:spacing w:line="360" w:lineRule="auto"/>
        <w:ind w:firstLine="643" w:firstLineChars="20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1、应对气候变化</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持续降低碳排放强度，</w:t>
      </w:r>
      <w:r>
        <w:rPr>
          <w:rFonts w:hint="eastAsia" w:ascii="仿宋" w:hAnsi="仿宋" w:eastAsia="仿宋" w:cs="仿宋"/>
          <w:color w:val="auto"/>
          <w:sz w:val="32"/>
          <w:szCs w:val="32"/>
          <w:lang w:eastAsia="zh-CN"/>
        </w:rPr>
        <w:t>按照国家和省的要求，</w:t>
      </w:r>
      <w:r>
        <w:rPr>
          <w:rFonts w:hint="eastAsia" w:ascii="仿宋" w:hAnsi="仿宋" w:eastAsia="仿宋" w:cs="仿宋"/>
          <w:color w:val="auto"/>
          <w:sz w:val="32"/>
          <w:szCs w:val="32"/>
        </w:rPr>
        <w:t>组织重点碳排放企业参与碳排放交易，组织开展碳排放清单、碳达峰方案编制工作，增强城市绿化覆盖率，进一步增强碳汇能力。</w:t>
      </w:r>
    </w:p>
    <w:p>
      <w:pPr>
        <w:widowControl/>
        <w:shd w:val="clear" w:color="auto" w:fill="FFFFFF"/>
        <w:spacing w:line="360" w:lineRule="auto"/>
        <w:ind w:firstLine="643" w:firstLineChars="20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2、大气环境质量</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eastAsia="zh-CN"/>
        </w:rPr>
        <w:t>氮氧化物</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挥发性有机物</w:t>
      </w:r>
      <w:r>
        <w:rPr>
          <w:rFonts w:hint="eastAsia" w:ascii="仿宋" w:hAnsi="仿宋" w:eastAsia="仿宋" w:cs="仿宋"/>
          <w:color w:val="auto"/>
          <w:sz w:val="32"/>
          <w:szCs w:val="32"/>
        </w:rPr>
        <w:t>等主要污染物排放量大幅度削减，重度及以上污染天数达到市政府下达的控制目标，夏季</w:t>
      </w:r>
      <w:r>
        <w:rPr>
          <w:rFonts w:hint="eastAsia" w:ascii="仿宋" w:hAnsi="仿宋" w:eastAsia="仿宋" w:cs="仿宋"/>
          <w:color w:val="auto"/>
          <w:sz w:val="32"/>
          <w:szCs w:val="32"/>
          <w:lang w:eastAsia="zh-CN"/>
        </w:rPr>
        <w:t>臭氧</w:t>
      </w:r>
      <w:r>
        <w:rPr>
          <w:rFonts w:hint="eastAsia" w:ascii="仿宋" w:hAnsi="仿宋" w:eastAsia="仿宋" w:cs="仿宋"/>
          <w:color w:val="auto"/>
          <w:sz w:val="32"/>
          <w:szCs w:val="32"/>
        </w:rPr>
        <w:t>污染加重的趋势得到</w:t>
      </w:r>
      <w:r>
        <w:rPr>
          <w:rFonts w:hint="eastAsia" w:ascii="仿宋" w:hAnsi="仿宋" w:eastAsia="仿宋" w:cs="仿宋"/>
          <w:color w:val="auto"/>
          <w:sz w:val="32"/>
          <w:szCs w:val="32"/>
          <w:lang w:eastAsia="zh-CN"/>
        </w:rPr>
        <w:t>有效</w:t>
      </w:r>
      <w:r>
        <w:rPr>
          <w:rFonts w:hint="eastAsia" w:ascii="仿宋" w:hAnsi="仿宋" w:eastAsia="仿宋" w:cs="仿宋"/>
          <w:color w:val="auto"/>
          <w:sz w:val="32"/>
          <w:szCs w:val="32"/>
        </w:rPr>
        <w:t>遏制，</w:t>
      </w:r>
      <w:r>
        <w:rPr>
          <w:rFonts w:hint="eastAsia" w:ascii="仿宋" w:hAnsi="仿宋" w:eastAsia="仿宋" w:cs="仿宋"/>
          <w:color w:val="auto"/>
          <w:sz w:val="32"/>
          <w:szCs w:val="32"/>
          <w:lang w:eastAsia="zh-CN"/>
        </w:rPr>
        <w:t>细颗粒物</w:t>
      </w:r>
      <w:r>
        <w:rPr>
          <w:rFonts w:hint="eastAsia" w:ascii="仿宋" w:hAnsi="仿宋" w:eastAsia="仿宋" w:cs="仿宋"/>
          <w:color w:val="auto"/>
          <w:sz w:val="32"/>
          <w:szCs w:val="32"/>
        </w:rPr>
        <w:t>年均浓度进一步下降，空气质量优良天数比例持续增加，空气质量持续改善。</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3、水环境质量</w:t>
      </w:r>
    </w:p>
    <w:p>
      <w:pPr>
        <w:rPr>
          <w:rFonts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水环境、水资源、水生态“三水”同步改善。国</w:t>
      </w:r>
      <w:r>
        <w:rPr>
          <w:rFonts w:hint="eastAsia" w:ascii="仿宋" w:hAnsi="仿宋" w:eastAsia="仿宋" w:cs="仿宋"/>
          <w:color w:val="auto"/>
          <w:sz w:val="32"/>
          <w:szCs w:val="32"/>
          <w:lang w:eastAsia="zh-CN"/>
        </w:rPr>
        <w:t>控、</w:t>
      </w:r>
      <w:r>
        <w:rPr>
          <w:rFonts w:hint="eastAsia" w:ascii="仿宋" w:hAnsi="仿宋" w:eastAsia="仿宋" w:cs="仿宋"/>
          <w:color w:val="auto"/>
          <w:sz w:val="32"/>
          <w:szCs w:val="32"/>
        </w:rPr>
        <w:t>省</w:t>
      </w:r>
      <w:r>
        <w:rPr>
          <w:rFonts w:hint="eastAsia" w:ascii="仿宋" w:hAnsi="仿宋" w:eastAsia="仿宋" w:cs="仿宋"/>
          <w:color w:val="auto"/>
          <w:sz w:val="32"/>
          <w:szCs w:val="32"/>
          <w:lang w:eastAsia="zh-CN"/>
        </w:rPr>
        <w:t>控</w:t>
      </w:r>
      <w:r>
        <w:rPr>
          <w:rFonts w:hint="eastAsia" w:eastAsia="仿宋"/>
          <w:color w:val="auto"/>
          <w:sz w:val="32"/>
          <w:szCs w:val="32"/>
          <w:lang w:eastAsia="zh-CN"/>
        </w:rPr>
        <w:t>、</w:t>
      </w:r>
      <w:r>
        <w:rPr>
          <w:rFonts w:hint="eastAsia" w:ascii="仿宋" w:hAnsi="仿宋" w:eastAsia="仿宋" w:cs="仿宋"/>
          <w:color w:val="auto"/>
          <w:sz w:val="32"/>
          <w:szCs w:val="32"/>
          <w:lang w:eastAsia="zh-CN"/>
        </w:rPr>
        <w:t>市控</w:t>
      </w:r>
      <w:r>
        <w:rPr>
          <w:rFonts w:hint="eastAsia" w:ascii="仿宋" w:hAnsi="仿宋" w:eastAsia="仿宋" w:cs="仿宋"/>
          <w:color w:val="auto"/>
          <w:sz w:val="32"/>
          <w:szCs w:val="32"/>
        </w:rPr>
        <w:t>断面</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水质达到考核要求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化学需氧量</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氨氮排放总量达到省和市下达的约束性指标。</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4、声环境质量</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县城区内声环境质量达到相应的环境功能区划标准，交通干线噪声排放平均值不超过60dB(A)，噪声达标区域覆盖率达到95%以上。</w:t>
      </w:r>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5、土壤环境质量</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全县耕地土壤环境质量达标率不低于90%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受污染耕地安全利用率100%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受污染建设用地安全利用率100%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摸清土壤污染家底，土壤安全利用水平持续提升。</w:t>
      </w:r>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6、固体废物管控</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工业危险废物</w:t>
      </w:r>
      <w:r>
        <w:rPr>
          <w:rFonts w:hint="eastAsia" w:ascii="仿宋" w:hAnsi="仿宋" w:eastAsia="仿宋" w:cs="仿宋"/>
          <w:color w:val="auto"/>
          <w:sz w:val="32"/>
          <w:szCs w:val="32"/>
          <w:lang w:eastAsia="zh-CN"/>
        </w:rPr>
        <w:t>收集</w:t>
      </w:r>
      <w:r>
        <w:rPr>
          <w:rFonts w:hint="eastAsia" w:ascii="仿宋" w:hAnsi="仿宋" w:eastAsia="仿宋" w:cs="仿宋"/>
          <w:color w:val="auto"/>
          <w:sz w:val="32"/>
          <w:szCs w:val="32"/>
        </w:rPr>
        <w:t>率达到100%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工业固体废物处置利用率达到100%，</w:t>
      </w:r>
      <w:r>
        <w:rPr>
          <w:rFonts w:hint="eastAsia" w:ascii="仿宋" w:hAnsi="仿宋" w:eastAsia="仿宋" w:cs="仿宋"/>
          <w:color w:val="auto"/>
          <w:sz w:val="32"/>
          <w:szCs w:val="32"/>
          <w:lang w:eastAsia="zh-CN"/>
        </w:rPr>
        <w:t>县城</w:t>
      </w:r>
      <w:r>
        <w:rPr>
          <w:rFonts w:hint="eastAsia" w:ascii="仿宋" w:hAnsi="仿宋" w:eastAsia="仿宋" w:cs="仿宋"/>
          <w:color w:val="auto"/>
          <w:sz w:val="32"/>
          <w:szCs w:val="32"/>
        </w:rPr>
        <w:t>实现垃圾分类收集，生活垃圾无害化处理率达到98%以上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城市污水处理厂污泥无害化处理率达100% 。</w:t>
      </w:r>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7、生态建设</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全县生态环境逐步改善，构建生态安全格局，形成以“三线一单”为核心的生态环境分区管控体系，创建生态文明示范区。森林覆盖率达到50%。</w:t>
      </w:r>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8、环境风险防控</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实现环境和人群健康风险得到有效管控，提高环境突发事件应急处置管理能力，环境应急管理体系基本完善。</w:t>
      </w:r>
      <w:r>
        <w:rPr>
          <w:rFonts w:hint="eastAsia" w:ascii="仿宋" w:hAnsi="仿宋" w:eastAsia="仿宋" w:cs="仿宋"/>
          <w:color w:val="auto"/>
          <w:sz w:val="32"/>
          <w:szCs w:val="32"/>
          <w:lang w:eastAsia="zh-CN"/>
        </w:rPr>
        <w:t>确保</w:t>
      </w:r>
      <w:r>
        <w:rPr>
          <w:rFonts w:hint="eastAsia" w:ascii="仿宋" w:hAnsi="仿宋" w:eastAsia="仿宋" w:cs="仿宋"/>
          <w:color w:val="auto"/>
          <w:sz w:val="32"/>
          <w:szCs w:val="32"/>
        </w:rPr>
        <w:t>不发生</w:t>
      </w:r>
      <w:r>
        <w:rPr>
          <w:rFonts w:hint="eastAsia" w:ascii="仿宋" w:hAnsi="仿宋" w:eastAsia="仿宋" w:cs="仿宋"/>
          <w:color w:val="auto"/>
          <w:sz w:val="32"/>
          <w:szCs w:val="32"/>
          <w:lang w:eastAsia="zh-CN"/>
        </w:rPr>
        <w:t>重大</w:t>
      </w:r>
      <w:r>
        <w:rPr>
          <w:rFonts w:hint="eastAsia" w:ascii="仿宋" w:hAnsi="仿宋" w:eastAsia="仿宋" w:cs="仿宋"/>
          <w:color w:val="auto"/>
          <w:sz w:val="32"/>
          <w:szCs w:val="32"/>
        </w:rPr>
        <w:t>环境事件。</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9、农村环境</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畜禽养殖污染物</w:t>
      </w:r>
      <w:r>
        <w:rPr>
          <w:rFonts w:hint="eastAsia" w:ascii="仿宋" w:hAnsi="仿宋" w:eastAsia="仿宋" w:cs="仿宋"/>
          <w:color w:val="auto"/>
          <w:sz w:val="32"/>
          <w:szCs w:val="32"/>
          <w:lang w:eastAsia="zh-CN"/>
        </w:rPr>
        <w:t>得到有效利用</w:t>
      </w:r>
      <w:r>
        <w:rPr>
          <w:rFonts w:hint="eastAsia" w:ascii="仿宋" w:hAnsi="仿宋" w:eastAsia="仿宋" w:cs="仿宋"/>
          <w:color w:val="auto"/>
          <w:sz w:val="32"/>
          <w:szCs w:val="32"/>
        </w:rPr>
        <w:t>，加快农村分散养殖向规模化、集约化、智能化、节能化绿色养殖转变。努力创建各级生态村、镇建设，提高农村生活污水处理率。</w:t>
      </w:r>
    </w:p>
    <w:p>
      <w:p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建平县生态环境保护“十四五”规划指标表</w:t>
      </w:r>
    </w:p>
    <w:tbl>
      <w:tblPr>
        <w:tblW w:w="8326" w:type="dxa"/>
        <w:tblCellSpacing w:w="0" w:type="dxa"/>
        <w:tblInd w:w="-11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0" w:type="dxa"/>
          <w:right w:w="0" w:type="dxa"/>
        </w:tblCellMar>
      </w:tblPr>
      <w:tblGrid>
        <w:gridCol w:w="332"/>
        <w:gridCol w:w="1109"/>
        <w:gridCol w:w="529"/>
        <w:gridCol w:w="3207"/>
        <w:gridCol w:w="2444"/>
        <w:gridCol w:w="705"/>
      </w:tblGrid>
      <w:tr>
        <w:trPr>
          <w:tblCellSpacing w:w="0" w:type="dxa"/>
        </w:trPr>
        <w:tc>
          <w:tcPr>
            <w:tcW w:w="1441" w:type="dxa"/>
            <w:gridSpan w:val="2"/>
            <w:tcBorders>
              <w:tl2br w:val="nil"/>
              <w:tr2bl w:val="nil"/>
            </w:tcBorders>
            <w:vAlign w:val="center"/>
          </w:tcPr>
          <w:p>
            <w:pPr>
              <w:widowControl/>
              <w:spacing w:before="120" w:line="360" w:lineRule="auto"/>
              <w:jc w:val="center"/>
              <w:rPr>
                <w:rFonts w:hint="eastAsia" w:ascii="仿宋" w:hAnsi="仿宋" w:eastAsia="仿宋" w:cs="仿宋"/>
                <w:b/>
                <w:bCs/>
                <w:color w:val="auto"/>
                <w:kern w:val="0"/>
                <w:sz w:val="21"/>
                <w:szCs w:val="21"/>
              </w:rPr>
            </w:pPr>
            <w:bookmarkStart w:id="13" w:name="_Toc455577506"/>
            <w:bookmarkStart w:id="14" w:name="_Toc462235466"/>
            <w:bookmarkStart w:id="15" w:name="_Toc457462538"/>
            <w:bookmarkStart w:id="16" w:name="_Toc455577721"/>
            <w:bookmarkStart w:id="17" w:name="_Toc455577930"/>
            <w:r>
              <w:rPr>
                <w:rFonts w:hint="eastAsia" w:ascii="仿宋" w:hAnsi="仿宋" w:eastAsia="仿宋" w:cs="仿宋"/>
                <w:b/>
                <w:bCs/>
                <w:color w:val="auto"/>
                <w:kern w:val="0"/>
                <w:sz w:val="21"/>
                <w:szCs w:val="21"/>
              </w:rPr>
              <w:t>类别</w:t>
            </w:r>
          </w:p>
        </w:tc>
        <w:tc>
          <w:tcPr>
            <w:tcW w:w="529" w:type="dxa"/>
            <w:tcBorders>
              <w:tl2br w:val="nil"/>
              <w:tr2bl w:val="nil"/>
            </w:tcBorders>
            <w:vAlign w:val="center"/>
          </w:tcPr>
          <w:p>
            <w:pPr>
              <w:widowControl/>
              <w:spacing w:before="120" w:line="360" w:lineRule="auto"/>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序号</w:t>
            </w:r>
          </w:p>
        </w:tc>
        <w:tc>
          <w:tcPr>
            <w:tcW w:w="3207" w:type="dxa"/>
            <w:tcBorders>
              <w:tl2br w:val="nil"/>
              <w:tr2bl w:val="nil"/>
            </w:tcBorders>
            <w:vAlign w:val="center"/>
          </w:tcPr>
          <w:p>
            <w:pPr>
              <w:widowControl/>
              <w:spacing w:before="120" w:line="360" w:lineRule="auto"/>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指 标</w:t>
            </w:r>
          </w:p>
        </w:tc>
        <w:tc>
          <w:tcPr>
            <w:tcW w:w="2444" w:type="dxa"/>
            <w:tcBorders>
              <w:tl2br w:val="nil"/>
              <w:tr2bl w:val="nil"/>
            </w:tcBorders>
            <w:vAlign w:val="center"/>
          </w:tcPr>
          <w:p>
            <w:pPr>
              <w:widowControl/>
              <w:spacing w:before="120" w:line="360" w:lineRule="auto"/>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目 标</w:t>
            </w:r>
          </w:p>
        </w:tc>
        <w:tc>
          <w:tcPr>
            <w:tcW w:w="705" w:type="dxa"/>
            <w:tcBorders>
              <w:tl2br w:val="nil"/>
              <w:tr2bl w:val="nil"/>
            </w:tcBorders>
            <w:vAlign w:val="center"/>
          </w:tcPr>
          <w:p>
            <w:pPr>
              <w:widowControl/>
              <w:spacing w:before="120" w:line="360" w:lineRule="auto"/>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属 性</w:t>
            </w:r>
          </w:p>
        </w:tc>
      </w:tr>
      <w:tr>
        <w:trPr>
          <w:trHeight w:val="899" w:hRule="atLeast"/>
          <w:tblCellSpacing w:w="0" w:type="dxa"/>
        </w:trPr>
        <w:tc>
          <w:tcPr>
            <w:tcW w:w="332" w:type="dxa"/>
            <w:vMerge w:val="restart"/>
            <w:tcBorders>
              <w:tl2br w:val="nil"/>
              <w:tr2bl w:val="nil"/>
            </w:tcBorders>
            <w:vAlign w:val="center"/>
          </w:tcPr>
          <w:p>
            <w:pPr>
              <w:widowControl/>
              <w:spacing w:before="120" w:line="360" w:lineRule="auto"/>
              <w:jc w:val="center"/>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环境</w:t>
            </w:r>
          </w:p>
          <w:p>
            <w:pPr>
              <w:widowControl/>
              <w:spacing w:before="120" w:line="360" w:lineRule="auto"/>
              <w:jc w:val="center"/>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污染</w:t>
            </w:r>
          </w:p>
          <w:p>
            <w:pPr>
              <w:widowControl/>
              <w:spacing w:before="120" w:line="360" w:lineRule="auto"/>
              <w:jc w:val="center"/>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防治</w:t>
            </w:r>
          </w:p>
        </w:tc>
        <w:tc>
          <w:tcPr>
            <w:tcW w:w="1109" w:type="dxa"/>
            <w:vMerge w:val="restart"/>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主要污染物总量控制</w:t>
            </w: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1</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大气主要污染物（氮氧化物、挥发性有机物）下降</w:t>
            </w:r>
          </w:p>
        </w:tc>
        <w:tc>
          <w:tcPr>
            <w:tcW w:w="2444" w:type="dxa"/>
            <w:vMerge w:val="restart"/>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spacing w:val="-11"/>
                <w:sz w:val="21"/>
                <w:szCs w:val="21"/>
              </w:rPr>
              <w:t>待下达，以市指标下达为准</w:t>
            </w:r>
          </w:p>
        </w:tc>
        <w:tc>
          <w:tcPr>
            <w:tcW w:w="705" w:type="dxa"/>
            <w:vMerge w:val="restart"/>
            <w:tcBorders>
              <w:tl2br w:val="nil"/>
              <w:tr2bl w:val="nil"/>
            </w:tcBorders>
            <w:vAlign w:val="center"/>
          </w:tcPr>
          <w:p>
            <w:pPr>
              <w:widowControl/>
              <w:wordWrap/>
              <w:adjustRightInd/>
              <w:snapToGrid/>
              <w:spacing w:before="120"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约束性</w:t>
            </w:r>
          </w:p>
        </w:tc>
      </w:tr>
      <w:tr>
        <w:trPr>
          <w:tblCellSpacing w:w="0" w:type="dxa"/>
        </w:trPr>
        <w:tc>
          <w:tcPr>
            <w:tcW w:w="332" w:type="dxa"/>
            <w:vMerge w:val="continue"/>
            <w:tcBorders>
              <w:tl2br w:val="nil"/>
              <w:tr2bl w:val="nil"/>
            </w:tcBorders>
            <w:vAlign w:val="center"/>
          </w:tcPr>
          <w:p>
            <w:pPr>
              <w:widowControl/>
              <w:spacing w:line="360" w:lineRule="auto"/>
              <w:jc w:val="center"/>
              <w:rPr>
                <w:rFonts w:hint="eastAsia" w:ascii="仿宋" w:hAnsi="仿宋" w:eastAsia="仿宋" w:cs="仿宋"/>
                <w:b w:val="0"/>
                <w:bCs w:val="0"/>
                <w:color w:val="auto"/>
                <w:kern w:val="0"/>
                <w:sz w:val="21"/>
                <w:szCs w:val="21"/>
              </w:rPr>
            </w:pPr>
          </w:p>
        </w:tc>
        <w:tc>
          <w:tcPr>
            <w:tcW w:w="1109" w:type="dxa"/>
            <w:vMerge w:val="continue"/>
            <w:tcBorders>
              <w:tl2br w:val="nil"/>
              <w:tr2bl w:val="nil"/>
            </w:tcBorders>
            <w:vAlign w:val="center"/>
          </w:tcPr>
          <w:p>
            <w:pPr>
              <w:widowControl/>
              <w:wordWrap/>
              <w:adjustRightInd/>
              <w:snapToGrid/>
              <w:spacing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2</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水主要污染物（化学需氧量、氨氮）下降</w:t>
            </w:r>
          </w:p>
        </w:tc>
        <w:tc>
          <w:tcPr>
            <w:tcW w:w="2444" w:type="dxa"/>
            <w:vMerge w:val="continue"/>
            <w:tcBorders>
              <w:tl2br w:val="nil"/>
              <w:tr2bl w:val="nil"/>
            </w:tcBorders>
            <w:vAlign w:val="center"/>
          </w:tcPr>
          <w:p>
            <w:pPr>
              <w:widowControl/>
              <w:wordWrap/>
              <w:adjustRightInd/>
              <w:snapToGrid/>
              <w:spacing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p>
        </w:tc>
        <w:tc>
          <w:tcPr>
            <w:tcW w:w="705" w:type="dxa"/>
            <w:vMerge w:val="continue"/>
            <w:tcBorders>
              <w:tl2br w:val="nil"/>
              <w:tr2bl w:val="nil"/>
            </w:tcBorders>
            <w:vAlign w:val="center"/>
          </w:tcPr>
          <w:p>
            <w:pPr>
              <w:widowControl/>
              <w:wordWrap/>
              <w:adjustRightInd/>
              <w:snapToGrid/>
              <w:spacing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p>
        </w:tc>
      </w:tr>
      <w:tr>
        <w:trPr>
          <w:trHeight w:val="663" w:hRule="atLeast"/>
          <w:tblCellSpacing w:w="0" w:type="dxa"/>
        </w:trPr>
        <w:tc>
          <w:tcPr>
            <w:tcW w:w="332" w:type="dxa"/>
            <w:vMerge w:val="continue"/>
            <w:tcBorders>
              <w:tl2br w:val="nil"/>
              <w:tr2bl w:val="nil"/>
            </w:tcBorders>
            <w:vAlign w:val="center"/>
          </w:tcPr>
          <w:p>
            <w:pPr>
              <w:widowControl/>
              <w:spacing w:line="360" w:lineRule="auto"/>
              <w:jc w:val="center"/>
              <w:rPr>
                <w:rFonts w:hint="eastAsia" w:ascii="仿宋" w:hAnsi="仿宋" w:eastAsia="仿宋" w:cs="仿宋"/>
                <w:b w:val="0"/>
                <w:bCs w:val="0"/>
                <w:color w:val="auto"/>
                <w:kern w:val="0"/>
                <w:sz w:val="21"/>
                <w:szCs w:val="21"/>
              </w:rPr>
            </w:pPr>
          </w:p>
        </w:tc>
        <w:tc>
          <w:tcPr>
            <w:tcW w:w="1109" w:type="dxa"/>
            <w:vMerge w:val="restart"/>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大气环境质量</w:t>
            </w: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3</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单位生产总值二氧化碳排放降低</w:t>
            </w:r>
          </w:p>
        </w:tc>
        <w:tc>
          <w:tcPr>
            <w:tcW w:w="2444"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spacing w:val="-11"/>
                <w:sz w:val="21"/>
                <w:szCs w:val="21"/>
              </w:rPr>
              <w:t>待下达，以市指标下达为准</w:t>
            </w:r>
          </w:p>
        </w:tc>
        <w:tc>
          <w:tcPr>
            <w:tcW w:w="705" w:type="dxa"/>
            <w:vMerge w:val="restart"/>
            <w:tcBorders>
              <w:tl2br w:val="nil"/>
              <w:tr2bl w:val="nil"/>
            </w:tcBorders>
            <w:vAlign w:val="center"/>
          </w:tcPr>
          <w:p>
            <w:pPr>
              <w:widowControl/>
              <w:wordWrap/>
              <w:adjustRightInd/>
              <w:snapToGrid/>
              <w:spacing w:before="120"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约束性</w:t>
            </w:r>
          </w:p>
        </w:tc>
      </w:tr>
      <w:tr>
        <w:trPr>
          <w:trHeight w:val="184" w:hRule="atLeast"/>
          <w:tblCellSpacing w:w="0" w:type="dxa"/>
        </w:trPr>
        <w:tc>
          <w:tcPr>
            <w:tcW w:w="332" w:type="dxa"/>
            <w:vMerge w:val="continue"/>
            <w:tcBorders>
              <w:tl2br w:val="nil"/>
              <w:tr2bl w:val="nil"/>
            </w:tcBorders>
            <w:vAlign w:val="center"/>
          </w:tcPr>
          <w:p>
            <w:pPr>
              <w:widowControl/>
              <w:spacing w:line="360" w:lineRule="auto"/>
              <w:jc w:val="center"/>
              <w:rPr>
                <w:rFonts w:hint="eastAsia" w:ascii="仿宋" w:hAnsi="仿宋" w:eastAsia="仿宋" w:cs="仿宋"/>
                <w:b w:val="0"/>
                <w:bCs w:val="0"/>
                <w:color w:val="auto"/>
                <w:kern w:val="0"/>
                <w:sz w:val="21"/>
                <w:szCs w:val="21"/>
              </w:rPr>
            </w:pPr>
          </w:p>
        </w:tc>
        <w:tc>
          <w:tcPr>
            <w:tcW w:w="1109" w:type="dxa"/>
            <w:vMerge w:val="continue"/>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4</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细颗粒物（PM2.5）浓度下降</w:t>
            </w:r>
          </w:p>
        </w:tc>
        <w:tc>
          <w:tcPr>
            <w:tcW w:w="2444" w:type="dxa"/>
            <w:tcBorders>
              <w:tl2br w:val="nil"/>
              <w:tr2bl w:val="nil"/>
            </w:tcBorders>
            <w:vAlign w:val="center"/>
          </w:tcPr>
          <w:p>
            <w:pPr>
              <w:widowControl/>
              <w:wordWrap/>
              <w:adjustRightInd/>
              <w:snapToGrid/>
              <w:spacing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spacing w:val="-11"/>
                <w:sz w:val="21"/>
                <w:szCs w:val="21"/>
              </w:rPr>
              <w:t>待下达，以市指标下达为准</w:t>
            </w:r>
          </w:p>
        </w:tc>
        <w:tc>
          <w:tcPr>
            <w:tcW w:w="705" w:type="dxa"/>
            <w:vMerge w:val="continue"/>
            <w:tcBorders>
              <w:tl2br w:val="nil"/>
              <w:tr2bl w:val="nil"/>
            </w:tcBorders>
            <w:vAlign w:val="center"/>
          </w:tcPr>
          <w:p>
            <w:pPr>
              <w:widowControl/>
              <w:wordWrap/>
              <w:adjustRightInd/>
              <w:snapToGrid/>
              <w:spacing w:before="120"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p>
        </w:tc>
      </w:tr>
      <w:tr>
        <w:trPr>
          <w:tblCellSpacing w:w="0" w:type="dxa"/>
        </w:trPr>
        <w:tc>
          <w:tcPr>
            <w:tcW w:w="332" w:type="dxa"/>
            <w:vMerge w:val="continue"/>
            <w:tcBorders>
              <w:tl2br w:val="nil"/>
              <w:tr2bl w:val="nil"/>
            </w:tcBorders>
            <w:vAlign w:val="center"/>
          </w:tcPr>
          <w:p>
            <w:pPr>
              <w:widowControl/>
              <w:spacing w:line="360" w:lineRule="auto"/>
              <w:jc w:val="center"/>
              <w:rPr>
                <w:rFonts w:hint="eastAsia" w:ascii="仿宋" w:hAnsi="仿宋" w:eastAsia="仿宋" w:cs="仿宋"/>
                <w:b w:val="0"/>
                <w:bCs w:val="0"/>
                <w:color w:val="auto"/>
                <w:kern w:val="0"/>
                <w:sz w:val="21"/>
                <w:szCs w:val="21"/>
              </w:rPr>
            </w:pPr>
          </w:p>
        </w:tc>
        <w:tc>
          <w:tcPr>
            <w:tcW w:w="1109" w:type="dxa"/>
            <w:vMerge w:val="continue"/>
            <w:tcBorders>
              <w:tl2br w:val="nil"/>
              <w:tr2bl w:val="nil"/>
            </w:tcBorders>
            <w:vAlign w:val="center"/>
          </w:tcPr>
          <w:p>
            <w:pPr>
              <w:widowControl/>
              <w:wordWrap/>
              <w:adjustRightInd/>
              <w:snapToGrid/>
              <w:spacing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5</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空气质量优良天数比例</w:t>
            </w:r>
          </w:p>
        </w:tc>
        <w:tc>
          <w:tcPr>
            <w:tcW w:w="2444"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spacing w:val="-11"/>
                <w:sz w:val="21"/>
                <w:szCs w:val="21"/>
              </w:rPr>
              <w:t>待下达，以市指标下达为准</w:t>
            </w:r>
          </w:p>
        </w:tc>
        <w:tc>
          <w:tcPr>
            <w:tcW w:w="705" w:type="dxa"/>
            <w:vMerge w:val="continue"/>
            <w:tcBorders>
              <w:tl2br w:val="nil"/>
              <w:tr2bl w:val="nil"/>
            </w:tcBorders>
            <w:vAlign w:val="center"/>
          </w:tcPr>
          <w:p>
            <w:pPr>
              <w:widowControl/>
              <w:wordWrap/>
              <w:adjustRightInd/>
              <w:snapToGrid/>
              <w:spacing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p>
        </w:tc>
      </w:tr>
      <w:tr>
        <w:trPr>
          <w:tblCellSpacing w:w="0" w:type="dxa"/>
        </w:trPr>
        <w:tc>
          <w:tcPr>
            <w:tcW w:w="332" w:type="dxa"/>
            <w:vMerge w:val="continue"/>
            <w:tcBorders>
              <w:tl2br w:val="nil"/>
              <w:tr2bl w:val="nil"/>
            </w:tcBorders>
            <w:vAlign w:val="center"/>
          </w:tcPr>
          <w:p>
            <w:pPr>
              <w:widowControl/>
              <w:spacing w:before="120" w:line="360" w:lineRule="auto"/>
              <w:jc w:val="center"/>
              <w:rPr>
                <w:rFonts w:hint="eastAsia" w:ascii="仿宋" w:hAnsi="仿宋" w:eastAsia="仿宋" w:cs="仿宋"/>
                <w:b w:val="0"/>
                <w:bCs w:val="0"/>
                <w:color w:val="auto"/>
                <w:kern w:val="0"/>
                <w:sz w:val="21"/>
                <w:szCs w:val="21"/>
              </w:rPr>
            </w:pPr>
          </w:p>
        </w:tc>
        <w:tc>
          <w:tcPr>
            <w:tcW w:w="1109" w:type="dxa"/>
            <w:vMerge w:val="restart"/>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水环境质量</w:t>
            </w: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6</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集中式饮用水水源水质</w:t>
            </w:r>
          </w:p>
        </w:tc>
        <w:tc>
          <w:tcPr>
            <w:tcW w:w="2444"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xml:space="preserve"> 100%</w:t>
            </w:r>
          </w:p>
        </w:tc>
        <w:tc>
          <w:tcPr>
            <w:tcW w:w="705" w:type="dxa"/>
            <w:vMerge w:val="restart"/>
            <w:tcBorders>
              <w:tl2br w:val="nil"/>
              <w:tr2bl w:val="nil"/>
            </w:tcBorders>
            <w:vAlign w:val="center"/>
          </w:tcPr>
          <w:p>
            <w:pPr>
              <w:widowControl/>
              <w:wordWrap/>
              <w:adjustRightInd/>
              <w:snapToGrid/>
              <w:spacing w:before="120"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约束性</w:t>
            </w:r>
          </w:p>
        </w:tc>
      </w:tr>
      <w:tr>
        <w:trPr>
          <w:trHeight w:val="771" w:hRule="atLeast"/>
          <w:tblCellSpacing w:w="0" w:type="dxa"/>
        </w:trPr>
        <w:tc>
          <w:tcPr>
            <w:tcW w:w="332" w:type="dxa"/>
            <w:vMerge w:val="continue"/>
            <w:tcBorders>
              <w:tl2br w:val="nil"/>
              <w:tr2bl w:val="nil"/>
            </w:tcBorders>
            <w:vAlign w:val="center"/>
          </w:tcPr>
          <w:p>
            <w:pPr>
              <w:widowControl/>
              <w:spacing w:line="360" w:lineRule="auto"/>
              <w:jc w:val="left"/>
              <w:rPr>
                <w:rFonts w:hint="eastAsia" w:ascii="仿宋" w:hAnsi="仿宋" w:eastAsia="仿宋" w:cs="仿宋"/>
                <w:b w:val="0"/>
                <w:bCs w:val="0"/>
                <w:color w:val="auto"/>
                <w:kern w:val="0"/>
                <w:sz w:val="21"/>
                <w:szCs w:val="21"/>
              </w:rPr>
            </w:pPr>
          </w:p>
        </w:tc>
        <w:tc>
          <w:tcPr>
            <w:tcW w:w="1109" w:type="dxa"/>
            <w:vMerge w:val="continue"/>
            <w:tcBorders>
              <w:tl2br w:val="nil"/>
              <w:tr2bl w:val="nil"/>
            </w:tcBorders>
            <w:vAlign w:val="center"/>
          </w:tcPr>
          <w:p>
            <w:pPr>
              <w:widowControl/>
              <w:wordWrap/>
              <w:adjustRightInd/>
              <w:snapToGrid/>
              <w:spacing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7</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第二牤牛河干流水质，主要支流水质；老哈河干流水质，主要支流水质。</w:t>
            </w:r>
          </w:p>
        </w:tc>
        <w:tc>
          <w:tcPr>
            <w:tcW w:w="2444"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xml:space="preserve"> 干流、主要支流：III类标准</w:t>
            </w:r>
          </w:p>
        </w:tc>
        <w:tc>
          <w:tcPr>
            <w:tcW w:w="705" w:type="dxa"/>
            <w:vMerge w:val="continue"/>
            <w:tcBorders>
              <w:tl2br w:val="nil"/>
              <w:tr2bl w:val="nil"/>
            </w:tcBorders>
            <w:vAlign w:val="center"/>
          </w:tcPr>
          <w:p>
            <w:pPr>
              <w:widowControl/>
              <w:wordWrap/>
              <w:adjustRightInd/>
              <w:snapToGrid/>
              <w:spacing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p>
        </w:tc>
      </w:tr>
      <w:tr>
        <w:trPr>
          <w:tblCellSpacing w:w="0" w:type="dxa"/>
        </w:trPr>
        <w:tc>
          <w:tcPr>
            <w:tcW w:w="332" w:type="dxa"/>
            <w:vMerge w:val="continue"/>
            <w:tcBorders>
              <w:tl2br w:val="nil"/>
              <w:tr2bl w:val="nil"/>
            </w:tcBorders>
            <w:vAlign w:val="center"/>
          </w:tcPr>
          <w:p>
            <w:pPr>
              <w:widowControl/>
              <w:spacing w:line="360" w:lineRule="auto"/>
              <w:jc w:val="left"/>
              <w:rPr>
                <w:rFonts w:hint="eastAsia" w:ascii="仿宋" w:hAnsi="仿宋" w:eastAsia="仿宋" w:cs="仿宋"/>
                <w:b w:val="0"/>
                <w:bCs w:val="0"/>
                <w:color w:val="auto"/>
                <w:kern w:val="0"/>
                <w:sz w:val="21"/>
                <w:szCs w:val="21"/>
              </w:rPr>
            </w:pPr>
          </w:p>
        </w:tc>
        <w:tc>
          <w:tcPr>
            <w:tcW w:w="1109" w:type="dxa"/>
            <w:vMerge w:val="restart"/>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声环境质量</w:t>
            </w: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8</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环境噪声平均值</w:t>
            </w:r>
          </w:p>
        </w:tc>
        <w:tc>
          <w:tcPr>
            <w:tcW w:w="2444"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达到相应的环境功能区标准</w:t>
            </w:r>
          </w:p>
        </w:tc>
        <w:tc>
          <w:tcPr>
            <w:tcW w:w="705" w:type="dxa"/>
            <w:vMerge w:val="restart"/>
            <w:tcBorders>
              <w:tl2br w:val="nil"/>
              <w:tr2bl w:val="nil"/>
            </w:tcBorders>
            <w:vAlign w:val="center"/>
          </w:tcPr>
          <w:p>
            <w:pPr>
              <w:widowControl/>
              <w:wordWrap/>
              <w:adjustRightInd/>
              <w:snapToGrid/>
              <w:spacing w:before="120"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预期性</w:t>
            </w:r>
          </w:p>
        </w:tc>
      </w:tr>
      <w:tr>
        <w:trPr>
          <w:trHeight w:val="90" w:hRule="atLeast"/>
          <w:tblCellSpacing w:w="0" w:type="dxa"/>
        </w:trPr>
        <w:tc>
          <w:tcPr>
            <w:tcW w:w="332" w:type="dxa"/>
            <w:vMerge w:val="continue"/>
            <w:tcBorders>
              <w:tl2br w:val="nil"/>
              <w:tr2bl w:val="nil"/>
            </w:tcBorders>
            <w:vAlign w:val="center"/>
          </w:tcPr>
          <w:p>
            <w:pPr>
              <w:widowControl/>
              <w:spacing w:line="360" w:lineRule="auto"/>
              <w:jc w:val="left"/>
              <w:rPr>
                <w:rFonts w:hint="eastAsia" w:ascii="仿宋" w:hAnsi="仿宋" w:eastAsia="仿宋" w:cs="仿宋"/>
                <w:b w:val="0"/>
                <w:bCs w:val="0"/>
                <w:color w:val="auto"/>
                <w:kern w:val="0"/>
                <w:sz w:val="21"/>
                <w:szCs w:val="21"/>
              </w:rPr>
            </w:pPr>
          </w:p>
        </w:tc>
        <w:tc>
          <w:tcPr>
            <w:tcW w:w="1109" w:type="dxa"/>
            <w:vMerge w:val="continue"/>
            <w:tcBorders>
              <w:tl2br w:val="nil"/>
              <w:tr2bl w:val="nil"/>
            </w:tcBorders>
            <w:vAlign w:val="center"/>
          </w:tcPr>
          <w:p>
            <w:pPr>
              <w:widowControl/>
              <w:wordWrap/>
              <w:adjustRightInd/>
              <w:snapToGrid/>
              <w:spacing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9</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交通干线噪声平均值</w:t>
            </w:r>
          </w:p>
        </w:tc>
        <w:tc>
          <w:tcPr>
            <w:tcW w:w="2444"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60≤db（A）</w:t>
            </w:r>
          </w:p>
        </w:tc>
        <w:tc>
          <w:tcPr>
            <w:tcW w:w="705" w:type="dxa"/>
            <w:vMerge w:val="continue"/>
            <w:tcBorders>
              <w:tl2br w:val="nil"/>
              <w:tr2bl w:val="nil"/>
            </w:tcBorders>
            <w:vAlign w:val="center"/>
          </w:tcPr>
          <w:p>
            <w:pPr>
              <w:widowControl/>
              <w:wordWrap/>
              <w:adjustRightInd/>
              <w:snapToGrid/>
              <w:spacing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p>
        </w:tc>
      </w:tr>
      <w:tr>
        <w:trPr>
          <w:tblCellSpacing w:w="0" w:type="dxa"/>
        </w:trPr>
        <w:tc>
          <w:tcPr>
            <w:tcW w:w="332" w:type="dxa"/>
            <w:vMerge w:val="continue"/>
            <w:tcBorders>
              <w:tl2br w:val="nil"/>
              <w:tr2bl w:val="nil"/>
            </w:tcBorders>
            <w:vAlign w:val="center"/>
          </w:tcPr>
          <w:p>
            <w:pPr>
              <w:widowControl/>
              <w:spacing w:line="360" w:lineRule="auto"/>
              <w:jc w:val="left"/>
              <w:rPr>
                <w:rFonts w:hint="eastAsia" w:ascii="仿宋" w:hAnsi="仿宋" w:eastAsia="仿宋" w:cs="仿宋"/>
                <w:b w:val="0"/>
                <w:bCs w:val="0"/>
                <w:color w:val="auto"/>
                <w:kern w:val="0"/>
                <w:sz w:val="21"/>
                <w:szCs w:val="21"/>
              </w:rPr>
            </w:pPr>
          </w:p>
        </w:tc>
        <w:tc>
          <w:tcPr>
            <w:tcW w:w="1109" w:type="dxa"/>
            <w:vMerge w:val="restart"/>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固体废物</w:t>
            </w: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10</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工业危险废物利用处置率</w:t>
            </w:r>
          </w:p>
        </w:tc>
        <w:tc>
          <w:tcPr>
            <w:tcW w:w="2444"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c>
          <w:tcPr>
            <w:tcW w:w="705" w:type="dxa"/>
            <w:vMerge w:val="restart"/>
            <w:tcBorders>
              <w:tl2br w:val="nil"/>
              <w:tr2bl w:val="nil"/>
            </w:tcBorders>
            <w:vAlign w:val="center"/>
          </w:tcPr>
          <w:p>
            <w:pPr>
              <w:widowControl/>
              <w:wordWrap/>
              <w:adjustRightInd/>
              <w:snapToGrid/>
              <w:spacing w:before="120"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预期性</w:t>
            </w:r>
          </w:p>
        </w:tc>
      </w:tr>
      <w:tr>
        <w:trPr>
          <w:trHeight w:val="609" w:hRule="atLeast"/>
          <w:tblCellSpacing w:w="0" w:type="dxa"/>
        </w:trPr>
        <w:tc>
          <w:tcPr>
            <w:tcW w:w="332" w:type="dxa"/>
            <w:vMerge w:val="continue"/>
            <w:tcBorders>
              <w:tl2br w:val="nil"/>
              <w:tr2bl w:val="nil"/>
            </w:tcBorders>
            <w:vAlign w:val="center"/>
          </w:tcPr>
          <w:p>
            <w:pPr>
              <w:widowControl/>
              <w:spacing w:line="360" w:lineRule="auto"/>
              <w:jc w:val="left"/>
              <w:rPr>
                <w:rFonts w:hint="eastAsia" w:ascii="仿宋" w:hAnsi="仿宋" w:eastAsia="仿宋" w:cs="仿宋"/>
                <w:b w:val="0"/>
                <w:bCs w:val="0"/>
                <w:color w:val="auto"/>
                <w:kern w:val="0"/>
                <w:sz w:val="21"/>
                <w:szCs w:val="21"/>
              </w:rPr>
            </w:pPr>
          </w:p>
        </w:tc>
        <w:tc>
          <w:tcPr>
            <w:tcW w:w="1109" w:type="dxa"/>
            <w:vMerge w:val="continue"/>
            <w:tcBorders>
              <w:tl2br w:val="nil"/>
              <w:tr2bl w:val="nil"/>
            </w:tcBorders>
            <w:vAlign w:val="center"/>
          </w:tcPr>
          <w:p>
            <w:pPr>
              <w:widowControl/>
              <w:wordWrap/>
              <w:adjustRightInd/>
              <w:snapToGrid/>
              <w:spacing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11</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工业固体废物处置利用率</w:t>
            </w:r>
          </w:p>
        </w:tc>
        <w:tc>
          <w:tcPr>
            <w:tcW w:w="2444"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c>
          <w:tcPr>
            <w:tcW w:w="705" w:type="dxa"/>
            <w:vMerge w:val="continue"/>
            <w:tcBorders>
              <w:tl2br w:val="nil"/>
              <w:tr2bl w:val="nil"/>
            </w:tcBorders>
            <w:vAlign w:val="center"/>
          </w:tcPr>
          <w:p>
            <w:pPr>
              <w:widowControl/>
              <w:wordWrap/>
              <w:adjustRightInd/>
              <w:snapToGrid/>
              <w:spacing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p>
        </w:tc>
      </w:tr>
      <w:tr>
        <w:trPr>
          <w:tblCellSpacing w:w="0" w:type="dxa"/>
        </w:trPr>
        <w:tc>
          <w:tcPr>
            <w:tcW w:w="332" w:type="dxa"/>
            <w:vMerge w:val="continue"/>
            <w:tcBorders>
              <w:tl2br w:val="nil"/>
              <w:tr2bl w:val="nil"/>
            </w:tcBorders>
            <w:vAlign w:val="center"/>
          </w:tcPr>
          <w:p>
            <w:pPr>
              <w:widowControl/>
              <w:spacing w:line="360" w:lineRule="auto"/>
              <w:jc w:val="left"/>
              <w:rPr>
                <w:rFonts w:hint="eastAsia" w:ascii="仿宋" w:hAnsi="仿宋" w:eastAsia="仿宋" w:cs="仿宋"/>
                <w:b w:val="0"/>
                <w:bCs w:val="0"/>
                <w:color w:val="auto"/>
                <w:kern w:val="0"/>
                <w:sz w:val="21"/>
                <w:szCs w:val="21"/>
              </w:rPr>
            </w:pPr>
          </w:p>
        </w:tc>
        <w:tc>
          <w:tcPr>
            <w:tcW w:w="1109" w:type="dxa"/>
            <w:vMerge w:val="continue"/>
            <w:tcBorders>
              <w:tl2br w:val="nil"/>
              <w:tr2bl w:val="nil"/>
            </w:tcBorders>
            <w:vAlign w:val="center"/>
          </w:tcPr>
          <w:p>
            <w:pPr>
              <w:widowControl/>
              <w:wordWrap/>
              <w:adjustRightInd/>
              <w:snapToGrid/>
              <w:spacing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12</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生活垃圾无害化处理率</w:t>
            </w:r>
          </w:p>
        </w:tc>
        <w:tc>
          <w:tcPr>
            <w:tcW w:w="2444"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98%</w:t>
            </w:r>
          </w:p>
        </w:tc>
        <w:tc>
          <w:tcPr>
            <w:tcW w:w="705" w:type="dxa"/>
            <w:vMerge w:val="continue"/>
            <w:tcBorders>
              <w:tl2br w:val="nil"/>
              <w:tr2bl w:val="nil"/>
            </w:tcBorders>
            <w:vAlign w:val="center"/>
          </w:tcPr>
          <w:p>
            <w:pPr>
              <w:widowControl/>
              <w:wordWrap/>
              <w:adjustRightInd/>
              <w:snapToGrid/>
              <w:spacing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p>
        </w:tc>
      </w:tr>
      <w:tr>
        <w:trPr>
          <w:tblCellSpacing w:w="0" w:type="dxa"/>
        </w:trPr>
        <w:tc>
          <w:tcPr>
            <w:tcW w:w="332" w:type="dxa"/>
            <w:vMerge w:val="continue"/>
            <w:tcBorders>
              <w:tl2br w:val="nil"/>
              <w:tr2bl w:val="nil"/>
            </w:tcBorders>
            <w:vAlign w:val="center"/>
          </w:tcPr>
          <w:p>
            <w:pPr>
              <w:widowControl/>
              <w:spacing w:line="360" w:lineRule="auto"/>
              <w:jc w:val="left"/>
              <w:rPr>
                <w:rFonts w:hint="eastAsia" w:ascii="仿宋" w:hAnsi="仿宋" w:eastAsia="仿宋" w:cs="仿宋"/>
                <w:b w:val="0"/>
                <w:bCs w:val="0"/>
                <w:color w:val="auto"/>
                <w:kern w:val="0"/>
                <w:sz w:val="21"/>
                <w:szCs w:val="21"/>
              </w:rPr>
            </w:pPr>
          </w:p>
        </w:tc>
        <w:tc>
          <w:tcPr>
            <w:tcW w:w="1109" w:type="dxa"/>
            <w:vMerge w:val="continue"/>
            <w:tcBorders>
              <w:tl2br w:val="nil"/>
              <w:tr2bl w:val="nil"/>
            </w:tcBorders>
            <w:vAlign w:val="center"/>
          </w:tcPr>
          <w:p>
            <w:pPr>
              <w:widowControl/>
              <w:wordWrap/>
              <w:adjustRightInd/>
              <w:snapToGrid/>
              <w:spacing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13</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城市污水处理厂污泥无害化处理率</w:t>
            </w:r>
          </w:p>
        </w:tc>
        <w:tc>
          <w:tcPr>
            <w:tcW w:w="2444"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c>
          <w:tcPr>
            <w:tcW w:w="705" w:type="dxa"/>
            <w:vMerge w:val="continue"/>
            <w:tcBorders>
              <w:tl2br w:val="nil"/>
              <w:tr2bl w:val="nil"/>
            </w:tcBorders>
            <w:vAlign w:val="center"/>
          </w:tcPr>
          <w:p>
            <w:pPr>
              <w:widowControl/>
              <w:wordWrap/>
              <w:adjustRightInd/>
              <w:snapToGrid/>
              <w:spacing w:before="120"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p>
        </w:tc>
      </w:tr>
      <w:tr>
        <w:trPr>
          <w:trHeight w:val="90" w:hRule="atLeast"/>
          <w:tblCellSpacing w:w="0" w:type="dxa"/>
        </w:trPr>
        <w:tc>
          <w:tcPr>
            <w:tcW w:w="332" w:type="dxa"/>
            <w:vMerge w:val="continue"/>
            <w:tcBorders>
              <w:tl2br w:val="nil"/>
              <w:tr2bl w:val="nil"/>
            </w:tcBorders>
            <w:vAlign w:val="center"/>
          </w:tcPr>
          <w:p>
            <w:pPr>
              <w:widowControl/>
              <w:spacing w:line="360" w:lineRule="auto"/>
              <w:jc w:val="left"/>
              <w:rPr>
                <w:rFonts w:hint="eastAsia" w:ascii="仿宋" w:hAnsi="仿宋" w:eastAsia="仿宋" w:cs="仿宋"/>
                <w:b w:val="0"/>
                <w:bCs w:val="0"/>
                <w:color w:val="auto"/>
                <w:kern w:val="0"/>
                <w:sz w:val="21"/>
                <w:szCs w:val="21"/>
              </w:rPr>
            </w:pPr>
          </w:p>
        </w:tc>
        <w:tc>
          <w:tcPr>
            <w:tcW w:w="1109" w:type="dxa"/>
            <w:vMerge w:val="restart"/>
            <w:tcBorders>
              <w:tl2br w:val="nil"/>
              <w:tr2bl w:val="nil"/>
            </w:tcBorders>
            <w:vAlign w:val="center"/>
          </w:tcPr>
          <w:p>
            <w:pPr>
              <w:widowControl/>
              <w:wordWrap/>
              <w:adjustRightInd/>
              <w:snapToGrid/>
              <w:spacing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土壤</w:t>
            </w: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14</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sz w:val="21"/>
                <w:szCs w:val="21"/>
              </w:rPr>
              <w:t>全县耕地土壤环境质量达标率</w:t>
            </w:r>
          </w:p>
        </w:tc>
        <w:tc>
          <w:tcPr>
            <w:tcW w:w="2444"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90%</w:t>
            </w:r>
          </w:p>
        </w:tc>
        <w:tc>
          <w:tcPr>
            <w:tcW w:w="705" w:type="dxa"/>
            <w:vMerge w:val="restart"/>
            <w:tcBorders>
              <w:tl2br w:val="nil"/>
              <w:tr2bl w:val="nil"/>
            </w:tcBorders>
            <w:vAlign w:val="center"/>
          </w:tcPr>
          <w:p>
            <w:pPr>
              <w:widowControl/>
              <w:wordWrap/>
              <w:adjustRightInd/>
              <w:snapToGrid/>
              <w:spacing w:before="120"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约束性</w:t>
            </w:r>
          </w:p>
        </w:tc>
      </w:tr>
      <w:tr>
        <w:trPr>
          <w:tblCellSpacing w:w="0" w:type="dxa"/>
        </w:trPr>
        <w:tc>
          <w:tcPr>
            <w:tcW w:w="332" w:type="dxa"/>
            <w:vMerge w:val="continue"/>
            <w:tcBorders>
              <w:tl2br w:val="nil"/>
              <w:tr2bl w:val="nil"/>
            </w:tcBorders>
            <w:vAlign w:val="center"/>
          </w:tcPr>
          <w:p>
            <w:pPr>
              <w:widowControl/>
              <w:spacing w:line="360" w:lineRule="auto"/>
              <w:jc w:val="left"/>
              <w:rPr>
                <w:rFonts w:hint="eastAsia" w:ascii="仿宋" w:hAnsi="仿宋" w:eastAsia="仿宋" w:cs="仿宋"/>
                <w:b w:val="0"/>
                <w:bCs w:val="0"/>
                <w:color w:val="auto"/>
                <w:kern w:val="0"/>
                <w:sz w:val="21"/>
                <w:szCs w:val="21"/>
              </w:rPr>
            </w:pPr>
          </w:p>
        </w:tc>
        <w:tc>
          <w:tcPr>
            <w:tcW w:w="1109" w:type="dxa"/>
            <w:vMerge w:val="continue"/>
            <w:tcBorders>
              <w:tl2br w:val="nil"/>
              <w:tr2bl w:val="nil"/>
            </w:tcBorders>
            <w:vAlign w:val="center"/>
          </w:tcPr>
          <w:p>
            <w:pPr>
              <w:widowControl/>
              <w:wordWrap/>
              <w:adjustRightInd/>
              <w:snapToGrid/>
              <w:spacing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15</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受污染耕地安全利用率</w:t>
            </w:r>
          </w:p>
        </w:tc>
        <w:tc>
          <w:tcPr>
            <w:tcW w:w="2444"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c>
          <w:tcPr>
            <w:tcW w:w="705" w:type="dxa"/>
            <w:vMerge w:val="continue"/>
            <w:tcBorders>
              <w:tl2br w:val="nil"/>
              <w:tr2bl w:val="nil"/>
            </w:tcBorders>
            <w:vAlign w:val="center"/>
          </w:tcPr>
          <w:p>
            <w:pPr>
              <w:widowControl/>
              <w:wordWrap/>
              <w:adjustRightInd/>
              <w:snapToGrid/>
              <w:spacing w:before="120"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p>
        </w:tc>
      </w:tr>
      <w:tr>
        <w:trPr>
          <w:tblCellSpacing w:w="0" w:type="dxa"/>
        </w:trPr>
        <w:tc>
          <w:tcPr>
            <w:tcW w:w="332" w:type="dxa"/>
            <w:vMerge w:val="continue"/>
            <w:tcBorders>
              <w:tl2br w:val="nil"/>
              <w:tr2bl w:val="nil"/>
            </w:tcBorders>
            <w:vAlign w:val="center"/>
          </w:tcPr>
          <w:p>
            <w:pPr>
              <w:widowControl/>
              <w:spacing w:line="360" w:lineRule="auto"/>
              <w:jc w:val="left"/>
              <w:rPr>
                <w:rFonts w:hint="eastAsia" w:ascii="仿宋" w:hAnsi="仿宋" w:eastAsia="仿宋" w:cs="仿宋"/>
                <w:b w:val="0"/>
                <w:bCs w:val="0"/>
                <w:color w:val="auto"/>
                <w:kern w:val="0"/>
                <w:sz w:val="21"/>
                <w:szCs w:val="21"/>
              </w:rPr>
            </w:pPr>
          </w:p>
        </w:tc>
        <w:tc>
          <w:tcPr>
            <w:tcW w:w="1109" w:type="dxa"/>
            <w:vMerge w:val="continue"/>
            <w:tcBorders>
              <w:tl2br w:val="nil"/>
              <w:tr2bl w:val="nil"/>
            </w:tcBorders>
            <w:vAlign w:val="center"/>
          </w:tcPr>
          <w:p>
            <w:pPr>
              <w:widowControl/>
              <w:wordWrap/>
              <w:adjustRightInd/>
              <w:snapToGrid/>
              <w:spacing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16</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受污染建设用地安全利用率</w:t>
            </w:r>
          </w:p>
        </w:tc>
        <w:tc>
          <w:tcPr>
            <w:tcW w:w="2444"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c>
          <w:tcPr>
            <w:tcW w:w="705" w:type="dxa"/>
            <w:vMerge w:val="continue"/>
            <w:tcBorders>
              <w:tl2br w:val="nil"/>
              <w:tr2bl w:val="nil"/>
            </w:tcBorders>
            <w:vAlign w:val="center"/>
          </w:tcPr>
          <w:p>
            <w:pPr>
              <w:widowControl/>
              <w:wordWrap/>
              <w:adjustRightInd/>
              <w:snapToGrid/>
              <w:spacing w:before="120"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p>
        </w:tc>
      </w:tr>
      <w:tr>
        <w:trPr>
          <w:tblCellSpacing w:w="0" w:type="dxa"/>
        </w:trPr>
        <w:tc>
          <w:tcPr>
            <w:tcW w:w="1441" w:type="dxa"/>
            <w:gridSpan w:val="2"/>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生态建设</w:t>
            </w: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17</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森林覆盖率</w:t>
            </w:r>
          </w:p>
        </w:tc>
        <w:tc>
          <w:tcPr>
            <w:tcW w:w="2444"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50%</w:t>
            </w:r>
          </w:p>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spacing w:val="-11"/>
                <w:sz w:val="21"/>
                <w:szCs w:val="21"/>
              </w:rPr>
              <w:t>注：数据以林业部门为准</w:t>
            </w:r>
          </w:p>
        </w:tc>
        <w:tc>
          <w:tcPr>
            <w:tcW w:w="705" w:type="dxa"/>
            <w:tcBorders>
              <w:tl2br w:val="nil"/>
              <w:tr2bl w:val="nil"/>
            </w:tcBorders>
            <w:vAlign w:val="center"/>
          </w:tcPr>
          <w:p>
            <w:pPr>
              <w:widowControl/>
              <w:wordWrap/>
              <w:adjustRightInd/>
              <w:snapToGrid/>
              <w:spacing w:before="120"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约束性</w:t>
            </w:r>
          </w:p>
        </w:tc>
      </w:tr>
      <w:tr>
        <w:trPr>
          <w:tblCellSpacing w:w="0" w:type="dxa"/>
        </w:trPr>
        <w:tc>
          <w:tcPr>
            <w:tcW w:w="1441" w:type="dxa"/>
            <w:gridSpan w:val="2"/>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环境风险防控</w:t>
            </w:r>
          </w:p>
        </w:tc>
        <w:tc>
          <w:tcPr>
            <w:tcW w:w="529"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18</w:t>
            </w:r>
          </w:p>
        </w:tc>
        <w:tc>
          <w:tcPr>
            <w:tcW w:w="3207"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五年突发环境事件总数</w:t>
            </w:r>
          </w:p>
        </w:tc>
        <w:tc>
          <w:tcPr>
            <w:tcW w:w="2444" w:type="dxa"/>
            <w:tcBorders>
              <w:tl2br w:val="nil"/>
              <w:tr2bl w:val="nil"/>
            </w:tcBorders>
            <w:vAlign w:val="center"/>
          </w:tcPr>
          <w:p>
            <w:pPr>
              <w:widowControl/>
              <w:wordWrap/>
              <w:adjustRightInd/>
              <w:snapToGrid/>
              <w:spacing w:before="120" w:after="0" w:line="400" w:lineRule="exact"/>
              <w:ind w:left="0" w:leftChars="0" w:right="0" w:firstLine="0" w:firstLineChars="0"/>
              <w:jc w:val="center"/>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0</w:t>
            </w:r>
          </w:p>
        </w:tc>
        <w:tc>
          <w:tcPr>
            <w:tcW w:w="705" w:type="dxa"/>
            <w:tcBorders>
              <w:tl2br w:val="nil"/>
              <w:tr2bl w:val="nil"/>
            </w:tcBorders>
            <w:vAlign w:val="center"/>
          </w:tcPr>
          <w:p>
            <w:pPr>
              <w:widowControl/>
              <w:wordWrap/>
              <w:adjustRightInd/>
              <w:snapToGrid/>
              <w:spacing w:after="0" w:line="400" w:lineRule="exact"/>
              <w:ind w:left="0" w:leftChars="0" w:right="0" w:firstLine="0" w:firstLineChars="0"/>
              <w:jc w:val="left"/>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预期性</w:t>
            </w:r>
          </w:p>
        </w:tc>
      </w:tr>
    </w:tbl>
    <w:p>
      <w:pPr>
        <w:pStyle w:val="3"/>
        <w:spacing w:before="312" w:after="312" w:line="360" w:lineRule="auto"/>
        <w:jc w:val="center"/>
        <w:outlineLvl w:val="0"/>
        <w:rPr>
          <w:rFonts w:hint="eastAsia" w:ascii="仿宋" w:hAnsi="仿宋" w:eastAsia="仿宋" w:cs="仿宋"/>
          <w:b/>
          <w:bCs/>
          <w:color w:val="auto"/>
          <w:kern w:val="2"/>
          <w:sz w:val="44"/>
          <w:szCs w:val="44"/>
          <w:lang w:val="en-US" w:eastAsia="zh-CN" w:bidi="ar-SA"/>
        </w:rPr>
      </w:pPr>
      <w:bookmarkStart w:id="18" w:name="_Toc25916"/>
      <w:r>
        <w:rPr>
          <w:rFonts w:hint="eastAsia" w:ascii="仿宋" w:hAnsi="仿宋" w:eastAsia="仿宋" w:cs="仿宋"/>
          <w:b/>
          <w:bCs/>
          <w:color w:val="auto"/>
          <w:kern w:val="2"/>
          <w:sz w:val="44"/>
          <w:szCs w:val="44"/>
          <w:lang w:val="en-US" w:eastAsia="zh-CN" w:bidi="ar-SA"/>
        </w:rPr>
        <w:t>第四章  生态环境保护重点任务</w:t>
      </w:r>
      <w:bookmarkEnd w:id="13"/>
      <w:bookmarkEnd w:id="14"/>
      <w:bookmarkEnd w:id="15"/>
      <w:bookmarkEnd w:id="16"/>
      <w:bookmarkEnd w:id="17"/>
      <w:bookmarkEnd w:id="18"/>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w:t>
      </w:r>
      <w:r>
        <w:rPr>
          <w:rFonts w:hint="eastAsia" w:ascii="仿宋" w:hAnsi="仿宋" w:eastAsia="仿宋" w:cs="仿宋"/>
          <w:color w:val="auto"/>
          <w:sz w:val="32"/>
          <w:szCs w:val="32"/>
        </w:rPr>
        <w:t>十四五”期间，持续推进生态建设，从水环境、大气环境、噪声环境等环境治理以及固体废物管理、土壤污染防治等方面开展工作，进一步提升环境质量，统筹抓好治污减排工作。</w:t>
      </w:r>
    </w:p>
    <w:p>
      <w:pPr>
        <w:ind w:firstLine="643" w:firstLineChars="200"/>
        <w:outlineLvl w:val="1"/>
        <w:rPr>
          <w:rFonts w:ascii="仿宋" w:hAnsi="仿宋" w:eastAsia="仿宋" w:cs="仿宋"/>
          <w:b/>
          <w:bCs/>
          <w:color w:val="auto"/>
          <w:sz w:val="32"/>
          <w:szCs w:val="32"/>
        </w:rPr>
      </w:pPr>
      <w:bookmarkStart w:id="19" w:name="_Toc23651"/>
      <w:r>
        <w:rPr>
          <w:rFonts w:hint="eastAsia" w:ascii="仿宋" w:hAnsi="仿宋" w:eastAsia="仿宋" w:cs="仿宋"/>
          <w:b/>
          <w:bCs/>
          <w:color w:val="auto"/>
          <w:sz w:val="32"/>
          <w:szCs w:val="32"/>
        </w:rPr>
        <w:t>一、严格执行“三线一单”制度</w:t>
      </w:r>
      <w:bookmarkEnd w:id="19"/>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严格落实朝阳市关于“三线一单”分区管控的要求，细化管控单元，强化生态空间管控与优化布局，推动生态环境分区管控与经济社会发展布局、国土空间规划充分衔接，强化空间引导和分区施策。</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严格环境准入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加强环境影响评价引导功能，优化发展布局、调控开发强度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严格执行建设项目环境影响评价制度和“三同时”制度，强化环评源头管控。充分发挥产业</w:t>
      </w:r>
      <w:r>
        <w:rPr>
          <w:rFonts w:hint="eastAsia" w:ascii="仿宋" w:hAnsi="仿宋" w:eastAsia="仿宋" w:cs="仿宋"/>
          <w:color w:val="auto"/>
          <w:sz w:val="32"/>
          <w:szCs w:val="32"/>
          <w:lang w:eastAsia="zh-CN"/>
        </w:rPr>
        <w:t>准入</w:t>
      </w:r>
      <w:r>
        <w:rPr>
          <w:rFonts w:hint="eastAsia" w:ascii="仿宋" w:hAnsi="仿宋" w:eastAsia="仿宋" w:cs="仿宋"/>
          <w:color w:val="auto"/>
          <w:sz w:val="32"/>
          <w:szCs w:val="32"/>
        </w:rPr>
        <w:t>清单引导作用，强化产业准入负面清单约束机制，根据各乡镇场街、产业园区的资源禀赋、环境容量和生态状况，设置环境准入门槛，明确高耗能、高排放和资源型行业准入条件，明确资源配置的具体要求及能源节约和污染物排放等指标。</w:t>
      </w:r>
    </w:p>
    <w:p>
      <w:pPr>
        <w:ind w:firstLine="643" w:firstLineChars="200"/>
        <w:outlineLvl w:val="1"/>
        <w:rPr>
          <w:rFonts w:ascii="仿宋" w:hAnsi="仿宋" w:eastAsia="仿宋" w:cs="仿宋"/>
          <w:b/>
          <w:bCs/>
          <w:color w:val="auto"/>
          <w:sz w:val="32"/>
          <w:szCs w:val="32"/>
        </w:rPr>
      </w:pPr>
      <w:bookmarkStart w:id="20" w:name="_Toc13005"/>
      <w:r>
        <w:rPr>
          <w:rFonts w:hint="eastAsia" w:ascii="仿宋" w:hAnsi="仿宋" w:eastAsia="仿宋" w:cs="仿宋"/>
          <w:b/>
          <w:bCs/>
          <w:color w:val="auto"/>
          <w:sz w:val="32"/>
          <w:szCs w:val="32"/>
        </w:rPr>
        <w:t>二、积极应对气候变化</w:t>
      </w:r>
      <w:bookmarkEnd w:id="20"/>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1、推动制定碳排放达峰行动方案</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根据国家、省、市碳达峰政策要求，开展二氧化碳排放达峰路线图研究，推动制定碳排放达峰行动方案，积极探索符合建平战略定位、发展阶段、产业特征、能源结构和资源禀赋的绿色低碳转型路径。鼓励碳排放或综合能源消费较大的企业制定企业碳达峰行动方案，开展企业自身节能降耗、绿色低碳转型实践，积极谋划社会生活碳达峰。</w:t>
      </w:r>
    </w:p>
    <w:p>
      <w:pPr>
        <w:ind w:firstLine="640" w:firstLineChars="200"/>
        <w:rPr>
          <w:rFonts w:ascii="宋体" w:hAnsi="宋体" w:eastAsia="宋体" w:cs="宋体"/>
          <w:color w:val="auto"/>
          <w:sz w:val="32"/>
          <w:szCs w:val="32"/>
        </w:rPr>
      </w:pPr>
      <w:r>
        <w:rPr>
          <w:rFonts w:hint="eastAsia" w:ascii="仿宋" w:hAnsi="仿宋" w:eastAsia="仿宋" w:cs="仿宋"/>
          <w:color w:val="auto"/>
          <w:sz w:val="32"/>
          <w:szCs w:val="32"/>
        </w:rPr>
        <w:t>根据上级政策要求，编制县域碳汇清单，摸清县域内森林、农田、草原、湿地固碳本底情况。根据县内碳汇量确定产业发展、土地利用碳排放上限，实行重点行业、重点产品的温室气体排放、能耗限额控制。</w:t>
      </w:r>
    </w:p>
    <w:p>
      <w:pPr>
        <w:rPr>
          <w:rFonts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根据国家的技术导则和上级部门的政策要求，编制温室气体排放清单，将温室气体排放基础统计指标纳入全县统计指标体系，建立健全涵盖能源活动、产业生产过程、土地利用变化等领域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围绕碳排放控制目标，强化项目准入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在规划环评、项目环评阶段要求增加能评</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碳评内容，并</w:t>
      </w:r>
      <w:r>
        <w:rPr>
          <w:rFonts w:hint="eastAsia" w:ascii="仿宋" w:hAnsi="仿宋" w:eastAsia="仿宋" w:cs="仿宋"/>
          <w:color w:val="auto"/>
          <w:sz w:val="32"/>
          <w:szCs w:val="32"/>
          <w:lang w:eastAsia="zh-CN"/>
        </w:rPr>
        <w:t>按照</w:t>
      </w:r>
      <w:r>
        <w:rPr>
          <w:rFonts w:hint="eastAsia" w:ascii="仿宋" w:hAnsi="仿宋" w:eastAsia="仿宋" w:cs="仿宋"/>
          <w:color w:val="auto"/>
          <w:sz w:val="32"/>
          <w:szCs w:val="32"/>
        </w:rPr>
        <w:t>能评</w:t>
      </w:r>
      <w:r>
        <w:rPr>
          <w:rFonts w:hint="eastAsia" w:ascii="仿宋" w:hAnsi="仿宋" w:eastAsia="仿宋" w:cs="仿宋"/>
          <w:color w:val="auto"/>
          <w:sz w:val="32"/>
          <w:szCs w:val="32"/>
          <w:lang w:eastAsia="zh-CN"/>
        </w:rPr>
        <w:t>的内容</w:t>
      </w:r>
      <w:r>
        <w:rPr>
          <w:rFonts w:hint="eastAsia" w:ascii="仿宋" w:hAnsi="仿宋" w:eastAsia="仿宋" w:cs="仿宋"/>
          <w:color w:val="auto"/>
          <w:sz w:val="32"/>
          <w:szCs w:val="32"/>
        </w:rPr>
        <w:t xml:space="preserve">实施事中事后监管。 </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2、有效控制温室气体排放控制重点领域二氧化碳排放</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全面加强二氧化碳排放总量和强度控制，支持企业实施工业锅炉窑炉节能改造、余热余压回收利用等能效提升工程。积极推动风光发电</w:t>
      </w:r>
      <w:r>
        <w:rPr>
          <w:rFonts w:hint="eastAsia" w:ascii="仿宋" w:hAnsi="仿宋" w:eastAsia="仿宋" w:cs="仿宋"/>
          <w:color w:val="auto"/>
          <w:sz w:val="32"/>
          <w:szCs w:val="32"/>
          <w:lang w:eastAsia="zh-CN"/>
        </w:rPr>
        <w:t>项目的</w:t>
      </w:r>
      <w:r>
        <w:rPr>
          <w:rFonts w:hint="eastAsia" w:ascii="仿宋" w:hAnsi="仿宋" w:eastAsia="仿宋" w:cs="仿宋"/>
          <w:color w:val="auto"/>
          <w:sz w:val="32"/>
          <w:szCs w:val="32"/>
        </w:rPr>
        <w:t>建设，普及城乡太阳能光热利用，探索建立小型分布式光伏电站、光伏电源系统，加强城乡电网建设和改造，逐步提高稳定供电能力。</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 xml:space="preserve"> 3、推行全民低碳行动。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积极按照上级政策和技术要求，面向全县园区和企业，探索参与“低碳”“零碳”试点示范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开展“碳中和”实践，推动有条件的企业参与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零碳</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试点建设，推进实施“碳中和”活动。深入践行绿色理念，</w:t>
      </w:r>
      <w:r>
        <w:rPr>
          <w:rFonts w:hint="eastAsia" w:ascii="仿宋" w:hAnsi="仿宋" w:eastAsia="仿宋" w:cs="仿宋"/>
          <w:color w:val="auto"/>
          <w:sz w:val="32"/>
          <w:szCs w:val="32"/>
          <w:lang w:eastAsia="zh-CN"/>
        </w:rPr>
        <w:t>宣传绿色出行，</w:t>
      </w:r>
      <w:r>
        <w:rPr>
          <w:rFonts w:hint="eastAsia" w:ascii="仿宋" w:hAnsi="仿宋" w:eastAsia="仿宋" w:cs="仿宋"/>
          <w:color w:val="auto"/>
          <w:sz w:val="32"/>
          <w:szCs w:val="32"/>
        </w:rPr>
        <w:t>节能降碳理念，</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rPr>
        <w:t>二氧化碳排放</w:t>
      </w:r>
      <w:r>
        <w:rPr>
          <w:rFonts w:hint="eastAsia" w:ascii="仿宋" w:hAnsi="仿宋" w:eastAsia="仿宋" w:cs="仿宋"/>
          <w:color w:val="auto"/>
          <w:sz w:val="32"/>
          <w:szCs w:val="32"/>
          <w:lang w:eastAsia="zh-CN"/>
        </w:rPr>
        <w:t>量</w:t>
      </w:r>
      <w:r>
        <w:rPr>
          <w:rFonts w:hint="eastAsia" w:ascii="仿宋" w:hAnsi="仿宋" w:eastAsia="仿宋" w:cs="仿宋"/>
          <w:color w:val="auto"/>
          <w:sz w:val="32"/>
          <w:szCs w:val="32"/>
        </w:rPr>
        <w:t>。</w:t>
      </w:r>
    </w:p>
    <w:p>
      <w:pPr>
        <w:pStyle w:val="2"/>
        <w:rPr>
          <w:color w:val="auto"/>
        </w:rPr>
      </w:pPr>
    </w:p>
    <w:p>
      <w:pPr>
        <w:ind w:firstLine="643" w:firstLineChars="200"/>
        <w:outlineLvl w:val="1"/>
        <w:rPr>
          <w:rFonts w:hint="eastAsia" w:ascii="仿宋" w:hAnsi="仿宋" w:eastAsia="仿宋" w:cs="仿宋"/>
          <w:b/>
          <w:bCs/>
          <w:color w:val="auto"/>
          <w:sz w:val="32"/>
          <w:szCs w:val="32"/>
        </w:rPr>
      </w:pPr>
      <w:bookmarkStart w:id="21" w:name="_Toc29026"/>
      <w:r>
        <w:rPr>
          <w:rFonts w:hint="eastAsia" w:ascii="仿宋" w:hAnsi="仿宋" w:eastAsia="仿宋" w:cs="仿宋"/>
          <w:b/>
          <w:bCs/>
          <w:color w:val="auto"/>
          <w:sz w:val="32"/>
          <w:szCs w:val="32"/>
        </w:rPr>
        <w:t>三、大气污染防治</w:t>
      </w:r>
      <w:bookmarkEnd w:id="21"/>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（一）深入推进能源结构、产业结构优化调整</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1、实行煤炭消费总量控制。</w:t>
      </w:r>
      <w:r>
        <w:rPr>
          <w:rFonts w:hint="eastAsia" w:ascii="仿宋" w:hAnsi="仿宋" w:eastAsia="仿宋" w:cs="仿宋"/>
          <w:color w:val="auto"/>
          <w:sz w:val="32"/>
          <w:szCs w:val="32"/>
          <w:lang w:eastAsia="zh-CN"/>
        </w:rPr>
        <w:t>落实“</w:t>
      </w:r>
      <w:r>
        <w:rPr>
          <w:rFonts w:hint="eastAsia" w:ascii="仿宋" w:hAnsi="仿宋" w:eastAsia="仿宋" w:cs="仿宋"/>
          <w:color w:val="auto"/>
          <w:sz w:val="32"/>
          <w:szCs w:val="32"/>
        </w:rPr>
        <w:t>控煤</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措施，从源头减少</w:t>
      </w:r>
      <w:r>
        <w:rPr>
          <w:rFonts w:hint="eastAsia" w:ascii="仿宋" w:hAnsi="仿宋" w:eastAsia="仿宋" w:cs="仿宋"/>
          <w:color w:val="auto"/>
          <w:sz w:val="32"/>
          <w:szCs w:val="32"/>
          <w:lang w:eastAsia="zh-CN"/>
        </w:rPr>
        <w:t>散煤和高硫煤</w:t>
      </w:r>
      <w:r>
        <w:rPr>
          <w:rFonts w:hint="eastAsia" w:ascii="仿宋" w:hAnsi="仿宋" w:eastAsia="仿宋" w:cs="仿宋"/>
          <w:color w:val="auto"/>
          <w:sz w:val="32"/>
          <w:szCs w:val="32"/>
        </w:rPr>
        <w:t>的使用量，进而降低燃煤污染物排放总量。</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加快实施气化工程。全面推进气源、天然气管网建设及下游利用。“十四五”期间，建平经济开发区力争全部实现天然气清洁能源替代改造工程。优化天然气使用方式，新增天然气优先保障居民生活或用于替代燃煤</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开展重点区域重点行业工业炉窑清洁能源替代。以陶瓷、铸造行业企业为重点，推进具备天然气通气条件的</w:t>
      </w:r>
      <w:r>
        <w:rPr>
          <w:rFonts w:hint="eastAsia" w:ascii="仿宋" w:hAnsi="仿宋" w:eastAsia="仿宋" w:cs="仿宋"/>
          <w:color w:val="auto"/>
          <w:sz w:val="32"/>
          <w:szCs w:val="32"/>
          <w:lang w:eastAsia="zh-CN"/>
        </w:rPr>
        <w:t>企业</w:t>
      </w:r>
      <w:r>
        <w:rPr>
          <w:rFonts w:hint="eastAsia" w:ascii="仿宋" w:hAnsi="仿宋" w:eastAsia="仿宋" w:cs="仿宋"/>
          <w:color w:val="auto"/>
          <w:sz w:val="32"/>
          <w:szCs w:val="32"/>
        </w:rPr>
        <w:t>实施清洁能源替代</w:t>
      </w:r>
      <w:r>
        <w:rPr>
          <w:rFonts w:hint="eastAsia" w:ascii="仿宋" w:hAnsi="仿宋" w:eastAsia="仿宋" w:cs="仿宋"/>
          <w:color w:val="auto"/>
          <w:sz w:val="32"/>
          <w:szCs w:val="32"/>
          <w:lang w:eastAsia="zh-CN"/>
        </w:rPr>
        <w:t>工程，</w:t>
      </w:r>
      <w:r>
        <w:rPr>
          <w:rFonts w:hint="eastAsia" w:ascii="仿宋" w:hAnsi="仿宋" w:eastAsia="仿宋" w:cs="仿宋"/>
          <w:color w:val="auto"/>
          <w:sz w:val="32"/>
          <w:szCs w:val="32"/>
        </w:rPr>
        <w:t>工业炉窑以“易气则气、易电则电”为原则，</w:t>
      </w:r>
      <w:r>
        <w:rPr>
          <w:rFonts w:hint="eastAsia" w:ascii="仿宋" w:hAnsi="仿宋" w:eastAsia="仿宋" w:cs="仿宋"/>
          <w:color w:val="auto"/>
          <w:sz w:val="32"/>
          <w:szCs w:val="32"/>
          <w:lang w:eastAsia="zh-CN"/>
        </w:rPr>
        <w:t>到</w:t>
      </w:r>
      <w:r>
        <w:rPr>
          <w:rFonts w:hint="eastAsia" w:ascii="仿宋" w:hAnsi="仿宋" w:eastAsia="仿宋" w:cs="仿宋"/>
          <w:color w:val="auto"/>
          <w:sz w:val="32"/>
          <w:szCs w:val="32"/>
        </w:rPr>
        <w:t>2025年，力争全县完成工业窑炉的天然气改造，洁净煤使用率达90%以上。</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3、积极推进煤炭清洁利用。加强煤炭质量监管，禁止高灰份、高硫份的劣质煤炭流入建平；限制销售灰份高于16%、发热量小于4000卡/克、硫份高于0.6%的散煤。</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4、提高能源使用效率，严格落实节能评估审查制度。积极发展绿色建筑，新建建筑严格执行强制性节能标准并安装供热计量装置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逐步实现城区既有居住建筑节能改造。</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5、扩大高污染燃料禁燃区范围。</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城区禁燃区面积不低于70%。清洁能源替代力争在2022年开展，2025年铺开。</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6、划定建平县大气功能区划。依据国家、省、市等大气相关政策，以改善大气环境质量，打造宜居空气环境为目的，对建平县大气功能区划进行划定。</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7、科学推进太阳能、地热能、风能等清洁能源利用。有序开发新能源替代。</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8、调整产业布局和产业结构，优化城市空间布局。立足建平实际，全力围绕资源开发、资源深加工、产业集聚升级、技术进步、产业延伸等多种手段和途径，推进产业结构调整。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9、严控产能严重过剩行业新增产能</w:t>
      </w:r>
      <w:r>
        <w:rPr>
          <w:rFonts w:hint="eastAsia" w:ascii="仿宋" w:hAnsi="仿宋" w:eastAsia="仿宋" w:cs="仿宋"/>
          <w:color w:val="auto"/>
          <w:sz w:val="32"/>
          <w:szCs w:val="32"/>
          <w:lang w:eastAsia="zh-CN"/>
        </w:rPr>
        <w:t>，制止并</w:t>
      </w:r>
      <w:r>
        <w:rPr>
          <w:rFonts w:hint="eastAsia" w:ascii="仿宋" w:hAnsi="仿宋" w:eastAsia="仿宋" w:cs="仿宋"/>
          <w:color w:val="auto"/>
          <w:sz w:val="32"/>
          <w:szCs w:val="32"/>
        </w:rPr>
        <w:t>清理违规在建项目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加快淘汰落后产能及违规建设项目。</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10、加强推进企业清洁生产和循环经济，对不符合环保要求的企业按照相关法律法规进行综合整治。</w:t>
      </w:r>
    </w:p>
    <w:p>
      <w:pPr>
        <w:ind w:firstLine="643" w:firstLineChars="200"/>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（二）提高精细化管理，改善环境空气质量</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持续打好大气污染防治攻坚战，推动环境空气质量持续向好，科学开展城市污染防控，提高精细化管理水平，抓细抓实环境空气质量。</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构建网格化空气质量监测平台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对城区、工业园区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工地等存在大气污染排放源的区域，进行全面、精准"网格化布点"，综合固定监测和移动监测技术，对城市空气质量做到有效监测，形成精细的覆盖整个城区的感知物联网络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通过平台和大数据计算，实时监控多种污染物的浓度</w:t>
      </w:r>
      <w:r>
        <w:rPr>
          <w:rFonts w:hint="eastAsia" w:ascii="仿宋" w:hAnsi="仿宋" w:eastAsia="仿宋" w:cs="仿宋"/>
          <w:color w:val="auto"/>
          <w:sz w:val="32"/>
          <w:szCs w:val="32"/>
          <w:lang w:eastAsia="zh-CN"/>
        </w:rPr>
        <w:t>变化</w:t>
      </w:r>
      <w:r>
        <w:rPr>
          <w:rFonts w:hint="eastAsia" w:ascii="仿宋" w:hAnsi="仿宋" w:eastAsia="仿宋" w:cs="仿宋"/>
          <w:color w:val="auto"/>
          <w:sz w:val="32"/>
          <w:szCs w:val="32"/>
        </w:rPr>
        <w:t>，分析污染物分布规律，确定城区空气污染的主要成因和来源，并为预警、溯源及靶向治理等环保决策提供精准的大数据支持。</w:t>
      </w:r>
    </w:p>
    <w:p>
      <w:pPr>
        <w:ind w:firstLine="643" w:firstLineChars="200"/>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（三）深化固定源、移动源、扬尘污染治理</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完善空气质量管理体系。强化大气污染防治工作，降低扬尘和燃煤污染是改善空气质量的首要措施。对县城区裸露地面、建筑工地、拆迁工地、煤场灰堆、道路清扫、燃煤设施等污染源分别采取各种污染防治措施，明确具体责任单位，定期开展专项执法检查，严格考核，定期通报。</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2、开展移动源整治。以城区机动车为主，非道路移动源同步，布设固定式机动车尾气监测平台，对主城区及周边主要交通干</w:t>
      </w:r>
      <w:r>
        <w:rPr>
          <w:rFonts w:hint="eastAsia" w:ascii="仿宋" w:hAnsi="仿宋" w:eastAsia="仿宋" w:cs="仿宋"/>
          <w:color w:val="auto"/>
          <w:sz w:val="32"/>
          <w:szCs w:val="32"/>
          <w:lang w:eastAsia="zh-CN"/>
        </w:rPr>
        <w:t>线</w:t>
      </w:r>
      <w:r>
        <w:rPr>
          <w:rFonts w:hint="eastAsia" w:ascii="仿宋" w:hAnsi="仿宋" w:eastAsia="仿宋" w:cs="仿宋"/>
          <w:color w:val="auto"/>
          <w:sz w:val="32"/>
          <w:szCs w:val="32"/>
        </w:rPr>
        <w:t>行驶的机动车尾气排放情况实施动态监控，进一步推进县城区机动车尾气排放污染治理。建立机动车排放检验与强制</w:t>
      </w:r>
      <w:r>
        <w:rPr>
          <w:rFonts w:hint="eastAsia" w:ascii="仿宋" w:hAnsi="仿宋" w:eastAsia="仿宋" w:cs="仿宋"/>
          <w:color w:val="auto"/>
          <w:sz w:val="32"/>
          <w:szCs w:val="32"/>
          <w:lang w:eastAsia="zh-CN"/>
        </w:rPr>
        <w:t>报废</w:t>
      </w:r>
      <w:r>
        <w:rPr>
          <w:rFonts w:hint="eastAsia" w:ascii="仿宋" w:hAnsi="仿宋" w:eastAsia="仿宋" w:cs="仿宋"/>
          <w:color w:val="auto"/>
          <w:sz w:val="32"/>
          <w:szCs w:val="32"/>
        </w:rPr>
        <w:t>制度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狠抓柴油货车污染治理。加强高排放工程机械、柴油货车、农业机械等管理，开展柴油车注册登记</w:t>
      </w:r>
      <w:r>
        <w:rPr>
          <w:rFonts w:hint="eastAsia" w:ascii="仿宋" w:hAnsi="仿宋" w:eastAsia="仿宋" w:cs="仿宋"/>
          <w:color w:val="auto"/>
          <w:sz w:val="32"/>
          <w:szCs w:val="32"/>
          <w:lang w:eastAsia="zh-CN"/>
        </w:rPr>
        <w:t>和尾气监测</w:t>
      </w:r>
      <w:r>
        <w:rPr>
          <w:rFonts w:hint="eastAsia" w:ascii="仿宋" w:hAnsi="仿宋" w:eastAsia="仿宋" w:cs="仿宋"/>
          <w:color w:val="auto"/>
          <w:sz w:val="32"/>
          <w:szCs w:val="32"/>
        </w:rPr>
        <w:t>。继续提高公共车辆中新能源汽车占比，力争2025年前基本实现公交新能源化。</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深入开展工业窑炉整治。加大涉工业炉窑产业结构调整力度，除了严格建设项目环境准入外，还要加大落后产能和不达标工业炉窑淘汰力度，一是以建设了工业窑炉的建材、膨润土、珍珠岩等行业为重点，对照行业</w:t>
      </w:r>
      <w:r>
        <w:rPr>
          <w:rFonts w:hint="eastAsia" w:ascii="仿宋" w:hAnsi="仿宋" w:eastAsia="仿宋" w:cs="仿宋"/>
          <w:color w:val="auto"/>
          <w:sz w:val="32"/>
          <w:szCs w:val="32"/>
          <w:lang w:eastAsia="zh-CN"/>
        </w:rPr>
        <w:t>污染物排放</w:t>
      </w:r>
      <w:r>
        <w:rPr>
          <w:rFonts w:hint="eastAsia" w:ascii="仿宋" w:hAnsi="仿宋" w:eastAsia="仿宋" w:cs="仿宋"/>
          <w:color w:val="auto"/>
          <w:sz w:val="32"/>
          <w:szCs w:val="32"/>
        </w:rPr>
        <w:t>标准，对热效率低下、敞开未封闭，装备简易落后、自动化程度低，无组织排放突出，以及无治理设施或治理设施工艺落后等严重污染环境的工业炉窑，依法责令停业、关闭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二是加大煤气发生炉淘汰力度，依法依规推进炉膛直径3米以下燃料类煤气发生炉有序退出，改用天然气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三是开展重点行业超低排放技术改造，对列入超低排放改造计划的企业，建立领导干部分级包联责任制，逐一对接企业需求，及时协调解决问题，帮助企业加快治理进度。四是严格执行《铸造工业大气污染物排放标准》（GB39726—2020），新建企业自 2021年1月1日起，现有企业自2023年7月1日起执行新的排放标准，对不符合排放标准的铸造企业，要在2023年7月1日前完成提标改造，确保各项污染物排放符合新标准要求。</w:t>
      </w:r>
    </w:p>
    <w:p>
      <w:pPr>
        <w:ind w:firstLine="643" w:firstLineChars="200"/>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（四）强化秸秆禁烧监管</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按照“乡镇(街道)为主、村(社区)落实”的原则，建立健全秸秆禁烧工作机制，成立秸秆禁烧工作领导小组，制订秸秆禁烧工作方案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建立县、乡镇(街道)、村(社区)、组四级秸秆禁烧工作网络，成立巡查组，严密组织日常巡查，严防田间、垄沟、地头、果园、苗圃的秸秆、杂草和枯枝败叶焚烧</w:t>
      </w:r>
      <w:r>
        <w:rPr>
          <w:rFonts w:hint="eastAsia" w:ascii="仿宋" w:hAnsi="仿宋" w:eastAsia="仿宋" w:cs="仿宋"/>
          <w:color w:val="auto"/>
          <w:sz w:val="32"/>
          <w:szCs w:val="32"/>
          <w:lang w:eastAsia="zh-CN"/>
        </w:rPr>
        <w:t>行为。</w:t>
      </w:r>
      <w:r>
        <w:rPr>
          <w:rFonts w:hint="eastAsia" w:ascii="仿宋" w:hAnsi="仿宋" w:eastAsia="仿宋" w:cs="仿宋"/>
          <w:color w:val="auto"/>
          <w:sz w:val="32"/>
          <w:szCs w:val="32"/>
        </w:rPr>
        <w:t>国家省市举行重大活动、重污染天气、节假日等重点时段，对高速公路、铁路、国道及主城区周边等重点区域、重点部位进行重点巡查、重点监管。设立举报电话，24小时受理群众举报，建平县生态环境综合行政执法队强化监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于在露天焚烧秸秆等产生烟尘污染物的行为，依据《中华人民共和国大气污染防治法》相关规定，由政府确定的监督管理部门责令改正，并处500元以上2000元以下的罚款;对于焚烧秸秆造成严重后果、涉嫌犯罪的，移交公安机关处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于干扰、阻挠国家工作人员依法履行职务的违法犯罪行为，由公安机关依法追究当事人的法律责任。继续推广秸秆综合利用技术，形成以秸秆直接还田或作饲料为主，秸秆堆沤、气化、压块和栽培食用菌等为补充的综合利用格局。</w:t>
      </w:r>
    </w:p>
    <w:p>
      <w:pPr>
        <w:ind w:firstLine="643" w:firstLineChars="200"/>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（五）开展重点行业VOCs综合治理</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研究制定《建平县重点行业挥发性有机污染物综合治理方案》，强化推动陶瓷制品、家具制造、木材加工、表面涂装</w:t>
      </w:r>
      <w:r>
        <w:rPr>
          <w:rFonts w:hint="eastAsia" w:ascii="仿宋" w:hAnsi="仿宋" w:eastAsia="仿宋" w:cs="仿宋"/>
          <w:color w:val="auto"/>
          <w:sz w:val="32"/>
          <w:szCs w:val="32"/>
          <w:lang w:eastAsia="zh-CN"/>
        </w:rPr>
        <w:t>等各</w:t>
      </w:r>
      <w:r>
        <w:rPr>
          <w:rFonts w:hint="eastAsia" w:ascii="仿宋" w:hAnsi="仿宋" w:eastAsia="仿宋" w:cs="仿宋"/>
          <w:color w:val="auto"/>
          <w:sz w:val="32"/>
          <w:szCs w:val="32"/>
        </w:rPr>
        <w:t>行业VOCs废气收集和处理，大力推进源头控制，全面加强无组织排放管控，确保实现涉VOCs排放企业收集设备覆盖率达100%，收集率不低于80%，去除效率不低于75%。同时加强监测监控、强化执法检查，改善环境空气质量。</w:t>
      </w:r>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（六）健全监测预警和应急体系</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进一步突出精准治污、科学治污、依法治污，更好的保障公众身体健康，积极应对重污染天气，实施重污染天气应急响应，指导企业制定“一厂一策”，在重污染天气期间对企业实施分级量化管控。突出重点精准减排，应急减排措施以</w:t>
      </w:r>
      <w:r>
        <w:rPr>
          <w:rFonts w:hint="eastAsia" w:ascii="仿宋" w:hAnsi="仿宋" w:eastAsia="仿宋" w:cs="仿宋"/>
          <w:color w:val="auto"/>
          <w:sz w:val="32"/>
          <w:szCs w:val="32"/>
          <w:lang w:eastAsia="zh-CN"/>
        </w:rPr>
        <w:t>有效</w:t>
      </w:r>
      <w:r>
        <w:rPr>
          <w:rFonts w:hint="eastAsia" w:ascii="仿宋" w:hAnsi="仿宋" w:eastAsia="仿宋" w:cs="仿宋"/>
          <w:color w:val="auto"/>
          <w:sz w:val="32"/>
          <w:szCs w:val="32"/>
        </w:rPr>
        <w:t>控制重污染行业</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涉气工序为主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针对不同治理水平和排放强度的工业企业，分类施策。以“可操作、可监测、可核查”作为基本要求，工业企业减排措施应以停止生产线或停止主要生产工序(设备）为主，对不可临时中断的生产线或生产工序，指导企业</w:t>
      </w:r>
      <w:r>
        <w:rPr>
          <w:rFonts w:hint="eastAsia" w:ascii="仿宋" w:hAnsi="仿宋" w:eastAsia="仿宋" w:cs="仿宋"/>
          <w:color w:val="auto"/>
          <w:sz w:val="32"/>
          <w:szCs w:val="32"/>
          <w:lang w:eastAsia="zh-CN"/>
        </w:rPr>
        <w:t>先行报备</w:t>
      </w:r>
      <w:r>
        <w:rPr>
          <w:rFonts w:hint="eastAsia" w:ascii="仿宋" w:hAnsi="仿宋" w:eastAsia="仿宋" w:cs="仿宋"/>
          <w:color w:val="auto"/>
          <w:sz w:val="32"/>
          <w:szCs w:val="32"/>
        </w:rPr>
        <w:t>。</w:t>
      </w:r>
    </w:p>
    <w:p>
      <w:pPr>
        <w:ind w:firstLine="643" w:firstLineChars="200"/>
        <w:outlineLvl w:val="1"/>
        <w:rPr>
          <w:rFonts w:hint="eastAsia" w:ascii="仿宋" w:hAnsi="仿宋" w:eastAsia="仿宋" w:cs="仿宋"/>
          <w:b/>
          <w:bCs/>
          <w:color w:val="auto"/>
          <w:sz w:val="32"/>
          <w:szCs w:val="32"/>
        </w:rPr>
      </w:pPr>
      <w:bookmarkStart w:id="22" w:name="_Toc20437"/>
      <w:r>
        <w:rPr>
          <w:rFonts w:hint="eastAsia" w:ascii="仿宋" w:hAnsi="仿宋" w:eastAsia="仿宋" w:cs="仿宋"/>
          <w:b/>
          <w:bCs/>
          <w:color w:val="auto"/>
          <w:sz w:val="32"/>
          <w:szCs w:val="32"/>
        </w:rPr>
        <w:t>四、水环境质量管控</w:t>
      </w:r>
      <w:bookmarkEnd w:id="22"/>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（一）实施重点流域控制单元精细化管理</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1、以老哈河、蹦河、第二牤牛河管控为重点，以入河排污口整治为抓手，全面开展溯源排查，对污染源、汇水水</w:t>
      </w:r>
      <w:r>
        <w:rPr>
          <w:rFonts w:hint="eastAsia" w:ascii="仿宋" w:hAnsi="仿宋" w:eastAsia="仿宋" w:cs="仿宋"/>
          <w:color w:val="auto"/>
          <w:sz w:val="32"/>
          <w:szCs w:val="32"/>
          <w:lang w:eastAsia="zh-CN"/>
        </w:rPr>
        <w:t>流</w:t>
      </w:r>
      <w:r>
        <w:rPr>
          <w:rFonts w:hint="eastAsia" w:ascii="仿宋" w:hAnsi="仿宋" w:eastAsia="仿宋" w:cs="仿宋"/>
          <w:color w:val="auto"/>
          <w:sz w:val="32"/>
          <w:szCs w:val="32"/>
        </w:rPr>
        <w:t>等展开地毯式详查，逐家逐户排查到位，确保全覆盖、无死角。加强日常监管及源头管控，对企业违规设置排污口，私设暗管等违法行为，要全面从严治理，依法加大处罚力度，曝光一批反面典型，起到“警醒一片”的效果，推动污染源彻底治理到位。</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2、结合各流域水环境、水生态、水资源现状，针对性地制定实施改善水质、水生态保护修复、生态扩容等措施，因地制宜改善水生态环境质量。优化水环境控制单元</w:t>
      </w:r>
      <w:r>
        <w:rPr>
          <w:rFonts w:hint="eastAsia" w:ascii="仿宋" w:hAnsi="仿宋" w:eastAsia="仿宋" w:cs="仿宋"/>
          <w:color w:val="auto"/>
          <w:sz w:val="32"/>
          <w:szCs w:val="32"/>
          <w:lang w:eastAsia="zh-CN"/>
        </w:rPr>
        <w:t>，完善</w:t>
      </w:r>
      <w:r>
        <w:rPr>
          <w:rFonts w:hint="eastAsia" w:ascii="仿宋" w:hAnsi="仿宋" w:eastAsia="仿宋" w:cs="仿宋"/>
          <w:color w:val="auto"/>
          <w:sz w:val="32"/>
          <w:szCs w:val="32"/>
        </w:rPr>
        <w:t>水质断面监测网络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尝试建设</w:t>
      </w:r>
      <w:r>
        <w:rPr>
          <w:rFonts w:hint="eastAsia" w:ascii="仿宋" w:hAnsi="仿宋" w:eastAsia="仿宋" w:cs="仿宋"/>
          <w:color w:val="auto"/>
          <w:sz w:val="32"/>
          <w:szCs w:val="32"/>
          <w:lang w:eastAsia="zh-CN"/>
        </w:rPr>
        <w:t>水质自动</w:t>
      </w:r>
      <w:r>
        <w:rPr>
          <w:rFonts w:hint="eastAsia" w:ascii="仿宋" w:hAnsi="仿宋" w:eastAsia="仿宋" w:cs="仿宋"/>
          <w:color w:val="auto"/>
          <w:sz w:val="32"/>
          <w:szCs w:val="32"/>
        </w:rPr>
        <w:t>监测</w:t>
      </w:r>
      <w:r>
        <w:rPr>
          <w:rFonts w:hint="eastAsia" w:ascii="仿宋" w:hAnsi="仿宋" w:eastAsia="仿宋" w:cs="仿宋"/>
          <w:color w:val="auto"/>
          <w:sz w:val="32"/>
          <w:szCs w:val="32"/>
          <w:lang w:eastAsia="zh-CN"/>
        </w:rPr>
        <w:t>站</w:t>
      </w:r>
      <w:r>
        <w:rPr>
          <w:rFonts w:hint="eastAsia" w:ascii="仿宋" w:hAnsi="仿宋" w:eastAsia="仿宋" w:cs="仿宋"/>
          <w:color w:val="auto"/>
          <w:sz w:val="32"/>
          <w:szCs w:val="32"/>
        </w:rPr>
        <w:t>，推动建立水环境、水生态和水资源的</w:t>
      </w:r>
      <w:r>
        <w:rPr>
          <w:rFonts w:hint="eastAsia" w:ascii="仿宋" w:hAnsi="仿宋" w:eastAsia="仿宋" w:cs="仿宋"/>
          <w:color w:val="auto"/>
          <w:sz w:val="32"/>
          <w:szCs w:val="32"/>
          <w:lang w:eastAsia="zh-CN"/>
        </w:rPr>
        <w:t>监管</w:t>
      </w:r>
      <w:r>
        <w:rPr>
          <w:rFonts w:hint="eastAsia" w:ascii="仿宋" w:hAnsi="仿宋" w:eastAsia="仿宋" w:cs="仿宋"/>
          <w:color w:val="auto"/>
          <w:sz w:val="32"/>
          <w:szCs w:val="32"/>
        </w:rPr>
        <w:t>体系。</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3、各级各部门要统筹协调，上下联动，常态化、制度化开展水质提升</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，建立长效管理机制，以扎实举措完成老哈河、蹦河</w:t>
      </w:r>
      <w:r>
        <w:rPr>
          <w:rFonts w:hint="eastAsia" w:ascii="仿宋" w:hAnsi="仿宋" w:eastAsia="仿宋" w:cs="仿宋"/>
          <w:color w:val="auto"/>
          <w:sz w:val="32"/>
          <w:szCs w:val="32"/>
          <w:lang w:eastAsia="zh-CN"/>
        </w:rPr>
        <w:t>等两个</w:t>
      </w:r>
      <w:r>
        <w:rPr>
          <w:rFonts w:hint="eastAsia" w:ascii="仿宋" w:hAnsi="仿宋" w:eastAsia="仿宋" w:cs="仿宋"/>
          <w:color w:val="auto"/>
          <w:sz w:val="32"/>
          <w:szCs w:val="32"/>
        </w:rPr>
        <w:t>国控断面、梨树沟</w:t>
      </w:r>
      <w:r>
        <w:rPr>
          <w:rFonts w:hint="eastAsia" w:ascii="仿宋" w:hAnsi="仿宋" w:eastAsia="仿宋" w:cs="仿宋"/>
          <w:color w:val="auto"/>
          <w:sz w:val="32"/>
          <w:szCs w:val="32"/>
          <w:lang w:eastAsia="zh-CN"/>
        </w:rPr>
        <w:t>一个</w:t>
      </w:r>
      <w:r>
        <w:rPr>
          <w:rFonts w:hint="eastAsia" w:ascii="仿宋" w:hAnsi="仿宋" w:eastAsia="仿宋" w:cs="仿宋"/>
          <w:color w:val="auto"/>
          <w:sz w:val="32"/>
          <w:szCs w:val="32"/>
        </w:rPr>
        <w:t>市控断面水质达标工作。</w:t>
      </w:r>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（二）工业废水治污防治</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1、加强工业废水治理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依法淘汰落后产能，取缔不符合国家产业政策的严重污染水环境的企业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重点开展涉水行业专项治理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开展对铁选企业实施清洁化改造，提高废水循环利用率、节约水资源。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2、集中</w:t>
      </w:r>
      <w:r>
        <w:rPr>
          <w:rFonts w:hint="eastAsia" w:ascii="仿宋" w:hAnsi="仿宋" w:eastAsia="仿宋" w:cs="仿宋"/>
          <w:color w:val="auto"/>
          <w:sz w:val="32"/>
          <w:szCs w:val="32"/>
          <w:lang w:eastAsia="zh-CN"/>
        </w:rPr>
        <w:t>整治</w:t>
      </w:r>
      <w:r>
        <w:rPr>
          <w:rFonts w:hint="eastAsia" w:ascii="仿宋" w:hAnsi="仿宋" w:eastAsia="仿宋" w:cs="仿宋"/>
          <w:color w:val="auto"/>
          <w:sz w:val="32"/>
          <w:szCs w:val="32"/>
        </w:rPr>
        <w:t>工业</w:t>
      </w:r>
      <w:r>
        <w:rPr>
          <w:rFonts w:hint="eastAsia" w:ascii="仿宋" w:hAnsi="仿宋" w:eastAsia="仿宋" w:cs="仿宋"/>
          <w:color w:val="auto"/>
          <w:sz w:val="32"/>
          <w:szCs w:val="32"/>
          <w:lang w:eastAsia="zh-CN"/>
        </w:rPr>
        <w:t>园区生产废水偷排，</w:t>
      </w:r>
      <w:r>
        <w:rPr>
          <w:rFonts w:hint="eastAsia" w:ascii="仿宋" w:hAnsi="仿宋" w:eastAsia="仿宋" w:cs="仿宋"/>
          <w:color w:val="auto"/>
          <w:sz w:val="32"/>
          <w:szCs w:val="32"/>
        </w:rPr>
        <w:t>强化工业</w:t>
      </w:r>
      <w:r>
        <w:rPr>
          <w:rFonts w:hint="eastAsia" w:ascii="仿宋" w:hAnsi="仿宋" w:eastAsia="仿宋" w:cs="仿宋"/>
          <w:color w:val="auto"/>
          <w:sz w:val="32"/>
          <w:szCs w:val="32"/>
          <w:lang w:eastAsia="zh-CN"/>
        </w:rPr>
        <w:t>园区生活</w:t>
      </w:r>
      <w:r>
        <w:rPr>
          <w:rFonts w:hint="eastAsia" w:ascii="仿宋" w:hAnsi="仿宋" w:eastAsia="仿宋" w:cs="仿宋"/>
          <w:color w:val="auto"/>
          <w:sz w:val="32"/>
          <w:szCs w:val="32"/>
        </w:rPr>
        <w:t>污水集中处理，确保</w:t>
      </w:r>
      <w:r>
        <w:rPr>
          <w:rFonts w:hint="eastAsia" w:ascii="仿宋" w:hAnsi="仿宋" w:eastAsia="仿宋" w:cs="仿宋"/>
          <w:color w:val="auto"/>
          <w:sz w:val="32"/>
          <w:szCs w:val="32"/>
          <w:lang w:eastAsia="zh-CN"/>
        </w:rPr>
        <w:t>水环境质量持续向好发展</w:t>
      </w:r>
      <w:r>
        <w:rPr>
          <w:rFonts w:hint="eastAsia" w:ascii="仿宋" w:hAnsi="仿宋" w:eastAsia="仿宋" w:cs="仿宋"/>
          <w:color w:val="auto"/>
          <w:sz w:val="32"/>
          <w:szCs w:val="32"/>
        </w:rPr>
        <w:t>。</w:t>
      </w:r>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（三）生活污水治理</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1、扩建城市污水处理厂。“十四五”期间，随着县域经济的全面发展，城区人口随之增长，目前的城市污水处理厂日处理3万吨生活污水</w:t>
      </w:r>
      <w:r>
        <w:rPr>
          <w:rFonts w:hint="eastAsia" w:ascii="仿宋" w:hAnsi="仿宋" w:eastAsia="仿宋" w:cs="仿宋"/>
          <w:color w:val="auto"/>
          <w:sz w:val="32"/>
          <w:szCs w:val="32"/>
          <w:lang w:eastAsia="zh-CN"/>
        </w:rPr>
        <w:t>基本</w:t>
      </w:r>
      <w:r>
        <w:rPr>
          <w:rFonts w:hint="eastAsia" w:ascii="仿宋" w:hAnsi="仿宋" w:eastAsia="仿宋" w:cs="仿宋"/>
          <w:color w:val="auto"/>
          <w:sz w:val="32"/>
          <w:szCs w:val="32"/>
        </w:rPr>
        <w:t>达到满负荷运行，为保证我县主要河流水环境质量，应加快推进污水处理厂</w:t>
      </w:r>
      <w:r>
        <w:rPr>
          <w:rFonts w:hint="eastAsia" w:ascii="仿宋" w:hAnsi="仿宋" w:eastAsia="仿宋" w:cs="仿宋"/>
          <w:color w:val="auto"/>
          <w:sz w:val="32"/>
          <w:szCs w:val="32"/>
          <w:lang w:eastAsia="zh-CN"/>
        </w:rPr>
        <w:t>扩容</w:t>
      </w:r>
      <w:r>
        <w:rPr>
          <w:rFonts w:hint="eastAsia" w:ascii="仿宋" w:hAnsi="仿宋" w:eastAsia="仿宋" w:cs="仿宋"/>
          <w:color w:val="auto"/>
          <w:sz w:val="32"/>
          <w:szCs w:val="32"/>
        </w:rPr>
        <w:t>建设。</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2、进一步完善再生水管网建设，</w:t>
      </w:r>
      <w:r>
        <w:rPr>
          <w:rFonts w:hint="eastAsia" w:ascii="仿宋" w:hAnsi="仿宋" w:eastAsia="仿宋" w:cs="仿宋"/>
          <w:color w:val="auto"/>
          <w:sz w:val="32"/>
          <w:szCs w:val="32"/>
          <w:lang w:eastAsia="zh-CN"/>
        </w:rPr>
        <w:t>按照</w:t>
      </w:r>
      <w:r>
        <w:rPr>
          <w:rFonts w:hint="eastAsia" w:ascii="仿宋" w:hAnsi="仿宋" w:eastAsia="仿宋" w:cs="仿宋"/>
          <w:color w:val="auto"/>
          <w:sz w:val="32"/>
          <w:szCs w:val="32"/>
        </w:rPr>
        <w:t>相关政策</w:t>
      </w:r>
      <w:r>
        <w:rPr>
          <w:rFonts w:hint="eastAsia" w:ascii="仿宋" w:hAnsi="仿宋" w:eastAsia="仿宋" w:cs="仿宋"/>
          <w:color w:val="auto"/>
          <w:sz w:val="32"/>
          <w:szCs w:val="32"/>
          <w:lang w:eastAsia="zh-CN"/>
        </w:rPr>
        <w:t>要求</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提高再生水循环利用效率</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工业生产、城市绿化、道路清扫、车辆冲洗、建筑施工以及生态景观等</w:t>
      </w:r>
      <w:r>
        <w:rPr>
          <w:rFonts w:hint="eastAsia" w:ascii="仿宋" w:hAnsi="仿宋" w:eastAsia="仿宋" w:cs="仿宋"/>
          <w:color w:val="auto"/>
          <w:sz w:val="32"/>
          <w:szCs w:val="32"/>
          <w:lang w:eastAsia="zh-CN"/>
        </w:rPr>
        <w:t>方面</w:t>
      </w:r>
      <w:r>
        <w:rPr>
          <w:rFonts w:hint="eastAsia" w:ascii="仿宋" w:hAnsi="仿宋" w:eastAsia="仿宋" w:cs="仿宋"/>
          <w:color w:val="auto"/>
          <w:sz w:val="32"/>
          <w:szCs w:val="32"/>
        </w:rPr>
        <w:t>，要优先使用再生水，提高中水回用率。</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3、加快乡镇生活污染治理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按照国家新型城镇化规划要求，县域重点镇必须全部具备污水收集处理能力，建平县三家御河新城污水处理厂、建平县小平房污水处理厂、建平县建平镇污水处理厂、建平县沙海镇污水处理厂、建平县黑水镇污水处理厂等一批重点乡镇污水处理工程将全部建成投产。以</w:t>
      </w:r>
      <w:r>
        <w:rPr>
          <w:rFonts w:hint="eastAsia" w:ascii="仿宋" w:hAnsi="仿宋" w:eastAsia="仿宋" w:cs="仿宋"/>
          <w:color w:val="auto"/>
          <w:kern w:val="0"/>
          <w:sz w:val="32"/>
          <w:szCs w:val="32"/>
          <w:shd w:val="clear" w:color="auto" w:fill="FFFFFF"/>
        </w:rPr>
        <w:t>小平房村农村生活污水集中收集处理以及</w:t>
      </w:r>
      <w:r>
        <w:rPr>
          <w:rFonts w:hint="eastAsia" w:ascii="仿宋" w:hAnsi="仿宋" w:eastAsia="仿宋" w:cs="仿宋"/>
          <w:color w:val="auto"/>
          <w:sz w:val="32"/>
          <w:szCs w:val="32"/>
        </w:rPr>
        <w:t>热水畜牧农场西岗分场、热水分场、白山乡嘎海吐村和长汉池村的污水集中处理工程为标杆，持续推进农村水环境治理。</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4、实施老城区雨污分流改造</w:t>
      </w:r>
      <w:r>
        <w:rPr>
          <w:rFonts w:hint="eastAsia" w:ascii="仿宋" w:hAnsi="仿宋" w:eastAsia="仿宋" w:cs="仿宋"/>
          <w:color w:val="auto"/>
          <w:sz w:val="32"/>
          <w:szCs w:val="32"/>
          <w:lang w:eastAsia="zh-CN"/>
        </w:rPr>
        <w:t>工程，</w:t>
      </w:r>
      <w:r>
        <w:rPr>
          <w:rFonts w:hint="eastAsia" w:ascii="仿宋" w:hAnsi="仿宋" w:eastAsia="仿宋" w:cs="仿宋"/>
          <w:color w:val="auto"/>
          <w:sz w:val="32"/>
          <w:szCs w:val="32"/>
        </w:rPr>
        <w:t>对城区现有合流排水</w:t>
      </w:r>
      <w:r>
        <w:rPr>
          <w:rFonts w:hint="eastAsia" w:ascii="仿宋" w:hAnsi="仿宋" w:eastAsia="仿宋" w:cs="仿宋"/>
          <w:color w:val="auto"/>
          <w:sz w:val="32"/>
          <w:szCs w:val="32"/>
          <w:lang w:eastAsia="zh-CN"/>
        </w:rPr>
        <w:t>方式</w:t>
      </w:r>
      <w:r>
        <w:rPr>
          <w:rFonts w:hint="eastAsia" w:ascii="仿宋" w:hAnsi="仿宋" w:eastAsia="仿宋" w:cs="仿宋"/>
          <w:color w:val="auto"/>
          <w:sz w:val="32"/>
          <w:szCs w:val="32"/>
        </w:rPr>
        <w:t>加快实施雨污分流改造，或采取截流、调蓄和治理等措施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到2025年底，县城区范围内</w:t>
      </w:r>
      <w:r>
        <w:rPr>
          <w:rFonts w:hint="eastAsia" w:ascii="仿宋" w:hAnsi="仿宋" w:eastAsia="仿宋" w:cs="仿宋"/>
          <w:color w:val="auto"/>
          <w:sz w:val="32"/>
          <w:szCs w:val="32"/>
          <w:lang w:eastAsia="zh-CN"/>
        </w:rPr>
        <w:t>基本</w:t>
      </w:r>
      <w:r>
        <w:rPr>
          <w:rFonts w:hint="eastAsia" w:ascii="仿宋" w:hAnsi="仿宋" w:eastAsia="仿宋" w:cs="仿宋"/>
          <w:color w:val="auto"/>
          <w:sz w:val="32"/>
          <w:szCs w:val="32"/>
        </w:rPr>
        <w:t>实现雨污分流。</w:t>
      </w:r>
      <w:r>
        <w:rPr>
          <w:rFonts w:hint="eastAsia" w:ascii="仿宋" w:hAnsi="仿宋" w:eastAsia="仿宋" w:cs="仿宋"/>
          <w:color w:val="auto"/>
          <w:sz w:val="32"/>
          <w:szCs w:val="32"/>
          <w:lang w:val="en-US" w:eastAsia="zh-CN"/>
        </w:rPr>
        <w:t xml:space="preserve">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5、推进污泥处理处置。污水处理设施产生的污泥必须进行稳定化、无害化和资源化处理处置，禁止</w:t>
      </w:r>
      <w:r>
        <w:rPr>
          <w:rFonts w:hint="eastAsia" w:ascii="仿宋" w:hAnsi="仿宋" w:eastAsia="仿宋" w:cs="仿宋"/>
          <w:color w:val="auto"/>
          <w:sz w:val="32"/>
          <w:szCs w:val="32"/>
          <w:lang w:eastAsia="zh-CN"/>
        </w:rPr>
        <w:t>将</w:t>
      </w:r>
      <w:r>
        <w:rPr>
          <w:rFonts w:hint="eastAsia" w:ascii="仿宋" w:hAnsi="仿宋" w:eastAsia="仿宋" w:cs="仿宋"/>
          <w:color w:val="auto"/>
          <w:sz w:val="32"/>
          <w:szCs w:val="32"/>
        </w:rPr>
        <w:t>不达标的污泥</w:t>
      </w:r>
      <w:r>
        <w:rPr>
          <w:rFonts w:hint="eastAsia" w:ascii="仿宋" w:hAnsi="仿宋" w:eastAsia="仿宋" w:cs="仿宋"/>
          <w:color w:val="auto"/>
          <w:sz w:val="32"/>
          <w:szCs w:val="32"/>
          <w:lang w:eastAsia="zh-CN"/>
        </w:rPr>
        <w:t>填</w:t>
      </w:r>
      <w:r>
        <w:rPr>
          <w:rFonts w:hint="eastAsia" w:ascii="仿宋" w:hAnsi="仿宋" w:eastAsia="仿宋" w:cs="仿宋"/>
          <w:color w:val="auto"/>
          <w:sz w:val="32"/>
          <w:szCs w:val="32"/>
        </w:rPr>
        <w:t>进耕地。</w:t>
      </w:r>
      <w:r>
        <w:rPr>
          <w:rFonts w:hint="eastAsia" w:ascii="仿宋" w:hAnsi="仿宋" w:eastAsia="仿宋" w:cs="仿宋"/>
          <w:color w:val="auto"/>
          <w:sz w:val="32"/>
          <w:szCs w:val="32"/>
          <w:lang w:eastAsia="zh-CN"/>
        </w:rPr>
        <w:t>通过</w:t>
      </w:r>
      <w:r>
        <w:rPr>
          <w:rFonts w:hint="eastAsia" w:ascii="仿宋" w:hAnsi="仿宋" w:eastAsia="仿宋" w:cs="仿宋"/>
          <w:color w:val="auto"/>
          <w:sz w:val="32"/>
          <w:szCs w:val="32"/>
        </w:rPr>
        <w:t>建设污泥处理设施，到202</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年，城市污水处理厂污泥无害化安全处理率达90%。</w:t>
      </w:r>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（四）农业污染防控</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1、积极推进畜禽养殖业污染治理，现有规模化养殖场（小区）配套建设粪便污水贮存、处理、利用设施</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散养密集区实现畜禽粪便污水分户收集、集中处理利用。鼓励生态养殖场和养殖小区建设，通过发展沼气、生产有机肥等综合利用方式，实现养殖废弃物的减量化、资源化、无害化。依据土地消纳能力，进行畜禽粪便还田。</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2、调整种植业结构与布局，推广测土配方施肥技术、膜下滴灌技术，扩大有机种植面积，控制农业面源污染。</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3、加快农村环境综合整治。深化“以奖促治”政策，实施农村清洁工程，采取综合措施控制农业面源污染，指导农民科学施用化肥、农药，积极推广测土配方施肥, 推行秸秆还田，鼓励使用农家肥和新型有机肥。鼓励使用生物农药或高效、低毒、低残留农药，推广作物病虫草害综合防治和生物防治。</w:t>
      </w:r>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（五）保障水生态环境安全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保障饮用水水源安全。完成乡镇级及以上集中式饮用水源保护区划定工作，根据省厅的安排，划定日供水500吨以上农村饮用水水源保护区，做好水源保护区优化调整工作。推进不同级别集中式饮用水水源地按照“一源一档”原则规范化建立环境管理档案，对水源环境状况实行动态评估。推进乡镇级水源环境整治，开展饮用水水源规范化建设，依法清理饮用水水源保护区内违法建筑和排污口。</w:t>
      </w:r>
      <w:r>
        <w:rPr>
          <w:rFonts w:hint="eastAsia" w:ascii="仿宋" w:hAnsi="仿宋" w:eastAsia="仿宋" w:cs="仿宋"/>
          <w:color w:val="auto"/>
          <w:sz w:val="32"/>
          <w:szCs w:val="32"/>
          <w:lang w:eastAsia="zh-CN"/>
        </w:rPr>
        <w:t>通过</w:t>
      </w:r>
      <w:r>
        <w:rPr>
          <w:rFonts w:hint="eastAsia" w:ascii="仿宋" w:hAnsi="仿宋" w:eastAsia="仿宋" w:cs="仿宋"/>
          <w:color w:val="auto"/>
          <w:sz w:val="32"/>
          <w:szCs w:val="32"/>
        </w:rPr>
        <w:t>采取控源截污、垃圾清理、清淤疏浚、生态修复等措施，加大污染水体治理力度，每年面向社会公布治理情况。加强饮用水水源保护和水质检测，全面提升城乡居民饮用水质量和安全。“十四五”时期，</w:t>
      </w:r>
      <w:r>
        <w:rPr>
          <w:rFonts w:hint="eastAsia" w:ascii="仿宋" w:hAnsi="仿宋" w:eastAsia="仿宋" w:cs="仿宋"/>
          <w:color w:val="auto"/>
          <w:sz w:val="32"/>
          <w:szCs w:val="32"/>
          <w:lang w:eastAsia="zh-CN"/>
        </w:rPr>
        <w:t>县城区</w:t>
      </w:r>
      <w:r>
        <w:rPr>
          <w:rFonts w:hint="eastAsia" w:ascii="仿宋" w:hAnsi="仿宋" w:eastAsia="仿宋" w:cs="仿宋"/>
          <w:color w:val="auto"/>
          <w:sz w:val="32"/>
          <w:szCs w:val="32"/>
        </w:rPr>
        <w:t>集中式饮用水源地水质</w:t>
      </w:r>
      <w:r>
        <w:rPr>
          <w:rFonts w:hint="eastAsia" w:ascii="仿宋" w:hAnsi="仿宋" w:eastAsia="仿宋" w:cs="仿宋"/>
          <w:color w:val="auto"/>
          <w:sz w:val="32"/>
          <w:szCs w:val="32"/>
          <w:lang w:eastAsia="zh-CN"/>
        </w:rPr>
        <w:t>继续保持《地下水质量标准》(GBT14848-2017)中</w:t>
      </w:r>
      <w:r>
        <w:rPr>
          <w:rFonts w:hint="eastAsia" w:ascii="仿宋" w:hAnsi="仿宋" w:eastAsia="仿宋" w:cs="仿宋"/>
          <w:color w:val="auto"/>
          <w:sz w:val="32"/>
          <w:szCs w:val="32"/>
        </w:rPr>
        <w:t>Ⅲ类</w:t>
      </w:r>
      <w:r>
        <w:rPr>
          <w:rFonts w:hint="eastAsia" w:ascii="仿宋" w:hAnsi="仿宋" w:eastAsia="仿宋" w:cs="仿宋"/>
          <w:color w:val="auto"/>
          <w:sz w:val="32"/>
          <w:szCs w:val="32"/>
          <w:lang w:eastAsia="zh-CN"/>
        </w:rPr>
        <w:t>标准</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2、保护水和湿地生态系统。开展县域流域湿地保护与修复，加大荒山等土地退耕还林、还草、还湿力度建设。</w:t>
      </w:r>
    </w:p>
    <w:p>
      <w:pPr>
        <w:spacing w:line="360" w:lineRule="auto"/>
        <w:ind w:firstLine="640" w:firstLineChars="200"/>
        <w:jc w:val="left"/>
        <w:rPr>
          <w:rFonts w:hint="eastAsia" w:ascii="仿宋" w:hAnsi="仿宋" w:eastAsia="仿宋" w:cs="仿宋"/>
          <w:color w:val="auto"/>
          <w:sz w:val="32"/>
          <w:szCs w:val="32"/>
        </w:rPr>
      </w:pPr>
      <w:bookmarkStart w:id="23" w:name="_Toc455577512"/>
      <w:bookmarkStart w:id="24" w:name="_Toc455577936"/>
      <w:bookmarkStart w:id="25" w:name="_Toc457462544"/>
      <w:r>
        <w:rPr>
          <w:rFonts w:hint="eastAsia" w:ascii="仿宋" w:hAnsi="仿宋" w:eastAsia="仿宋" w:cs="仿宋"/>
          <w:color w:val="auto"/>
          <w:sz w:val="32"/>
          <w:szCs w:val="32"/>
        </w:rPr>
        <w:t>3、</w:t>
      </w:r>
      <w:bookmarkEnd w:id="23"/>
      <w:bookmarkEnd w:id="24"/>
      <w:bookmarkEnd w:id="25"/>
      <w:r>
        <w:rPr>
          <w:rFonts w:hint="eastAsia" w:ascii="仿宋" w:hAnsi="仿宋" w:eastAsia="仿宋" w:cs="仿宋"/>
          <w:color w:val="auto"/>
          <w:sz w:val="32"/>
          <w:szCs w:val="32"/>
        </w:rPr>
        <w:t>严厉打击污染水环境违法行为。充分发挥网格化管理体系作用，打击私设暗管或利用渗井、渗坑倾倒含有毒有害污染物废水、含病原体污水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监测数据弄虚作假，不正常使用水污染物处理设施，或者未经批准拆除、闲置水污染物处理设施的环境违法行为。对造成生态损害的责任者严格落实赔偿制度，对构成犯罪的，要依法追究刑事责任。</w:t>
      </w:r>
    </w:p>
    <w:p>
      <w:pPr>
        <w:spacing w:line="360" w:lineRule="auto"/>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4、严格环境风险控制。制定和完善水污染事故处置应急预案，落实责任主体，</w:t>
      </w:r>
      <w:r>
        <w:rPr>
          <w:rFonts w:hint="eastAsia" w:ascii="仿宋" w:hAnsi="仿宋" w:eastAsia="仿宋" w:cs="仿宋"/>
          <w:color w:val="auto"/>
          <w:sz w:val="32"/>
          <w:szCs w:val="32"/>
          <w:lang w:eastAsia="zh-CN"/>
        </w:rPr>
        <w:t>完善</w:t>
      </w:r>
      <w:r>
        <w:rPr>
          <w:rFonts w:hint="eastAsia" w:ascii="仿宋" w:hAnsi="仿宋" w:eastAsia="仿宋" w:cs="仿宋"/>
          <w:color w:val="auto"/>
          <w:sz w:val="32"/>
          <w:szCs w:val="32"/>
        </w:rPr>
        <w:t>预警预报与响应程序、应急处置及保障措施等内容</w:t>
      </w:r>
      <w:r>
        <w:rPr>
          <w:rFonts w:hint="eastAsia" w:ascii="仿宋" w:hAnsi="仿宋" w:eastAsia="仿宋" w:cs="仿宋"/>
          <w:color w:val="auto"/>
          <w:sz w:val="32"/>
          <w:szCs w:val="32"/>
          <w:lang w:eastAsia="zh-CN"/>
        </w:rPr>
        <w:t>的可操作性</w:t>
      </w:r>
      <w:r>
        <w:rPr>
          <w:rFonts w:hint="eastAsia" w:ascii="仿宋" w:hAnsi="仿宋" w:eastAsia="仿宋" w:cs="仿宋"/>
          <w:color w:val="auto"/>
          <w:sz w:val="32"/>
          <w:szCs w:val="32"/>
        </w:rPr>
        <w:t>，依法及时公布预警信息，稳妥处置突发水环境污染事件。</w:t>
      </w:r>
    </w:p>
    <w:p>
      <w:pPr>
        <w:spacing w:line="360" w:lineRule="auto"/>
        <w:jc w:val="center"/>
        <w:rPr>
          <w:rFonts w:hint="eastAsia"/>
          <w:color w:val="auto"/>
        </w:rPr>
      </w:pPr>
      <w:r>
        <w:rPr>
          <w:rFonts w:hint="eastAsia" w:ascii="仿宋" w:hAnsi="仿宋" w:eastAsia="仿宋" w:cs="仿宋"/>
          <w:b/>
          <w:color w:val="auto"/>
          <w:kern w:val="0"/>
          <w:sz w:val="32"/>
          <w:szCs w:val="32"/>
        </w:rPr>
        <w:t>流域控制单元划分</w:t>
      </w:r>
    </w:p>
    <w:tbl>
      <w:tblPr>
        <w:tblW w:w="8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
      <w:tblGrid>
        <w:gridCol w:w="1341"/>
        <w:gridCol w:w="1268"/>
        <w:gridCol w:w="5985"/>
      </w:tblGrid>
      <w:tr>
        <w:trPr>
          <w:trHeight w:val="539" w:hRule="atLeast"/>
          <w:jc w:val="center"/>
        </w:trPr>
        <w:tc>
          <w:tcPr>
            <w:tcW w:w="1341" w:type="dxa"/>
            <w:vAlign w:val="center"/>
          </w:tcPr>
          <w:p>
            <w:pPr>
              <w:widowControl/>
              <w:spacing w:line="440" w:lineRule="exact"/>
              <w:jc w:val="center"/>
              <w:textAlignment w:val="center"/>
              <w:rPr>
                <w:rFonts w:hint="eastAsia" w:ascii="仿宋" w:hAnsi="仿宋" w:eastAsia="仿宋" w:cs="仿宋"/>
                <w:b/>
                <w:bCs w:val="0"/>
                <w:color w:val="auto"/>
                <w:sz w:val="21"/>
                <w:szCs w:val="21"/>
              </w:rPr>
            </w:pPr>
            <w:r>
              <w:rPr>
                <w:rFonts w:hint="eastAsia" w:ascii="仿宋" w:hAnsi="仿宋" w:eastAsia="仿宋" w:cs="仿宋"/>
                <w:b/>
                <w:bCs w:val="0"/>
                <w:color w:val="auto"/>
                <w:kern w:val="0"/>
                <w:sz w:val="21"/>
                <w:szCs w:val="21"/>
              </w:rPr>
              <w:t>控制单元</w:t>
            </w:r>
          </w:p>
        </w:tc>
        <w:tc>
          <w:tcPr>
            <w:tcW w:w="1268" w:type="dxa"/>
            <w:tcMar>
              <w:top w:w="15" w:type="dxa"/>
              <w:left w:w="15" w:type="dxa"/>
              <w:right w:w="15" w:type="dxa"/>
            </w:tcMar>
            <w:vAlign w:val="center"/>
          </w:tcPr>
          <w:p>
            <w:pPr>
              <w:widowControl/>
              <w:spacing w:line="440" w:lineRule="exact"/>
              <w:jc w:val="center"/>
              <w:rPr>
                <w:rFonts w:hint="eastAsia" w:ascii="仿宋" w:hAnsi="仿宋" w:eastAsia="仿宋" w:cs="仿宋"/>
                <w:b/>
                <w:bCs w:val="0"/>
                <w:color w:val="auto"/>
                <w:sz w:val="21"/>
                <w:szCs w:val="21"/>
              </w:rPr>
            </w:pPr>
            <w:r>
              <w:rPr>
                <w:rFonts w:hint="eastAsia" w:ascii="仿宋" w:hAnsi="仿宋" w:eastAsia="仿宋" w:cs="仿宋"/>
                <w:b/>
                <w:bCs w:val="0"/>
                <w:color w:val="auto"/>
                <w:sz w:val="21"/>
                <w:szCs w:val="21"/>
              </w:rPr>
              <w:t>所在水体</w:t>
            </w:r>
          </w:p>
        </w:tc>
        <w:tc>
          <w:tcPr>
            <w:tcW w:w="5985" w:type="dxa"/>
            <w:tcMar>
              <w:top w:w="15" w:type="dxa"/>
              <w:left w:w="15" w:type="dxa"/>
              <w:right w:w="15" w:type="dxa"/>
            </w:tcMar>
            <w:vAlign w:val="center"/>
          </w:tcPr>
          <w:p>
            <w:pPr>
              <w:widowControl/>
              <w:spacing w:line="440" w:lineRule="exact"/>
              <w:jc w:val="center"/>
              <w:textAlignment w:val="center"/>
              <w:rPr>
                <w:rFonts w:hint="eastAsia" w:ascii="仿宋" w:hAnsi="仿宋" w:eastAsia="仿宋" w:cs="仿宋"/>
                <w:b/>
                <w:bCs w:val="0"/>
                <w:color w:val="auto"/>
                <w:sz w:val="21"/>
                <w:szCs w:val="21"/>
              </w:rPr>
            </w:pPr>
            <w:r>
              <w:rPr>
                <w:rFonts w:hint="eastAsia" w:ascii="仿宋" w:hAnsi="仿宋" w:eastAsia="仿宋" w:cs="仿宋"/>
                <w:b/>
                <w:bCs w:val="0"/>
                <w:color w:val="auto"/>
                <w:kern w:val="0"/>
                <w:sz w:val="21"/>
                <w:szCs w:val="21"/>
              </w:rPr>
              <w:t>包含的行政区</w:t>
            </w:r>
          </w:p>
        </w:tc>
      </w:tr>
      <w:tr>
        <w:trPr>
          <w:trHeight w:val="539" w:hRule="atLeast"/>
          <w:jc w:val="center"/>
        </w:trPr>
        <w:tc>
          <w:tcPr>
            <w:tcW w:w="1341" w:type="dxa"/>
            <w:vAlign w:val="center"/>
          </w:tcPr>
          <w:p>
            <w:pPr>
              <w:widowControl/>
              <w:spacing w:line="44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水泉村桥</w:t>
            </w:r>
          </w:p>
        </w:tc>
        <w:tc>
          <w:tcPr>
            <w:tcW w:w="1268" w:type="dxa"/>
            <w:tcMar>
              <w:top w:w="15" w:type="dxa"/>
              <w:left w:w="15" w:type="dxa"/>
              <w:right w:w="15" w:type="dxa"/>
            </w:tcMar>
            <w:vAlign w:val="center"/>
          </w:tcPr>
          <w:p>
            <w:pPr>
              <w:widowControl/>
              <w:spacing w:line="44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第二牤牛河</w:t>
            </w:r>
          </w:p>
        </w:tc>
        <w:tc>
          <w:tcPr>
            <w:tcW w:w="5985" w:type="dxa"/>
            <w:tcMar>
              <w:top w:w="15" w:type="dxa"/>
              <w:left w:w="15" w:type="dxa"/>
              <w:right w:w="15" w:type="dxa"/>
            </w:tcMar>
            <w:vAlign w:val="center"/>
          </w:tcPr>
          <w:p>
            <w:pPr>
              <w:widowControl/>
              <w:spacing w:line="440" w:lineRule="exac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叶柏寿街道、红山街道、铁南街道、万寿街道、富山街道、新城街道、深井镇、青峰山镇、东城街道</w:t>
            </w:r>
          </w:p>
        </w:tc>
      </w:tr>
      <w:tr>
        <w:trPr>
          <w:trHeight w:val="539" w:hRule="atLeast"/>
          <w:jc w:val="center"/>
        </w:trPr>
        <w:tc>
          <w:tcPr>
            <w:tcW w:w="1341" w:type="dxa"/>
            <w:vAlign w:val="center"/>
          </w:tcPr>
          <w:p>
            <w:pPr>
              <w:widowControl/>
              <w:spacing w:line="44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李家湾大桥</w:t>
            </w:r>
          </w:p>
        </w:tc>
        <w:tc>
          <w:tcPr>
            <w:tcW w:w="1268" w:type="dxa"/>
            <w:tcMar>
              <w:top w:w="15" w:type="dxa"/>
              <w:left w:w="15" w:type="dxa"/>
              <w:right w:w="15" w:type="dxa"/>
            </w:tcMar>
            <w:vAlign w:val="center"/>
          </w:tcPr>
          <w:p>
            <w:pPr>
              <w:widowControl/>
              <w:spacing w:line="44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老虎山河</w:t>
            </w:r>
          </w:p>
        </w:tc>
        <w:tc>
          <w:tcPr>
            <w:tcW w:w="5985" w:type="dxa"/>
            <w:tcMar>
              <w:top w:w="15" w:type="dxa"/>
              <w:left w:w="15" w:type="dxa"/>
              <w:right w:w="15" w:type="dxa"/>
            </w:tcMar>
            <w:vAlign w:val="center"/>
          </w:tcPr>
          <w:p>
            <w:pPr>
              <w:widowControl/>
              <w:spacing w:line="440" w:lineRule="exac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朱碌科镇、喀喇沁镇、榆树林子镇、青松岭乡</w:t>
            </w:r>
          </w:p>
        </w:tc>
      </w:tr>
      <w:tr>
        <w:trPr>
          <w:trHeight w:val="539" w:hRule="atLeast"/>
          <w:jc w:val="center"/>
        </w:trPr>
        <w:tc>
          <w:tcPr>
            <w:tcW w:w="1341" w:type="dxa"/>
            <w:vAlign w:val="center"/>
          </w:tcPr>
          <w:p>
            <w:pPr>
              <w:widowControl/>
              <w:spacing w:line="44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大北海</w:t>
            </w:r>
          </w:p>
        </w:tc>
        <w:tc>
          <w:tcPr>
            <w:tcW w:w="1268" w:type="dxa"/>
            <w:tcMar>
              <w:top w:w="15" w:type="dxa"/>
              <w:left w:w="15" w:type="dxa"/>
              <w:right w:w="15" w:type="dxa"/>
            </w:tcMar>
            <w:vAlign w:val="center"/>
          </w:tcPr>
          <w:p>
            <w:pPr>
              <w:widowControl/>
              <w:spacing w:line="44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老哈河</w:t>
            </w:r>
          </w:p>
        </w:tc>
        <w:tc>
          <w:tcPr>
            <w:tcW w:w="5985" w:type="dxa"/>
            <w:tcMar>
              <w:top w:w="15" w:type="dxa"/>
              <w:left w:w="15" w:type="dxa"/>
              <w:right w:w="15" w:type="dxa"/>
            </w:tcMar>
            <w:vAlign w:val="center"/>
          </w:tcPr>
          <w:p>
            <w:pPr>
              <w:widowControl/>
              <w:spacing w:line="440" w:lineRule="exac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黑水镇、沙海镇、哈拉道口镇、老官地镇、奎德素镇、小塘镇、昌隆镇、张家营子镇、太平庄镇、烧锅营子乡、白山乡、三家蒙古族乡、义成功乡、热水国营畜牧农场，八家国营农场</w:t>
            </w:r>
          </w:p>
        </w:tc>
      </w:tr>
      <w:tr>
        <w:trPr>
          <w:trHeight w:val="539" w:hRule="atLeast"/>
          <w:jc w:val="center"/>
        </w:trPr>
        <w:tc>
          <w:tcPr>
            <w:tcW w:w="1341" w:type="dxa"/>
            <w:vAlign w:val="center"/>
          </w:tcPr>
          <w:p>
            <w:pPr>
              <w:widowControl/>
              <w:spacing w:line="44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侯杨丈子</w:t>
            </w:r>
          </w:p>
          <w:p>
            <w:pPr>
              <w:widowControl/>
              <w:spacing w:line="44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村西</w:t>
            </w:r>
          </w:p>
        </w:tc>
        <w:tc>
          <w:tcPr>
            <w:tcW w:w="1268" w:type="dxa"/>
            <w:tcMar>
              <w:top w:w="15" w:type="dxa"/>
              <w:left w:w="15" w:type="dxa"/>
              <w:right w:w="15" w:type="dxa"/>
            </w:tcMar>
            <w:vAlign w:val="center"/>
          </w:tcPr>
          <w:p>
            <w:pPr>
              <w:widowControl/>
              <w:spacing w:line="44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蹦河</w:t>
            </w:r>
          </w:p>
        </w:tc>
        <w:tc>
          <w:tcPr>
            <w:tcW w:w="5985" w:type="dxa"/>
            <w:tcMar>
              <w:top w:w="15" w:type="dxa"/>
              <w:left w:w="15" w:type="dxa"/>
              <w:right w:w="15" w:type="dxa"/>
            </w:tcMar>
            <w:vAlign w:val="center"/>
          </w:tcPr>
          <w:p>
            <w:pPr>
              <w:widowControl/>
              <w:spacing w:line="440" w:lineRule="exac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建平镇、北二十家子镇、马场镇、杨树岭乡、罗福沟乡</w:t>
            </w:r>
          </w:p>
        </w:tc>
      </w:tr>
    </w:tbl>
    <w:p>
      <w:pPr>
        <w:spacing w:line="360" w:lineRule="auto"/>
        <w:ind w:firstLine="560" w:firstLineChars="200"/>
        <w:jc w:val="left"/>
        <w:outlineLvl w:val="1"/>
        <w:rPr>
          <w:rFonts w:ascii="仿宋" w:hAnsi="仿宋" w:eastAsia="仿宋" w:cs="仿宋"/>
          <w:b/>
          <w:bCs/>
          <w:color w:val="auto"/>
          <w:sz w:val="32"/>
          <w:szCs w:val="32"/>
        </w:rPr>
      </w:pPr>
      <w:r>
        <w:rPr>
          <w:rFonts w:hint="eastAsia" w:ascii="仿宋_GB2312" w:eastAsia="仿宋_GB2312"/>
          <w:color w:val="auto"/>
          <w:sz w:val="32"/>
          <w:szCs w:val="32"/>
        </w:rPr>
        <w:t xml:space="preserve"> </w:t>
      </w:r>
      <w:bookmarkStart w:id="26" w:name="_Toc1747"/>
      <w:r>
        <w:rPr>
          <w:rFonts w:hint="eastAsia" w:ascii="仿宋" w:hAnsi="仿宋" w:eastAsia="仿宋" w:cs="仿宋"/>
          <w:b/>
          <w:bCs/>
          <w:color w:val="auto"/>
          <w:sz w:val="32"/>
          <w:szCs w:val="32"/>
        </w:rPr>
        <w:t>五、提升声环境质量</w:t>
      </w:r>
      <w:bookmarkEnd w:id="26"/>
    </w:p>
    <w:p>
      <w:pPr>
        <w:spacing w:line="360" w:lineRule="auto"/>
        <w:ind w:firstLine="643" w:firstLineChars="200"/>
        <w:jc w:val="left"/>
        <w:rPr>
          <w:rFonts w:ascii="仿宋" w:hAnsi="仿宋" w:eastAsia="仿宋" w:cs="仿宋"/>
          <w:b/>
          <w:bCs/>
          <w:color w:val="auto"/>
          <w:sz w:val="32"/>
          <w:szCs w:val="32"/>
        </w:rPr>
      </w:pPr>
      <w:r>
        <w:rPr>
          <w:rFonts w:hint="eastAsia" w:ascii="仿宋" w:hAnsi="仿宋" w:eastAsia="仿宋" w:cs="仿宋"/>
          <w:b/>
          <w:bCs/>
          <w:color w:val="auto"/>
          <w:sz w:val="32"/>
          <w:szCs w:val="32"/>
        </w:rPr>
        <w:t>（一）调整声环境功能区划</w:t>
      </w:r>
    </w:p>
    <w:p>
      <w:pPr>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 xml:space="preserve"> 依据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声环境功能区划分技术规范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(GBT15190–2014)中对声环境功能区划的要求，统筹我县声环境现状与长期发展规划</w:t>
      </w:r>
      <w:r>
        <w:rPr>
          <w:rFonts w:hint="eastAsia" w:ascii="仿宋" w:hAnsi="仿宋" w:eastAsia="仿宋" w:cs="仿宋"/>
          <w:color w:val="auto"/>
          <w:sz w:val="32"/>
          <w:szCs w:val="32"/>
          <w:lang w:eastAsia="zh-CN"/>
        </w:rPr>
        <w:t>之间的关系</w:t>
      </w:r>
      <w:r>
        <w:rPr>
          <w:rFonts w:hint="eastAsia" w:ascii="仿宋" w:hAnsi="仿宋" w:eastAsia="仿宋" w:cs="仿宋"/>
          <w:color w:val="auto"/>
          <w:sz w:val="32"/>
          <w:szCs w:val="32"/>
        </w:rPr>
        <w:t>，本着利于县级环境噪声污染防治与管理的原则，完成声环境功能区划调整工作。</w:t>
      </w:r>
    </w:p>
    <w:p>
      <w:pPr>
        <w:pStyle w:val="18"/>
        <w:widowControl/>
        <w:shd w:val="clear" w:color="auto" w:fill="FFFFFF"/>
        <w:spacing w:beforeAutospacing="0" w:afterAutospacing="0" w:line="450" w:lineRule="atLeast"/>
        <w:ind w:firstLine="643" w:firstLineChars="200"/>
        <w:jc w:val="both"/>
        <w:rPr>
          <w:rFonts w:ascii="仿宋" w:hAnsi="仿宋" w:eastAsia="仿宋" w:cs="仿宋"/>
          <w:b/>
          <w:bCs/>
          <w:color w:val="auto"/>
          <w:kern w:val="2"/>
          <w:sz w:val="32"/>
          <w:szCs w:val="32"/>
        </w:rPr>
      </w:pPr>
      <w:r>
        <w:rPr>
          <w:rFonts w:hint="eastAsia" w:ascii="仿宋" w:hAnsi="仿宋" w:eastAsia="仿宋" w:cs="仿宋"/>
          <w:b/>
          <w:bCs/>
          <w:color w:val="auto"/>
          <w:kern w:val="2"/>
          <w:sz w:val="32"/>
          <w:szCs w:val="32"/>
        </w:rPr>
        <w:t>（二）开展声环境防治攻坚行动</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环境噪声污染，是指所产生的环境噪声超过国家规定的环境噪声排放标准，并干扰他人正常生活、工作和学习的现象。环境噪声污染是一种能量污染，与其他工业污染一样，是危害人类环境的公害。建平县噪声控制应持续保持重视，为居民营造良好生活环境。</w:t>
      </w:r>
    </w:p>
    <w:p>
      <w:pPr>
        <w:pStyle w:val="18"/>
        <w:widowControl/>
        <w:shd w:val="clear" w:color="auto" w:fill="FFFFFF"/>
        <w:spacing w:beforeAutospacing="0" w:afterAutospacing="0" w:line="450" w:lineRule="atLeast"/>
        <w:ind w:firstLine="643" w:firstLineChars="200"/>
        <w:jc w:val="both"/>
        <w:rPr>
          <w:rFonts w:ascii="仿宋" w:hAnsi="仿宋" w:eastAsia="仿宋" w:cs="仿宋"/>
          <w:b/>
          <w:bCs/>
          <w:color w:val="auto"/>
          <w:kern w:val="2"/>
          <w:sz w:val="32"/>
          <w:szCs w:val="32"/>
        </w:rPr>
      </w:pPr>
      <w:bookmarkStart w:id="27" w:name="_Toc27804"/>
      <w:bookmarkEnd w:id="27"/>
      <w:r>
        <w:rPr>
          <w:rFonts w:hint="eastAsia" w:ascii="仿宋" w:hAnsi="仿宋" w:eastAsia="仿宋" w:cs="仿宋"/>
          <w:b/>
          <w:bCs/>
          <w:color w:val="auto"/>
          <w:kern w:val="2"/>
          <w:sz w:val="32"/>
          <w:szCs w:val="32"/>
        </w:rPr>
        <w:t>1、噪声源控制与防治</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lang w:eastAsia="zh-CN"/>
        </w:rPr>
        <w:t>按照《</w:t>
      </w:r>
      <w:r>
        <w:rPr>
          <w:rFonts w:hint="eastAsia" w:ascii="仿宋" w:hAnsi="仿宋" w:eastAsia="仿宋" w:cs="仿宋"/>
          <w:color w:val="auto"/>
          <w:kern w:val="2"/>
          <w:sz w:val="32"/>
          <w:szCs w:val="32"/>
        </w:rPr>
        <w:t>声环境质量标准</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rPr>
        <w:t>（GB 3096-2008）加强县城区域环境噪声的监测，可将建平县城区噪声功能区布设100个网格，每个网格监测10分钟，监测时间为白天06：00-</w:t>
      </w:r>
      <w:r>
        <w:rPr>
          <w:rFonts w:hint="eastAsia" w:ascii="仿宋" w:hAnsi="仿宋" w:eastAsia="仿宋" w:cs="仿宋"/>
          <w:color w:val="auto"/>
          <w:kern w:val="2"/>
          <w:sz w:val="32"/>
          <w:szCs w:val="32"/>
          <w:lang w:val="en-US" w:eastAsia="zh-CN"/>
        </w:rPr>
        <w:t>22</w:t>
      </w:r>
      <w:r>
        <w:rPr>
          <w:rFonts w:hint="eastAsia" w:ascii="仿宋" w:hAnsi="仿宋" w:eastAsia="仿宋" w:cs="仿宋"/>
          <w:color w:val="auto"/>
          <w:kern w:val="2"/>
          <w:sz w:val="32"/>
          <w:szCs w:val="32"/>
        </w:rPr>
        <w:t>：00，晚上</w:t>
      </w:r>
      <w:r>
        <w:rPr>
          <w:rFonts w:hint="eastAsia" w:ascii="仿宋" w:hAnsi="仿宋" w:eastAsia="仿宋" w:cs="仿宋"/>
          <w:color w:val="auto"/>
          <w:kern w:val="2"/>
          <w:sz w:val="32"/>
          <w:szCs w:val="32"/>
          <w:lang w:val="en-US" w:eastAsia="zh-CN"/>
        </w:rPr>
        <w:t>22</w:t>
      </w:r>
      <w:r>
        <w:rPr>
          <w:rFonts w:hint="eastAsia" w:ascii="仿宋" w:hAnsi="仿宋" w:eastAsia="仿宋" w:cs="仿宋"/>
          <w:color w:val="auto"/>
          <w:kern w:val="2"/>
          <w:sz w:val="32"/>
          <w:szCs w:val="32"/>
        </w:rPr>
        <w:t>：00-06：00。监测时尽量使用同型号仪器，避免产生误差，按照监测要求开展噪声监测。</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城市交通噪声监测，测量点选在路段两路口之间，距任何一路口大于50m，路段长度小于100m的，选择路段中点；在人行道上距路面20cm,监测点位距地面1.2m，所监测噪声可代表两个马路口之间的该路段马路的交通噪声。</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城市环境噪声的长期监测，根据可能能条件决定测点数目，列入县城繁华区、典型居民区、交通干线，</w:t>
      </w:r>
      <w:r>
        <w:rPr>
          <w:rFonts w:hint="eastAsia" w:ascii="仿宋" w:hAnsi="仿宋" w:eastAsia="仿宋" w:cs="仿宋"/>
          <w:color w:val="auto"/>
          <w:kern w:val="2"/>
          <w:sz w:val="32"/>
          <w:szCs w:val="32"/>
          <w:lang w:eastAsia="zh-CN"/>
        </w:rPr>
        <w:t>工业</w:t>
      </w:r>
      <w:r>
        <w:rPr>
          <w:rFonts w:hint="eastAsia" w:ascii="仿宋" w:hAnsi="仿宋" w:eastAsia="仿宋" w:cs="仿宋"/>
          <w:color w:val="auto"/>
          <w:kern w:val="2"/>
          <w:sz w:val="32"/>
          <w:szCs w:val="32"/>
        </w:rPr>
        <w:t>区，混合区等。</w:t>
      </w:r>
    </w:p>
    <w:p>
      <w:pPr>
        <w:pStyle w:val="18"/>
        <w:widowControl/>
        <w:shd w:val="clear" w:color="auto" w:fill="FFFFFF"/>
        <w:spacing w:beforeAutospacing="0" w:afterAutospacing="0" w:line="450" w:lineRule="atLeast"/>
        <w:ind w:firstLine="643" w:firstLineChars="200"/>
        <w:jc w:val="both"/>
        <w:rPr>
          <w:rFonts w:ascii="仿宋" w:hAnsi="仿宋" w:eastAsia="仿宋" w:cs="仿宋"/>
          <w:b/>
          <w:bCs/>
          <w:color w:val="auto"/>
          <w:kern w:val="2"/>
          <w:sz w:val="32"/>
          <w:szCs w:val="32"/>
        </w:rPr>
      </w:pPr>
      <w:bookmarkStart w:id="28" w:name="_Toc22024"/>
      <w:bookmarkEnd w:id="28"/>
      <w:r>
        <w:rPr>
          <w:rFonts w:hint="eastAsia" w:ascii="仿宋" w:hAnsi="仿宋" w:eastAsia="仿宋" w:cs="仿宋"/>
          <w:b/>
          <w:bCs/>
          <w:color w:val="auto"/>
          <w:kern w:val="2"/>
          <w:sz w:val="32"/>
          <w:szCs w:val="32"/>
        </w:rPr>
        <w:t>2、传播途中控制与防治</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进一步落实公路交通减少噪声的措施，科学合理采用降噪绿化林带、声屏障技术、绿墙技术、低噪声路面以及加宽道路、在强化对机动车的禁鸣管理、限制车速、在交道口处安置测声器和数字显示器等措施，实现降低交通噪声等级。</w:t>
      </w:r>
    </w:p>
    <w:p>
      <w:pPr>
        <w:pStyle w:val="18"/>
        <w:widowControl/>
        <w:shd w:val="clear" w:color="auto" w:fill="FFFFFF"/>
        <w:spacing w:beforeAutospacing="0" w:afterAutospacing="0" w:line="595" w:lineRule="atLeast"/>
        <w:ind w:firstLine="640"/>
        <w:jc w:val="both"/>
        <w:outlineLvl w:val="1"/>
        <w:rPr>
          <w:rFonts w:ascii="Times New Roman" w:hAnsi="Times New Roman"/>
          <w:color w:val="auto"/>
          <w:sz w:val="32"/>
          <w:szCs w:val="32"/>
        </w:rPr>
      </w:pPr>
      <w:bookmarkStart w:id="29" w:name="_Toc18441"/>
      <w:r>
        <w:rPr>
          <w:rFonts w:hint="eastAsia" w:ascii="仿宋" w:hAnsi="仿宋" w:eastAsia="仿宋" w:cs="仿宋"/>
          <w:b/>
          <w:bCs/>
          <w:color w:val="auto"/>
          <w:sz w:val="32"/>
          <w:szCs w:val="32"/>
        </w:rPr>
        <w:t>六、</w:t>
      </w:r>
      <w:r>
        <w:rPr>
          <w:rFonts w:hint="eastAsia" w:ascii="仿宋" w:hAnsi="仿宋" w:eastAsia="仿宋" w:cs="仿宋"/>
          <w:b/>
          <w:bCs/>
          <w:color w:val="auto"/>
          <w:kern w:val="2"/>
          <w:sz w:val="32"/>
          <w:szCs w:val="32"/>
        </w:rPr>
        <w:t>强化固体废物分类安全处置</w:t>
      </w:r>
      <w:bookmarkEnd w:id="29"/>
    </w:p>
    <w:p>
      <w:pPr>
        <w:pStyle w:val="18"/>
        <w:widowControl/>
        <w:shd w:val="clear" w:color="auto" w:fill="FFFFFF"/>
        <w:spacing w:beforeAutospacing="0" w:afterAutospacing="0" w:line="450" w:lineRule="atLeast"/>
        <w:ind w:firstLine="643" w:firstLineChars="200"/>
        <w:jc w:val="both"/>
        <w:rPr>
          <w:rFonts w:ascii="仿宋" w:hAnsi="仿宋" w:eastAsia="仿宋" w:cs="仿宋"/>
          <w:b/>
          <w:bCs/>
          <w:color w:val="auto"/>
          <w:kern w:val="2"/>
          <w:sz w:val="32"/>
          <w:szCs w:val="32"/>
        </w:rPr>
      </w:pPr>
      <w:r>
        <w:rPr>
          <w:rFonts w:hint="eastAsia" w:ascii="仿宋" w:hAnsi="仿宋" w:eastAsia="仿宋" w:cs="仿宋"/>
          <w:b/>
          <w:bCs/>
          <w:color w:val="auto"/>
          <w:kern w:val="2"/>
          <w:sz w:val="32"/>
          <w:szCs w:val="32"/>
        </w:rPr>
        <w:t>（一）加强工业固体废物综合利用</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以发展循环经济为重点，通过回收、加工、循环、交换等方式，加快推进工业固体废物资源化利用，引导企业开展绿色升级改造，着力提升砖瓦窑等</w:t>
      </w:r>
      <w:r>
        <w:rPr>
          <w:rFonts w:hint="eastAsia" w:ascii="仿宋" w:hAnsi="仿宋" w:eastAsia="仿宋" w:cs="仿宋"/>
          <w:color w:val="auto"/>
          <w:kern w:val="2"/>
          <w:sz w:val="32"/>
          <w:szCs w:val="32"/>
          <w:lang w:eastAsia="zh-CN"/>
        </w:rPr>
        <w:t>行业对</w:t>
      </w:r>
      <w:r>
        <w:rPr>
          <w:rFonts w:hint="eastAsia" w:ascii="仿宋" w:hAnsi="仿宋" w:eastAsia="仿宋" w:cs="仿宋"/>
          <w:color w:val="auto"/>
          <w:kern w:val="2"/>
          <w:sz w:val="32"/>
          <w:szCs w:val="32"/>
        </w:rPr>
        <w:t>废弃物综合利用</w:t>
      </w:r>
      <w:r>
        <w:rPr>
          <w:rFonts w:hint="eastAsia" w:ascii="仿宋" w:hAnsi="仿宋" w:eastAsia="仿宋" w:cs="仿宋"/>
          <w:color w:val="auto"/>
          <w:kern w:val="2"/>
          <w:sz w:val="32"/>
          <w:szCs w:val="32"/>
          <w:lang w:eastAsia="zh-CN"/>
        </w:rPr>
        <w:t>效</w:t>
      </w:r>
      <w:r>
        <w:rPr>
          <w:rFonts w:hint="eastAsia" w:ascii="仿宋" w:hAnsi="仿宋" w:eastAsia="仿宋" w:cs="仿宋"/>
          <w:color w:val="auto"/>
          <w:kern w:val="2"/>
          <w:sz w:val="32"/>
          <w:szCs w:val="32"/>
        </w:rPr>
        <w:t>率。</w:t>
      </w:r>
    </w:p>
    <w:p>
      <w:pPr>
        <w:pStyle w:val="18"/>
        <w:widowControl/>
        <w:shd w:val="clear" w:color="auto" w:fill="FFFFFF"/>
        <w:spacing w:beforeAutospacing="0" w:afterAutospacing="0" w:line="450" w:lineRule="atLeast"/>
        <w:ind w:firstLine="643" w:firstLineChars="200"/>
        <w:jc w:val="both"/>
        <w:rPr>
          <w:rFonts w:ascii="仿宋" w:hAnsi="仿宋" w:eastAsia="仿宋" w:cs="仿宋"/>
          <w:b/>
          <w:bCs/>
          <w:color w:val="auto"/>
          <w:kern w:val="2"/>
          <w:sz w:val="32"/>
          <w:szCs w:val="32"/>
        </w:rPr>
      </w:pPr>
      <w:r>
        <w:rPr>
          <w:rFonts w:hint="eastAsia" w:ascii="仿宋" w:hAnsi="仿宋" w:eastAsia="仿宋" w:cs="仿宋"/>
          <w:b/>
          <w:bCs/>
          <w:color w:val="auto"/>
          <w:kern w:val="2"/>
          <w:sz w:val="32"/>
          <w:szCs w:val="32"/>
        </w:rPr>
        <w:t>（二）实施生活垃圾分类处理</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严格执行生活垃圾分类</w:t>
      </w:r>
      <w:r>
        <w:rPr>
          <w:rFonts w:hint="eastAsia" w:ascii="仿宋" w:hAnsi="仿宋" w:eastAsia="仿宋" w:cs="仿宋"/>
          <w:color w:val="auto"/>
          <w:kern w:val="2"/>
          <w:sz w:val="32"/>
          <w:szCs w:val="32"/>
          <w:lang w:eastAsia="zh-CN"/>
        </w:rPr>
        <w:t>制度</w:t>
      </w:r>
      <w:r>
        <w:rPr>
          <w:rFonts w:hint="eastAsia" w:ascii="仿宋" w:hAnsi="仿宋" w:eastAsia="仿宋" w:cs="仿宋"/>
          <w:color w:val="auto"/>
          <w:kern w:val="2"/>
          <w:sz w:val="32"/>
          <w:szCs w:val="32"/>
        </w:rPr>
        <w:t>。结合辖区实际，统筹谋划城镇生活垃圾收储、转运、处置体系。加快推进城镇生活垃圾收储转运体系和城镇生活垃圾无害化处置设施建设。健全完善城乡垃圾处理收转运体系，实施生活垃圾、餐厨垃圾等分类收集、无害化处理和资源化利用。到2025年，城镇生活垃圾无害化处理率不低于98%。</w:t>
      </w:r>
    </w:p>
    <w:p>
      <w:pPr>
        <w:pStyle w:val="18"/>
        <w:widowControl/>
        <w:shd w:val="clear" w:color="auto" w:fill="FFFFFF"/>
        <w:spacing w:beforeAutospacing="0" w:afterAutospacing="0" w:line="450" w:lineRule="atLeast"/>
        <w:ind w:firstLine="643" w:firstLineChars="200"/>
        <w:jc w:val="both"/>
        <w:rPr>
          <w:rFonts w:ascii="仿宋" w:hAnsi="仿宋" w:eastAsia="仿宋" w:cs="仿宋"/>
          <w:color w:val="auto"/>
          <w:kern w:val="2"/>
          <w:sz w:val="32"/>
          <w:szCs w:val="32"/>
        </w:rPr>
      </w:pPr>
      <w:r>
        <w:rPr>
          <w:rFonts w:hint="eastAsia" w:ascii="仿宋" w:hAnsi="仿宋" w:eastAsia="仿宋" w:cs="仿宋"/>
          <w:b/>
          <w:bCs/>
          <w:color w:val="auto"/>
          <w:kern w:val="2"/>
          <w:sz w:val="32"/>
          <w:szCs w:val="32"/>
        </w:rPr>
        <w:t>（三）加强农田废弃物资源化利用</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深入推进秸秆资源化利用，推进废旧农膜回收处理利用，推广农田地膜减量替代技术，建立健全农田残膜回收处理体系。加强农药包装废弃物回收、贮存、运输、处置活动的监督管理，防治农药包装废弃物污染。</w:t>
      </w:r>
    </w:p>
    <w:p>
      <w:pPr>
        <w:pStyle w:val="18"/>
        <w:widowControl/>
        <w:shd w:val="clear" w:color="auto" w:fill="FFFFFF"/>
        <w:spacing w:beforeAutospacing="0" w:afterAutospacing="0" w:line="450" w:lineRule="atLeast"/>
        <w:ind w:firstLine="643" w:firstLineChars="200"/>
        <w:jc w:val="both"/>
        <w:rPr>
          <w:rFonts w:ascii="仿宋" w:hAnsi="仿宋" w:eastAsia="仿宋" w:cs="仿宋"/>
          <w:b/>
          <w:bCs/>
          <w:color w:val="auto"/>
          <w:kern w:val="2"/>
          <w:sz w:val="32"/>
          <w:szCs w:val="32"/>
        </w:rPr>
      </w:pPr>
      <w:r>
        <w:rPr>
          <w:rFonts w:hint="eastAsia" w:ascii="仿宋" w:hAnsi="仿宋" w:eastAsia="仿宋" w:cs="仿宋"/>
          <w:b/>
          <w:bCs/>
          <w:color w:val="auto"/>
          <w:kern w:val="2"/>
          <w:sz w:val="32"/>
          <w:szCs w:val="32"/>
        </w:rPr>
        <w:t>（四）确保危险废物安全处理处置</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强化危险废物日常监管，落实危险废物申报登记和管理计划备案制度，建立危险废物管理台账，完善危险废物产生单位内部管理制度。建设危险废物以及农药包装废弃物等收集网络，开展危险废物集中收集试点建设，完善医疗废物分类收集管理制度，促进规范处置。督促危险废物产生和经营单位制定危险废物意外事故防范措施和应急预案，积极推进全县医疗废物应急处置体系建设，严厉打击危险废物非法收集处置违法犯罪行为。</w:t>
      </w:r>
    </w:p>
    <w:p>
      <w:pPr>
        <w:pStyle w:val="18"/>
        <w:widowControl/>
        <w:shd w:val="clear" w:color="auto" w:fill="FFFFFF"/>
        <w:spacing w:beforeAutospacing="0" w:afterAutospacing="0" w:line="450" w:lineRule="atLeast"/>
        <w:ind w:firstLine="643" w:firstLineChars="200"/>
        <w:jc w:val="both"/>
        <w:rPr>
          <w:rFonts w:ascii="仿宋" w:hAnsi="仿宋" w:eastAsia="仿宋" w:cs="仿宋"/>
          <w:color w:val="auto"/>
          <w:kern w:val="2"/>
          <w:sz w:val="32"/>
          <w:szCs w:val="32"/>
        </w:rPr>
      </w:pPr>
      <w:r>
        <w:rPr>
          <w:rFonts w:hint="eastAsia" w:ascii="仿宋" w:hAnsi="仿宋" w:eastAsia="仿宋" w:cs="仿宋"/>
          <w:b/>
          <w:bCs/>
          <w:color w:val="auto"/>
          <w:kern w:val="2"/>
          <w:sz w:val="32"/>
          <w:szCs w:val="32"/>
        </w:rPr>
        <w:t>（五）强化污泥安全处理处置</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完善污泥产生、运输、储存、处置全过程监管体系。逐步提高污水处理厂的污泥脱水率，完善污水收费制度，推进污泥无害化处理。到2025年全县污泥无害化处理处置率稳定在100%。</w:t>
      </w:r>
    </w:p>
    <w:p>
      <w:pPr>
        <w:pStyle w:val="18"/>
        <w:widowControl/>
        <w:shd w:val="clear" w:color="auto" w:fill="FFFFFF"/>
        <w:spacing w:beforeAutospacing="0" w:afterAutospacing="0" w:line="450" w:lineRule="atLeast"/>
        <w:ind w:firstLine="643" w:firstLineChars="200"/>
        <w:jc w:val="both"/>
        <w:outlineLvl w:val="1"/>
        <w:rPr>
          <w:rFonts w:ascii="仿宋" w:hAnsi="仿宋" w:eastAsia="仿宋" w:cs="仿宋"/>
          <w:b/>
          <w:bCs/>
          <w:color w:val="auto"/>
          <w:kern w:val="2"/>
          <w:sz w:val="32"/>
          <w:szCs w:val="32"/>
        </w:rPr>
      </w:pPr>
      <w:bookmarkStart w:id="30" w:name="_Toc31304"/>
      <w:r>
        <w:rPr>
          <w:rFonts w:hint="eastAsia" w:ascii="仿宋" w:hAnsi="仿宋" w:eastAsia="仿宋" w:cs="仿宋"/>
          <w:b/>
          <w:bCs/>
          <w:color w:val="auto"/>
          <w:kern w:val="2"/>
          <w:sz w:val="32"/>
          <w:szCs w:val="32"/>
        </w:rPr>
        <w:t>七、强化环境风险防控，筑牢环境安全防线</w:t>
      </w:r>
      <w:bookmarkEnd w:id="30"/>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ascii="仿宋" w:hAnsi="仿宋" w:eastAsia="仿宋" w:cs="仿宋"/>
          <w:color w:val="auto"/>
          <w:kern w:val="2"/>
          <w:sz w:val="32"/>
          <w:szCs w:val="32"/>
        </w:rPr>
        <w:t>牢固树立环境风险防控底线思维，加强对生态环境领域安全工作的统筹协调，构建全过程、多层级环境风险防控和应急体系，严格化学品、辐射等重点领域环境管理，有效控制环境风险，切实保证环境安全。</w:t>
      </w:r>
    </w:p>
    <w:p>
      <w:pPr>
        <w:pStyle w:val="18"/>
        <w:widowControl/>
        <w:shd w:val="clear" w:color="auto" w:fill="FFFFFF"/>
        <w:spacing w:beforeAutospacing="0" w:afterAutospacing="0" w:line="450" w:lineRule="atLeast"/>
        <w:ind w:firstLine="643" w:firstLineChars="200"/>
        <w:jc w:val="both"/>
        <w:rPr>
          <w:rFonts w:ascii="仿宋" w:hAnsi="仿宋" w:eastAsia="仿宋" w:cs="仿宋"/>
          <w:b/>
          <w:bCs/>
          <w:color w:val="auto"/>
          <w:kern w:val="2"/>
          <w:sz w:val="32"/>
          <w:szCs w:val="32"/>
        </w:rPr>
      </w:pPr>
      <w:r>
        <w:rPr>
          <w:rFonts w:ascii="仿宋" w:hAnsi="仿宋" w:eastAsia="仿宋" w:cs="仿宋"/>
          <w:b/>
          <w:bCs/>
          <w:color w:val="auto"/>
          <w:kern w:val="2"/>
          <w:sz w:val="32"/>
          <w:szCs w:val="32"/>
        </w:rPr>
        <w:t>（一）加强环境风险防范</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ascii="仿宋" w:hAnsi="仿宋" w:eastAsia="仿宋" w:cs="仿宋"/>
          <w:color w:val="auto"/>
          <w:kern w:val="2"/>
          <w:sz w:val="32"/>
          <w:szCs w:val="32"/>
        </w:rPr>
        <w:t>强化流域、区域环境风险防控</w:t>
      </w:r>
      <w:r>
        <w:rPr>
          <w:rFonts w:hint="eastAsia" w:ascii="仿宋" w:hAnsi="仿宋" w:eastAsia="仿宋" w:cs="仿宋"/>
          <w:color w:val="auto"/>
          <w:kern w:val="2"/>
          <w:sz w:val="32"/>
          <w:szCs w:val="32"/>
          <w:lang w:eastAsia="zh-CN"/>
        </w:rPr>
        <w:t>能力</w:t>
      </w:r>
      <w:r>
        <w:rPr>
          <w:rFonts w:ascii="仿宋" w:hAnsi="仿宋" w:eastAsia="仿宋" w:cs="仿宋"/>
          <w:color w:val="auto"/>
          <w:kern w:val="2"/>
          <w:sz w:val="32"/>
          <w:szCs w:val="32"/>
        </w:rPr>
        <w:t>。将危险化学品生产、使用、储存企业布局纳入区域发展规划、土地利用总体规划和城乡规划中统筹安排。摸清环境风险底数，完善风险防控措施，编制环境风险防控方案，健全环境风险防控体系。</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ascii="仿宋" w:hAnsi="仿宋" w:eastAsia="仿宋" w:cs="仿宋"/>
          <w:color w:val="auto"/>
          <w:kern w:val="2"/>
          <w:sz w:val="32"/>
          <w:szCs w:val="32"/>
        </w:rPr>
        <w:t>加强园区、企业风险防范管控。健全环境安全隐患治理制度，落实涉危、涉重、有毒有害物质等重点行业</w:t>
      </w:r>
      <w:r>
        <w:rPr>
          <w:rFonts w:hint="eastAsia" w:ascii="仿宋" w:hAnsi="仿宋" w:eastAsia="仿宋" w:cs="仿宋"/>
          <w:color w:val="auto"/>
          <w:kern w:val="2"/>
          <w:sz w:val="32"/>
          <w:szCs w:val="32"/>
          <w:lang w:eastAsia="zh-CN"/>
        </w:rPr>
        <w:t>，以及</w:t>
      </w:r>
      <w:r>
        <w:rPr>
          <w:rFonts w:ascii="仿宋" w:hAnsi="仿宋" w:eastAsia="仿宋" w:cs="仿宋"/>
          <w:color w:val="auto"/>
          <w:kern w:val="2"/>
          <w:sz w:val="32"/>
          <w:szCs w:val="32"/>
        </w:rPr>
        <w:t>工业园区、饮用水水源地、尾矿库等重点领域</w:t>
      </w:r>
      <w:r>
        <w:rPr>
          <w:rFonts w:hint="eastAsia" w:ascii="仿宋" w:hAnsi="仿宋" w:eastAsia="仿宋" w:cs="仿宋"/>
          <w:color w:val="auto"/>
          <w:kern w:val="2"/>
          <w:sz w:val="32"/>
          <w:szCs w:val="32"/>
          <w:lang w:eastAsia="zh-CN"/>
        </w:rPr>
        <w:t>的</w:t>
      </w:r>
      <w:r>
        <w:rPr>
          <w:rFonts w:ascii="仿宋" w:hAnsi="仿宋" w:eastAsia="仿宋" w:cs="仿宋"/>
          <w:color w:val="auto"/>
          <w:kern w:val="2"/>
          <w:sz w:val="32"/>
          <w:szCs w:val="32"/>
        </w:rPr>
        <w:t>环境风险防控措施，建立环境安全隐患动态清单，落实相关企业环境风险防范主体责任，防范化解重特大突发环境事件风险。提高企业污染隐患和环境风险防范意识，落实企业环境风险防范主体责任，督促企业健全环境应急体系和环境风险防范措施，定期开展环境应急演练，提高环境污染事故应急反应能力。建立重点环境风险企业清单，对沿河重点企业深入开展突发环境事件风险企业信息登记和信息公开，督促企业完善环境</w:t>
      </w:r>
      <w:r>
        <w:rPr>
          <w:rFonts w:hint="eastAsia" w:ascii="仿宋" w:hAnsi="仿宋" w:eastAsia="仿宋" w:cs="仿宋"/>
          <w:color w:val="auto"/>
          <w:kern w:val="2"/>
          <w:sz w:val="32"/>
          <w:szCs w:val="32"/>
        </w:rPr>
        <w:t>风险</w:t>
      </w:r>
      <w:r>
        <w:rPr>
          <w:rFonts w:ascii="仿宋" w:hAnsi="仿宋" w:eastAsia="仿宋" w:cs="仿宋"/>
          <w:color w:val="auto"/>
          <w:kern w:val="2"/>
          <w:sz w:val="32"/>
          <w:szCs w:val="32"/>
        </w:rPr>
        <w:t>应急管理制度和环境应急设施。</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ascii="仿宋" w:hAnsi="仿宋" w:eastAsia="仿宋" w:cs="仿宋"/>
          <w:color w:val="auto"/>
          <w:kern w:val="2"/>
          <w:sz w:val="32"/>
          <w:szCs w:val="32"/>
        </w:rPr>
        <w:t>提升危险废物监管水平</w:t>
      </w:r>
      <w:r>
        <w:rPr>
          <w:rFonts w:hint="eastAsia" w:ascii="仿宋" w:hAnsi="仿宋" w:eastAsia="仿宋" w:cs="仿宋"/>
          <w:color w:val="auto"/>
          <w:kern w:val="2"/>
          <w:sz w:val="32"/>
          <w:szCs w:val="32"/>
          <w:lang w:eastAsia="zh-CN"/>
        </w:rPr>
        <w:t>，</w:t>
      </w:r>
      <w:r>
        <w:rPr>
          <w:rFonts w:ascii="仿宋" w:hAnsi="仿宋" w:eastAsia="仿宋" w:cs="仿宋"/>
          <w:color w:val="auto"/>
          <w:kern w:val="2"/>
          <w:sz w:val="32"/>
          <w:szCs w:val="32"/>
        </w:rPr>
        <w:t>建立危险废物排污许可制度，实施危险废物分级分类管理。完善危险废物监管源清单并进行动态更新，强化危险废物全过程环境监管，严厉打击危险废物非法转移倾倒等违法犯罪行为。强化危险废物全过程环境监管，建立产废者连带责任，提升信息化监管能力和水平。</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ascii="仿宋" w:hAnsi="仿宋" w:eastAsia="仿宋" w:cs="仿宋"/>
          <w:color w:val="auto"/>
          <w:kern w:val="2"/>
          <w:sz w:val="32"/>
          <w:szCs w:val="32"/>
        </w:rPr>
        <w:t>加强尾矿库、渣场风险管控。开展环境风险隐患排查，有针对性开展突发环境污染事故应急演练。有序推进工业固体废物堆场（渣场）整治，推动工业固体废物规范管理，逐步消除历史遗留环境风险隐患。建立尾矿库分类环境管理制度，加强尾矿库环境风险隐患排查治理。积极推进</w:t>
      </w:r>
      <w:r>
        <w:rPr>
          <w:rFonts w:hint="eastAsia" w:ascii="仿宋" w:hAnsi="仿宋" w:eastAsia="仿宋" w:cs="仿宋"/>
          <w:color w:val="auto"/>
          <w:kern w:val="2"/>
          <w:sz w:val="32"/>
          <w:szCs w:val="32"/>
        </w:rPr>
        <w:t>采空</w:t>
      </w:r>
      <w:r>
        <w:rPr>
          <w:rFonts w:ascii="仿宋" w:hAnsi="仿宋" w:eastAsia="仿宋" w:cs="仿宋"/>
          <w:color w:val="auto"/>
          <w:kern w:val="2"/>
          <w:sz w:val="32"/>
          <w:szCs w:val="32"/>
        </w:rPr>
        <w:t>区综合治理。</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ascii="仿宋" w:hAnsi="仿宋" w:eastAsia="仿宋" w:cs="仿宋"/>
          <w:color w:val="auto"/>
          <w:kern w:val="2"/>
          <w:sz w:val="32"/>
          <w:szCs w:val="32"/>
        </w:rPr>
        <w:t>防范京津冀产业转移污染风险，严格实行承接转移产业项目环境准入制度，确保产业配套、能耗和污染物排放达到相关标准。加快产业园区内基础设施以及公共服务平台、生活服务配套等综合配套设施建设，构建转移产业、原有产业以及基础设施的循环链，建设循环经济产业园，实现废水、废气、废热、固废的资源化处理及利用。</w:t>
      </w:r>
    </w:p>
    <w:p>
      <w:pPr>
        <w:pStyle w:val="18"/>
        <w:widowControl/>
        <w:shd w:val="clear" w:color="auto" w:fill="FFFFFF"/>
        <w:spacing w:beforeAutospacing="0" w:afterAutospacing="0" w:line="450" w:lineRule="atLeast"/>
        <w:ind w:firstLine="643" w:firstLineChars="200"/>
        <w:jc w:val="both"/>
        <w:rPr>
          <w:rFonts w:ascii="仿宋" w:hAnsi="仿宋" w:eastAsia="仿宋" w:cs="仿宋"/>
          <w:color w:val="auto"/>
          <w:kern w:val="2"/>
          <w:sz w:val="32"/>
          <w:szCs w:val="32"/>
        </w:rPr>
      </w:pPr>
      <w:r>
        <w:rPr>
          <w:rFonts w:ascii="仿宋" w:hAnsi="仿宋" w:eastAsia="仿宋" w:cs="仿宋"/>
          <w:b/>
          <w:bCs/>
          <w:color w:val="auto"/>
          <w:kern w:val="2"/>
          <w:sz w:val="32"/>
          <w:szCs w:val="32"/>
        </w:rPr>
        <w:t>（二）完善应急管理体系</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ascii="仿宋" w:hAnsi="仿宋" w:eastAsia="仿宋" w:cs="仿宋"/>
          <w:color w:val="auto"/>
          <w:kern w:val="2"/>
          <w:sz w:val="32"/>
          <w:szCs w:val="32"/>
        </w:rPr>
        <w:t>提升环境应急管理能力。</w:t>
      </w:r>
      <w:r>
        <w:rPr>
          <w:rFonts w:hint="eastAsia" w:ascii="仿宋" w:hAnsi="仿宋" w:eastAsia="仿宋" w:cs="仿宋"/>
          <w:color w:val="auto"/>
          <w:kern w:val="2"/>
          <w:sz w:val="32"/>
          <w:szCs w:val="32"/>
        </w:rPr>
        <w:t>理清</w:t>
      </w:r>
      <w:r>
        <w:rPr>
          <w:rFonts w:ascii="仿宋" w:hAnsi="仿宋" w:eastAsia="仿宋" w:cs="仿宋"/>
          <w:color w:val="auto"/>
          <w:kern w:val="2"/>
          <w:sz w:val="32"/>
          <w:szCs w:val="32"/>
        </w:rPr>
        <w:t>环境应急管理职责，健全环境应急社会化支撑体系，完成环境</w:t>
      </w:r>
      <w:r>
        <w:rPr>
          <w:rFonts w:hint="eastAsia" w:ascii="仿宋" w:hAnsi="仿宋" w:eastAsia="仿宋" w:cs="仿宋"/>
          <w:color w:val="auto"/>
          <w:kern w:val="2"/>
          <w:sz w:val="32"/>
          <w:szCs w:val="32"/>
        </w:rPr>
        <w:t>风险</w:t>
      </w:r>
      <w:r>
        <w:rPr>
          <w:rFonts w:ascii="仿宋" w:hAnsi="仿宋" w:eastAsia="仿宋" w:cs="仿宋"/>
          <w:color w:val="auto"/>
          <w:kern w:val="2"/>
          <w:sz w:val="32"/>
          <w:szCs w:val="32"/>
        </w:rPr>
        <w:t>应急指挥中心建设，完善环境应急物资储备</w:t>
      </w:r>
      <w:r>
        <w:rPr>
          <w:rFonts w:hint="eastAsia" w:ascii="仿宋" w:hAnsi="仿宋" w:eastAsia="仿宋" w:cs="仿宋"/>
          <w:color w:val="auto"/>
          <w:kern w:val="2"/>
          <w:sz w:val="32"/>
          <w:szCs w:val="32"/>
          <w:lang w:eastAsia="zh-CN"/>
        </w:rPr>
        <w:t>能力</w:t>
      </w:r>
      <w:r>
        <w:rPr>
          <w:rFonts w:ascii="仿宋" w:hAnsi="仿宋" w:eastAsia="仿宋" w:cs="仿宋"/>
          <w:color w:val="auto"/>
          <w:kern w:val="2"/>
          <w:sz w:val="32"/>
          <w:szCs w:val="32"/>
        </w:rPr>
        <w:t>，加强特征污染物环境应急物资储备</w:t>
      </w:r>
      <w:r>
        <w:rPr>
          <w:rFonts w:hint="eastAsia" w:ascii="仿宋" w:hAnsi="仿宋" w:eastAsia="仿宋" w:cs="仿宋"/>
          <w:color w:val="auto"/>
          <w:kern w:val="2"/>
          <w:sz w:val="32"/>
          <w:szCs w:val="32"/>
        </w:rPr>
        <w:t>。</w:t>
      </w:r>
      <w:r>
        <w:rPr>
          <w:rFonts w:ascii="仿宋" w:hAnsi="仿宋" w:eastAsia="仿宋" w:cs="仿宋"/>
          <w:color w:val="auto"/>
          <w:kern w:val="2"/>
          <w:sz w:val="32"/>
          <w:szCs w:val="32"/>
        </w:rPr>
        <w:t>落实环境风险企业“一源一事一案”制度，加大企业环境应急演练频次，加强专业化环境应急救援队伍建设，探索建立环境应急专员制度，提升生态环境风险应急处置能力。</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ascii="仿宋" w:hAnsi="仿宋" w:eastAsia="仿宋" w:cs="仿宋"/>
          <w:color w:val="auto"/>
          <w:kern w:val="2"/>
          <w:sz w:val="32"/>
          <w:szCs w:val="32"/>
        </w:rPr>
        <w:t>提升应急储备能力。建立突发环境事件应急指挥信息系统，建立环境应急物资、环境应急专家共享机制，推进水源地应急物资储备库建设。实行物资储备信息动态化管理，掌握常用应急处置物资信息，形成应急处置物资持续应急供应能力。</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ascii="仿宋" w:hAnsi="仿宋" w:eastAsia="仿宋" w:cs="仿宋"/>
          <w:color w:val="auto"/>
          <w:kern w:val="2"/>
          <w:sz w:val="32"/>
          <w:szCs w:val="32"/>
        </w:rPr>
        <w:t>提升应急响应能力。强化部门应急联动，增强生态环境、水利、交通、应急管理等相关职能部门环境应急联动能力，强化应急演练。提升应急监测预警能力，加快环境应急预警信息化平台建设，确保突发环境事件早发现、早调度、早处置，完善区域联动的环境应急监测体系。</w:t>
      </w:r>
    </w:p>
    <w:p>
      <w:pPr>
        <w:pStyle w:val="18"/>
        <w:widowControl/>
        <w:shd w:val="clear" w:color="auto" w:fill="FFFFFF"/>
        <w:spacing w:beforeAutospacing="0" w:afterAutospacing="0" w:line="450" w:lineRule="atLeast"/>
        <w:ind w:firstLine="643" w:firstLineChars="200"/>
        <w:jc w:val="both"/>
        <w:rPr>
          <w:rFonts w:ascii="仿宋" w:hAnsi="仿宋" w:eastAsia="仿宋" w:cs="仿宋"/>
          <w:b/>
          <w:bCs/>
          <w:color w:val="auto"/>
          <w:kern w:val="2"/>
          <w:sz w:val="32"/>
          <w:szCs w:val="32"/>
        </w:rPr>
      </w:pPr>
      <w:r>
        <w:rPr>
          <w:rFonts w:ascii="仿宋" w:hAnsi="仿宋" w:eastAsia="仿宋" w:cs="仿宋"/>
          <w:b/>
          <w:bCs/>
          <w:color w:val="auto"/>
          <w:kern w:val="2"/>
          <w:sz w:val="32"/>
          <w:szCs w:val="32"/>
        </w:rPr>
        <w:t>（三）强化有毒有害化学物质风险防控</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ascii="仿宋" w:hAnsi="仿宋" w:eastAsia="仿宋" w:cs="仿宋"/>
          <w:color w:val="auto"/>
          <w:kern w:val="2"/>
          <w:sz w:val="32"/>
          <w:szCs w:val="32"/>
        </w:rPr>
        <w:t>开展现有化学物质环境信息统计，强化新化学物质环境管理登记，严格管控从事化学物质的生产、加工使用企业</w:t>
      </w:r>
      <w:r>
        <w:rPr>
          <w:rFonts w:hint="eastAsia" w:ascii="仿宋" w:hAnsi="仿宋" w:eastAsia="仿宋" w:cs="仿宋"/>
          <w:color w:val="auto"/>
          <w:kern w:val="2"/>
          <w:sz w:val="32"/>
          <w:szCs w:val="32"/>
          <w:lang w:eastAsia="zh-CN"/>
        </w:rPr>
        <w:t>。</w:t>
      </w:r>
      <w:r>
        <w:rPr>
          <w:rFonts w:ascii="仿宋" w:hAnsi="仿宋" w:eastAsia="仿宋" w:cs="仿宋"/>
          <w:color w:val="auto"/>
          <w:kern w:val="2"/>
          <w:sz w:val="32"/>
          <w:szCs w:val="32"/>
        </w:rPr>
        <w:t>开展有毒有害化学物质环境风险评估，识别有毒有害化学物质，分类建立完善安全风险数据库和信息管理系统。加强企业清洁生产审核，全面落实《产业结构调整指导目录》中有毒有害化学物质淘汰和限制</w:t>
      </w:r>
      <w:r>
        <w:rPr>
          <w:rFonts w:hint="eastAsia" w:ascii="仿宋" w:hAnsi="仿宋" w:eastAsia="仿宋" w:cs="仿宋"/>
          <w:color w:val="auto"/>
          <w:kern w:val="2"/>
          <w:sz w:val="32"/>
          <w:szCs w:val="32"/>
          <w:lang w:eastAsia="zh-CN"/>
        </w:rPr>
        <w:t>要求</w:t>
      </w:r>
      <w:r>
        <w:rPr>
          <w:rFonts w:ascii="仿宋" w:hAnsi="仿宋" w:eastAsia="仿宋" w:cs="仿宋"/>
          <w:color w:val="auto"/>
          <w:kern w:val="2"/>
          <w:sz w:val="32"/>
          <w:szCs w:val="32"/>
        </w:rPr>
        <w:t>，强化绿色替代品和替代技术推广应用。</w:t>
      </w:r>
    </w:p>
    <w:p>
      <w:pPr>
        <w:pStyle w:val="18"/>
        <w:widowControl/>
        <w:shd w:val="clear" w:color="auto" w:fill="FFFFFF"/>
        <w:spacing w:beforeAutospacing="0" w:afterAutospacing="0" w:line="450" w:lineRule="atLeast"/>
        <w:ind w:firstLine="643" w:firstLineChars="200"/>
        <w:jc w:val="both"/>
        <w:rPr>
          <w:rFonts w:ascii="仿宋" w:hAnsi="仿宋" w:eastAsia="仿宋" w:cs="仿宋"/>
          <w:b/>
          <w:bCs/>
          <w:color w:val="auto"/>
          <w:kern w:val="2"/>
          <w:sz w:val="32"/>
          <w:szCs w:val="32"/>
        </w:rPr>
      </w:pPr>
      <w:r>
        <w:rPr>
          <w:rFonts w:ascii="仿宋" w:hAnsi="仿宋" w:eastAsia="仿宋" w:cs="仿宋"/>
          <w:b/>
          <w:bCs/>
          <w:color w:val="auto"/>
          <w:kern w:val="2"/>
          <w:sz w:val="32"/>
          <w:szCs w:val="32"/>
        </w:rPr>
        <w:t>（四）加强辐射安全监管</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ascii="仿宋" w:hAnsi="仿宋" w:eastAsia="仿宋" w:cs="仿宋"/>
          <w:color w:val="auto"/>
          <w:kern w:val="2"/>
          <w:sz w:val="32"/>
          <w:szCs w:val="32"/>
        </w:rPr>
        <w:t>严格按照辐射建设项目审批的相关规定，确保辐射安全许可、环评文件审批及废旧放射源回收率100%。进一步壮大辐射安全监管、监测队伍，充实辐射监测和应急</w:t>
      </w:r>
      <w:r>
        <w:rPr>
          <w:rFonts w:hint="eastAsia" w:ascii="仿宋" w:hAnsi="仿宋" w:eastAsia="仿宋" w:cs="仿宋"/>
          <w:color w:val="auto"/>
          <w:kern w:val="2"/>
          <w:sz w:val="32"/>
          <w:szCs w:val="32"/>
          <w:lang w:eastAsia="zh-CN"/>
        </w:rPr>
        <w:t>处置能力。</w:t>
      </w:r>
      <w:r>
        <w:rPr>
          <w:rFonts w:ascii="仿宋" w:hAnsi="仿宋" w:eastAsia="仿宋" w:cs="仿宋"/>
          <w:color w:val="auto"/>
          <w:kern w:val="2"/>
          <w:sz w:val="32"/>
          <w:szCs w:val="32"/>
        </w:rPr>
        <w:t>推进辐射环境安全监管、监测和应急能力现代化建设。规范废旧放射源和放射性“三废”</w:t>
      </w:r>
      <w:r>
        <w:rPr>
          <w:rFonts w:hint="eastAsia" w:ascii="仿宋" w:hAnsi="仿宋" w:eastAsia="仿宋" w:cs="仿宋"/>
          <w:color w:val="auto"/>
          <w:kern w:val="2"/>
          <w:sz w:val="32"/>
          <w:szCs w:val="32"/>
          <w:lang w:eastAsia="zh-CN"/>
        </w:rPr>
        <w:t>处置行为</w:t>
      </w:r>
      <w:r>
        <w:rPr>
          <w:rFonts w:ascii="仿宋" w:hAnsi="仿宋" w:eastAsia="仿宋" w:cs="仿宋"/>
          <w:color w:val="auto"/>
          <w:kern w:val="2"/>
          <w:sz w:val="32"/>
          <w:szCs w:val="32"/>
        </w:rPr>
        <w:t>，推动废旧放射源回收再利用。强化电磁环境监管，全面提升辐射事故应急响应能力。</w:t>
      </w:r>
    </w:p>
    <w:p>
      <w:pPr>
        <w:ind w:firstLine="643" w:firstLineChars="200"/>
        <w:outlineLvl w:val="1"/>
        <w:rPr>
          <w:rFonts w:ascii="仿宋" w:hAnsi="仿宋" w:eastAsia="仿宋" w:cs="仿宋"/>
          <w:b/>
          <w:bCs/>
          <w:color w:val="auto"/>
          <w:sz w:val="32"/>
          <w:szCs w:val="32"/>
        </w:rPr>
      </w:pPr>
      <w:bookmarkStart w:id="31" w:name="_Toc18582"/>
      <w:r>
        <w:rPr>
          <w:rFonts w:hint="eastAsia" w:ascii="仿宋" w:hAnsi="仿宋" w:eastAsia="仿宋" w:cs="仿宋"/>
          <w:b/>
          <w:bCs/>
          <w:color w:val="auto"/>
          <w:sz w:val="32"/>
          <w:szCs w:val="32"/>
        </w:rPr>
        <w:t>八、土壤环境风险防控</w:t>
      </w:r>
      <w:bookmarkEnd w:id="31"/>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以保障环境健康为出发点，以改善和保护土壤环境质量为核心，深化土壤污染源头防治，实施农用地分级分类管理，全面开展重点区域、重点行业企业土壤环境质量调查，建立建设用地污染地块清单、集中式饮用水水源地潜在风险地块清单。加强建设用地环境风险管控，使全县土壤环境质量稳中有升。</w:t>
      </w:r>
    </w:p>
    <w:p>
      <w:pPr>
        <w:pStyle w:val="18"/>
        <w:widowControl/>
        <w:shd w:val="clear" w:color="auto" w:fill="FFFFFF"/>
        <w:spacing w:beforeAutospacing="0" w:afterAutospacing="0" w:line="450" w:lineRule="atLeast"/>
        <w:ind w:firstLine="643" w:firstLineChars="200"/>
        <w:jc w:val="both"/>
        <w:rPr>
          <w:rFonts w:ascii="仿宋" w:hAnsi="仿宋" w:eastAsia="仿宋" w:cs="仿宋"/>
          <w:b/>
          <w:bCs/>
          <w:color w:val="auto"/>
          <w:kern w:val="2"/>
          <w:sz w:val="32"/>
          <w:szCs w:val="32"/>
        </w:rPr>
      </w:pPr>
      <w:bookmarkStart w:id="32" w:name="_Toc20407"/>
      <w:bookmarkEnd w:id="32"/>
      <w:r>
        <w:rPr>
          <w:rFonts w:hint="eastAsia" w:ascii="仿宋" w:hAnsi="仿宋" w:eastAsia="仿宋" w:cs="仿宋"/>
          <w:b/>
          <w:bCs/>
          <w:color w:val="auto"/>
          <w:kern w:val="2"/>
          <w:sz w:val="32"/>
          <w:szCs w:val="32"/>
        </w:rPr>
        <w:t>（一）加强污染耕地环境风险控制</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落实农用地土壤分类管理，分步实施土壤污染治理和修复。对已污染的耕地实施分类管理，采取农艺调控、种植业结构调整、土壤污染治理与修复等措施，确保耕地安全利用</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rPr>
        <w:t>加强农用土地复垦风险评估管理</w:t>
      </w:r>
      <w:r>
        <w:rPr>
          <w:rFonts w:hint="eastAsia" w:ascii="仿宋" w:hAnsi="仿宋" w:eastAsia="仿宋" w:cs="仿宋"/>
          <w:color w:val="auto"/>
          <w:kern w:val="2"/>
          <w:sz w:val="32"/>
          <w:szCs w:val="32"/>
          <w:lang w:eastAsia="zh-CN"/>
        </w:rPr>
        <w:t>，对</w:t>
      </w:r>
      <w:r>
        <w:rPr>
          <w:rFonts w:hint="eastAsia" w:ascii="仿宋" w:hAnsi="仿宋" w:eastAsia="仿宋" w:cs="仿宋"/>
          <w:color w:val="auto"/>
          <w:kern w:val="2"/>
          <w:sz w:val="32"/>
          <w:szCs w:val="32"/>
        </w:rPr>
        <w:t>污染严重且难以修复的耕地依法划定为农产品禁止生产区域。</w:t>
      </w:r>
    </w:p>
    <w:p>
      <w:pPr>
        <w:pStyle w:val="18"/>
        <w:widowControl/>
        <w:shd w:val="clear" w:color="auto" w:fill="FFFFFF"/>
        <w:spacing w:beforeAutospacing="0" w:afterAutospacing="0" w:line="450" w:lineRule="atLeast"/>
        <w:ind w:firstLine="643" w:firstLineChars="200"/>
        <w:jc w:val="both"/>
        <w:rPr>
          <w:rFonts w:ascii="仿宋" w:hAnsi="仿宋" w:eastAsia="仿宋" w:cs="仿宋"/>
          <w:b/>
          <w:bCs/>
          <w:color w:val="auto"/>
          <w:kern w:val="2"/>
          <w:sz w:val="32"/>
          <w:szCs w:val="32"/>
        </w:rPr>
      </w:pPr>
      <w:bookmarkStart w:id="33" w:name="_Toc2906"/>
      <w:bookmarkEnd w:id="33"/>
      <w:r>
        <w:rPr>
          <w:rFonts w:hint="eastAsia" w:ascii="仿宋" w:hAnsi="仿宋" w:eastAsia="仿宋" w:cs="仿宋"/>
          <w:b/>
          <w:bCs/>
          <w:color w:val="auto"/>
          <w:kern w:val="2"/>
          <w:sz w:val="32"/>
          <w:szCs w:val="32"/>
        </w:rPr>
        <w:t>（二）加强污染场地环境风险管控</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建立工业污染场地清单数据库。全面开展已污染场地和潜在污染场地排查，加强对污染地块修复后再开发利用</w:t>
      </w:r>
      <w:r>
        <w:rPr>
          <w:rFonts w:hint="eastAsia" w:ascii="仿宋" w:hAnsi="仿宋" w:eastAsia="仿宋" w:cs="仿宋"/>
          <w:color w:val="auto"/>
          <w:kern w:val="2"/>
          <w:sz w:val="32"/>
          <w:szCs w:val="32"/>
          <w:lang w:eastAsia="zh-CN"/>
        </w:rPr>
        <w:t>的</w:t>
      </w:r>
      <w:r>
        <w:rPr>
          <w:rFonts w:hint="eastAsia" w:ascii="仿宋" w:hAnsi="仿宋" w:eastAsia="仿宋" w:cs="仿宋"/>
          <w:color w:val="auto"/>
          <w:kern w:val="2"/>
          <w:sz w:val="32"/>
          <w:szCs w:val="32"/>
        </w:rPr>
        <w:t>监管，积极探索工业污染地块“环境修复+开发建设”模式，有序推动土壤污染修复。</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建立污染地块部门联动监管机制。依托全国污染地块土壤环境管理信息系统等信息平台，实现生态环境、自然资源、发改、住建等部门信息共享，严格按照相关规定在工业用地转变为非工业用地、土壤环境调查、污染地块名录、治理与修复、工程规划许可、施工许可等环节实行联动监管。</w:t>
      </w:r>
    </w:p>
    <w:p>
      <w:pPr>
        <w:pStyle w:val="18"/>
        <w:widowControl/>
        <w:numPr>
          <w:ilvl w:val="0"/>
          <w:numId w:val="1"/>
        </w:numPr>
        <w:shd w:val="clear" w:color="auto" w:fill="FFFFFF"/>
        <w:spacing w:beforeAutospacing="0" w:afterAutospacing="0" w:line="450" w:lineRule="atLeast"/>
        <w:ind w:firstLine="643" w:firstLineChars="200"/>
        <w:jc w:val="both"/>
        <w:rPr>
          <w:rFonts w:hint="eastAsia" w:ascii="仿宋" w:hAnsi="仿宋" w:eastAsia="仿宋" w:cs="仿宋"/>
          <w:b/>
          <w:bCs/>
          <w:color w:val="auto"/>
          <w:kern w:val="2"/>
          <w:sz w:val="32"/>
          <w:szCs w:val="32"/>
        </w:rPr>
      </w:pPr>
      <w:bookmarkStart w:id="34" w:name="_Toc15371"/>
      <w:bookmarkEnd w:id="34"/>
      <w:r>
        <w:rPr>
          <w:rFonts w:hint="eastAsia" w:ascii="仿宋" w:hAnsi="仿宋" w:eastAsia="仿宋" w:cs="仿宋"/>
          <w:b/>
          <w:bCs/>
          <w:color w:val="auto"/>
          <w:kern w:val="2"/>
          <w:sz w:val="32"/>
          <w:szCs w:val="32"/>
        </w:rPr>
        <w:t>加强未利用地环境监管</w:t>
      </w:r>
    </w:p>
    <w:p>
      <w:pPr>
        <w:pStyle w:val="18"/>
        <w:widowControl/>
        <w:numPr>
          <w:numId w:val="0"/>
        </w:numPr>
        <w:shd w:val="clear" w:color="auto" w:fill="FFFFFF"/>
        <w:spacing w:beforeAutospacing="0" w:afterAutospacing="0" w:line="450" w:lineRule="atLeast"/>
        <w:jc w:val="both"/>
        <w:rPr>
          <w:rFonts w:ascii="仿宋" w:hAnsi="仿宋" w:eastAsia="仿宋" w:cs="仿宋"/>
          <w:color w:val="auto"/>
          <w:kern w:val="2"/>
          <w:sz w:val="32"/>
          <w:szCs w:val="32"/>
        </w:rPr>
      </w:pPr>
      <w:r>
        <w:rPr>
          <w:rFonts w:hint="eastAsia" w:ascii="仿宋" w:hAnsi="仿宋" w:eastAsia="仿宋" w:cs="仿宋"/>
          <w:color w:val="auto"/>
          <w:kern w:val="2"/>
          <w:sz w:val="32"/>
          <w:szCs w:val="32"/>
          <w:lang w:val="en-US" w:eastAsia="zh-CN"/>
        </w:rPr>
        <w:t xml:space="preserve">    </w:t>
      </w:r>
      <w:r>
        <w:rPr>
          <w:rFonts w:hint="eastAsia" w:ascii="仿宋" w:hAnsi="仿宋" w:eastAsia="仿宋" w:cs="仿宋"/>
          <w:color w:val="auto"/>
          <w:kern w:val="2"/>
          <w:sz w:val="32"/>
          <w:szCs w:val="32"/>
        </w:rPr>
        <w:t>加强未利用地保护，严守生态安全底线，对划入生态保护红线内的未利用地实行强制性保护。依法严查非法排污、倾倒有毒有害物质的环境违法犯罪行为。加强对矿山等矿产资源开采活动影响区域内未利用地的环境监管，及时督促存在土壤污染问题的单位采取</w:t>
      </w:r>
      <w:r>
        <w:rPr>
          <w:rFonts w:hint="eastAsia" w:ascii="仿宋" w:hAnsi="仿宋" w:eastAsia="仿宋" w:cs="仿宋"/>
          <w:color w:val="auto"/>
          <w:kern w:val="2"/>
          <w:sz w:val="32"/>
          <w:szCs w:val="32"/>
          <w:lang w:eastAsia="zh-CN"/>
        </w:rPr>
        <w:t>有效地治理</w:t>
      </w:r>
      <w:r>
        <w:rPr>
          <w:rFonts w:hint="eastAsia" w:ascii="仿宋" w:hAnsi="仿宋" w:eastAsia="仿宋" w:cs="仿宋"/>
          <w:color w:val="auto"/>
          <w:kern w:val="2"/>
          <w:sz w:val="32"/>
          <w:szCs w:val="32"/>
        </w:rPr>
        <w:t>措施。</w:t>
      </w:r>
    </w:p>
    <w:p>
      <w:pPr>
        <w:ind w:firstLine="643" w:firstLineChars="200"/>
        <w:outlineLvl w:val="1"/>
        <w:rPr>
          <w:rFonts w:ascii="仿宋" w:hAnsi="仿宋" w:eastAsia="仿宋" w:cs="仿宋"/>
          <w:b/>
          <w:bCs/>
          <w:color w:val="auto"/>
          <w:sz w:val="32"/>
          <w:szCs w:val="32"/>
        </w:rPr>
      </w:pPr>
      <w:bookmarkStart w:id="35" w:name="_Toc6782"/>
      <w:r>
        <w:rPr>
          <w:rFonts w:hint="eastAsia" w:ascii="仿宋" w:hAnsi="仿宋" w:eastAsia="仿宋" w:cs="仿宋"/>
          <w:b/>
          <w:bCs/>
          <w:color w:val="auto"/>
          <w:sz w:val="32"/>
          <w:szCs w:val="32"/>
        </w:rPr>
        <w:t>九、生态环境保护</w:t>
      </w:r>
      <w:bookmarkEnd w:id="35"/>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持续推进“绿水青山就是金山银山”理论，以提升生态系统服务功能为目标，加快生态脆弱区修复、生态敏感区的保护，推进生态环境分区管控、系统治理，牢固树立“山水林田湖草是一个生命共同体”的</w:t>
      </w:r>
      <w:r>
        <w:rPr>
          <w:rFonts w:hint="eastAsia" w:ascii="仿宋" w:hAnsi="仿宋" w:eastAsia="仿宋" w:cs="仿宋"/>
          <w:color w:val="auto"/>
          <w:sz w:val="32"/>
          <w:szCs w:val="32"/>
          <w:lang w:eastAsia="zh-CN"/>
        </w:rPr>
        <w:t>理念</w:t>
      </w:r>
      <w:r>
        <w:rPr>
          <w:rFonts w:hint="eastAsia" w:ascii="仿宋" w:hAnsi="仿宋" w:eastAsia="仿宋" w:cs="仿宋"/>
          <w:color w:val="auto"/>
          <w:sz w:val="32"/>
          <w:szCs w:val="32"/>
        </w:rPr>
        <w:t>，坚持生态优先、绿色发展。</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（一）强化生态系统修复</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1、加快矿山恢复治理。重点进行生态规划和设计，</w:t>
      </w:r>
      <w:r>
        <w:rPr>
          <w:rFonts w:hint="eastAsia" w:ascii="仿宋" w:hAnsi="仿宋" w:eastAsia="仿宋" w:cs="仿宋"/>
          <w:color w:val="auto"/>
          <w:sz w:val="32"/>
          <w:szCs w:val="32"/>
          <w:lang w:eastAsia="zh-CN"/>
        </w:rPr>
        <w:t>及时对闭矿的区域开展生态修复治理工程</w:t>
      </w:r>
      <w:r>
        <w:rPr>
          <w:rFonts w:hint="eastAsia" w:ascii="仿宋" w:hAnsi="仿宋" w:eastAsia="仿宋" w:cs="仿宋"/>
          <w:color w:val="auto"/>
          <w:sz w:val="32"/>
          <w:szCs w:val="32"/>
        </w:rPr>
        <w:t>，提高复垦土地的生产力。坚持政府部门实施有效管理，通过政府行为对矿山环境的破坏行为和治理工作采取行政手段，包括事前监督、事后监督、责任追究和执法检查等，使矿山生态环境防治工作有法可依。坚持生态恢复目标多样化和生态恢复产业化，充分体现“谁投资、谁受益”的原则。建立矿山生态修复治理台账及销号制度。</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2、推进生态保护修复工程。实施天然林保护工程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农村植树造林工程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退耕还林工程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沿河植被系统保育工程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风沙源治理工程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山水林田湖草生态保护修复工程，加强森林、河流、湿地等重要生态系统的保护</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修复。</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加强生物多样性保护。加强对天秀山省级自然保护区、老虎洞山省级自然保护区的保护，以保护生态系统和众多的野生动植物及其栖息地为主；坚决取缔自然保护区、风景名胜区内各种破坏自然资源的非法开发建设活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推进全县的古树、名木、野生动物等的调查摸底工作，参考相关保护经验建立保护档案，采取挂牌或圈定范围进行保护。</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（二）实行精细化生态环境管控分区管理</w:t>
      </w:r>
      <w:r>
        <w:rPr>
          <w:rFonts w:hint="eastAsia" w:ascii="仿宋" w:hAnsi="仿宋" w:eastAsia="仿宋" w:cs="仿宋"/>
          <w:color w:val="auto"/>
          <w:sz w:val="32"/>
          <w:szCs w:val="32"/>
        </w:rPr>
        <w:t xml:space="preserve">    </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 1、充分考虑建平县地处辽河源水源涵养重要区和三北防护林带的系统性和整体性，结合区域主体功能区划、土地利用规划、城市总体规划、三线一单等相关规划及区划，基于自然地理单元、自然保护区、重要生态功能区、生态敏感区及脆弱区的分布，精细划分生态功能分区，结合生态系统功能目标，精准研判生态系统现状及问题。根据问题导向和生态环境效益最大化的原则，分别在不同生态功能区开展生态修复工程，开展山水林田湖草统一保护。</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加强重要生态空间常态化监管。以生态保护红线和自然保护地为重点，形成以例行监管为主，专项监管和专案监管为辅助的监管方式。依托生态环境监测网络和生态保护红线监管平台，运用大数据、物联网、云计算等方式，及时发现违反法律法规和相关规定破坏生态环境的行为，建立问题台账和督办反馈机制。继续开展“绿盾行动”，对涉及生态保护红线和自然保护地的领导批示、部门转办、举报信访、媒体披露等问题，设立专案进行监督，加强问题线索核准，强化问题分析通报，严格监督问题整改，确保整改措施落实到位。</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建立生态环境损害责任终身追究制。实行党委和政府领导成员生态文明建设一岗双责制。以自然资源资产离任审计结果和生态环境损害情况为依据，明确对党委和政府领导班子主要负责人、有关领导人员、部门负责人的追责情形和认定程序。区分情节轻重，对造成生态环境损害的，予以诫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责令公开道歉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组织处理或党纪政纪处分，对构成犯罪的依法追究刑事责任。对领导干部离任后出现重大生态环境损害并认定其需要承担责任的，实行终身追责。完善部门联动、多方参与、督企督政并重的监管机制。</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引入第三方环境治理。培育环境治理和生态保护市场主体，鼓励各类投资进入环保市场。能由政府和社会资本合作开展的环境治理和生态保护事务，都可以吸引社会资本参与建设和运营。通过政府购买服务等方式，加大对环境污染第三方治理的支持力度。</w:t>
      </w:r>
      <w:r>
        <w:rPr>
          <w:rFonts w:hint="eastAsia" w:ascii="仿宋" w:hAnsi="仿宋" w:eastAsia="仿宋" w:cs="仿宋"/>
          <w:color w:val="auto"/>
          <w:sz w:val="32"/>
          <w:szCs w:val="32"/>
          <w:lang w:eastAsia="zh-CN"/>
        </w:rPr>
        <w:t>探讨</w:t>
      </w:r>
      <w:r>
        <w:rPr>
          <w:rFonts w:hint="eastAsia" w:ascii="仿宋" w:hAnsi="仿宋" w:eastAsia="仿宋" w:cs="仿宋"/>
          <w:color w:val="auto"/>
          <w:sz w:val="32"/>
          <w:szCs w:val="32"/>
        </w:rPr>
        <w:t>组建或改组设立国有资本投资运营公司</w:t>
      </w:r>
      <w:r>
        <w:rPr>
          <w:rFonts w:hint="eastAsia" w:ascii="仿宋" w:hAnsi="仿宋" w:eastAsia="仿宋" w:cs="仿宋"/>
          <w:color w:val="auto"/>
          <w:sz w:val="32"/>
          <w:szCs w:val="32"/>
          <w:lang w:eastAsia="zh-CN"/>
        </w:rPr>
        <w:t>的模式</w:t>
      </w:r>
      <w:r>
        <w:rPr>
          <w:rFonts w:hint="eastAsia" w:ascii="仿宋" w:hAnsi="仿宋" w:eastAsia="仿宋" w:cs="仿宋"/>
          <w:color w:val="auto"/>
          <w:sz w:val="32"/>
          <w:szCs w:val="32"/>
        </w:rPr>
        <w:t>，推动国有资本加大对环境治理和生态保护等方面的投入。</w:t>
      </w:r>
    </w:p>
    <w:p>
      <w:pPr>
        <w:pStyle w:val="18"/>
        <w:widowControl/>
        <w:shd w:val="clear" w:color="auto" w:fill="FFFFFF"/>
        <w:spacing w:beforeAutospacing="0" w:afterAutospacing="0" w:line="450" w:lineRule="atLeast"/>
        <w:ind w:firstLine="643" w:firstLineChars="200"/>
        <w:jc w:val="both"/>
        <w:outlineLvl w:val="1"/>
        <w:rPr>
          <w:rFonts w:ascii="仿宋" w:hAnsi="仿宋" w:eastAsia="仿宋" w:cs="仿宋"/>
          <w:b/>
          <w:bCs/>
          <w:color w:val="auto"/>
          <w:kern w:val="2"/>
          <w:sz w:val="32"/>
          <w:szCs w:val="32"/>
        </w:rPr>
      </w:pPr>
      <w:bookmarkStart w:id="36" w:name="_Toc27264"/>
      <w:r>
        <w:rPr>
          <w:rFonts w:hint="eastAsia" w:ascii="仿宋" w:hAnsi="仿宋" w:eastAsia="仿宋" w:cs="仿宋"/>
          <w:b/>
          <w:bCs/>
          <w:color w:val="auto"/>
          <w:kern w:val="2"/>
          <w:sz w:val="32"/>
          <w:szCs w:val="32"/>
        </w:rPr>
        <w:t>十、加强环保能力建设</w:t>
      </w:r>
      <w:bookmarkEnd w:id="36"/>
    </w:p>
    <w:p>
      <w:pPr>
        <w:pStyle w:val="18"/>
        <w:widowControl/>
        <w:shd w:val="clear" w:color="auto" w:fill="FFFFFF"/>
        <w:spacing w:beforeAutospacing="0" w:afterAutospacing="0" w:line="450" w:lineRule="atLeast"/>
        <w:ind w:firstLine="643" w:firstLineChars="200"/>
        <w:jc w:val="both"/>
        <w:rPr>
          <w:rFonts w:ascii="仿宋" w:hAnsi="仿宋" w:eastAsia="仿宋" w:cs="仿宋"/>
          <w:b/>
          <w:bCs/>
          <w:color w:val="auto"/>
          <w:kern w:val="2"/>
          <w:sz w:val="32"/>
          <w:szCs w:val="32"/>
        </w:rPr>
      </w:pPr>
      <w:bookmarkStart w:id="37" w:name="_Toc3386"/>
      <w:bookmarkEnd w:id="37"/>
      <w:bookmarkStart w:id="38" w:name="_Toc15718"/>
      <w:r>
        <w:rPr>
          <w:rFonts w:hint="eastAsia" w:ascii="仿宋" w:hAnsi="仿宋" w:eastAsia="仿宋" w:cs="仿宋"/>
          <w:b/>
          <w:bCs/>
          <w:color w:val="auto"/>
          <w:kern w:val="2"/>
          <w:sz w:val="32"/>
          <w:szCs w:val="32"/>
        </w:rPr>
        <w:t>（一）完善环境监测体系</w:t>
      </w:r>
      <w:bookmarkEnd w:id="38"/>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逐步开展农村千人以上饮用水源地水质监测，城区水质监测。全面建成空气质量监测预报预警体系。加快建立土壤环境质量监测网络。深入推进污染源在线监测监控系统建设，建立自动监测系统应急预警监测联动机制。积极推进污染源监测改革，督促排污企业自行监测并依法公开。加强环境监测与环境执法联动，实现污染源监督抽测与环境监督执法密切配合。建设集环境监测、环境监控、应急指挥、科普教育为一体的综合性环境监测监控中心。大力推动环境监测社会化服务，规范第三方环境检测行为。</w:t>
      </w:r>
    </w:p>
    <w:p>
      <w:pPr>
        <w:pStyle w:val="18"/>
        <w:widowControl/>
        <w:shd w:val="clear" w:color="auto" w:fill="FFFFFF"/>
        <w:spacing w:beforeAutospacing="0" w:afterAutospacing="0" w:line="450" w:lineRule="atLeast"/>
        <w:ind w:firstLine="643" w:firstLineChars="200"/>
        <w:jc w:val="both"/>
        <w:rPr>
          <w:rFonts w:ascii="仿宋" w:hAnsi="仿宋" w:eastAsia="仿宋" w:cs="仿宋"/>
          <w:b/>
          <w:bCs/>
          <w:color w:val="auto"/>
          <w:kern w:val="2"/>
          <w:sz w:val="32"/>
          <w:szCs w:val="32"/>
        </w:rPr>
      </w:pPr>
      <w:bookmarkStart w:id="39" w:name="_Toc466815225"/>
      <w:bookmarkEnd w:id="39"/>
      <w:bookmarkStart w:id="40" w:name="_Toc466886559"/>
      <w:bookmarkEnd w:id="40"/>
      <w:bookmarkStart w:id="41" w:name="_Toc29205"/>
      <w:bookmarkEnd w:id="41"/>
      <w:bookmarkStart w:id="42" w:name="_Toc435458686"/>
      <w:bookmarkEnd w:id="42"/>
      <w:bookmarkStart w:id="43" w:name="_Toc448135647"/>
      <w:bookmarkEnd w:id="43"/>
      <w:bookmarkStart w:id="44" w:name="_Toc8265"/>
      <w:r>
        <w:rPr>
          <w:rFonts w:hint="eastAsia" w:ascii="仿宋" w:hAnsi="仿宋" w:eastAsia="仿宋" w:cs="仿宋"/>
          <w:b/>
          <w:bCs/>
          <w:color w:val="auto"/>
          <w:kern w:val="2"/>
          <w:sz w:val="32"/>
          <w:szCs w:val="32"/>
        </w:rPr>
        <w:t>（二）健全环境监管体系</w:t>
      </w:r>
      <w:bookmarkEnd w:id="44"/>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全面加强环境监察机构标准化建设。强化属地管理、执法监督，加快推进基层环境监察队伍建设。全面提升环境监察信息化水平，建成智慧化的环境执法监管平台，全面实施现场监察、移动执法、应急处置等现场调查处置能力。</w:t>
      </w:r>
      <w:bookmarkStart w:id="45" w:name="_Toc466815226"/>
      <w:bookmarkEnd w:id="45"/>
      <w:bookmarkStart w:id="46" w:name="_Toc31241"/>
      <w:bookmarkEnd w:id="46"/>
      <w:bookmarkStart w:id="47" w:name="_Toc435458687"/>
      <w:bookmarkEnd w:id="47"/>
      <w:bookmarkStart w:id="48" w:name="_Toc15634"/>
      <w:bookmarkEnd w:id="48"/>
      <w:bookmarkStart w:id="49" w:name="_Toc466886560"/>
      <w:bookmarkEnd w:id="49"/>
      <w:bookmarkStart w:id="50" w:name="_Toc448135648"/>
    </w:p>
    <w:p>
      <w:pPr>
        <w:pStyle w:val="18"/>
        <w:widowControl/>
        <w:shd w:val="clear" w:color="auto" w:fill="FFFFFF"/>
        <w:spacing w:beforeAutospacing="0" w:afterAutospacing="0" w:line="450" w:lineRule="atLeast"/>
        <w:ind w:firstLine="643" w:firstLineChars="200"/>
        <w:jc w:val="both"/>
        <w:rPr>
          <w:rFonts w:ascii="仿宋" w:hAnsi="仿宋" w:eastAsia="仿宋" w:cs="仿宋"/>
          <w:color w:val="auto"/>
          <w:kern w:val="2"/>
          <w:sz w:val="32"/>
          <w:szCs w:val="32"/>
        </w:rPr>
      </w:pPr>
      <w:r>
        <w:rPr>
          <w:rFonts w:hint="eastAsia" w:ascii="仿宋" w:hAnsi="仿宋" w:eastAsia="仿宋" w:cs="仿宋"/>
          <w:b/>
          <w:bCs/>
          <w:color w:val="auto"/>
          <w:kern w:val="2"/>
          <w:sz w:val="32"/>
          <w:szCs w:val="32"/>
        </w:rPr>
        <w:t>（三）加强环境风险控制能力</w:t>
      </w:r>
      <w:bookmarkEnd w:id="50"/>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bookmarkStart w:id="51" w:name="_Toc434230640"/>
      <w:bookmarkEnd w:id="51"/>
      <w:r>
        <w:rPr>
          <w:rFonts w:hint="eastAsia" w:ascii="仿宋" w:hAnsi="仿宋" w:eastAsia="仿宋" w:cs="仿宋"/>
          <w:color w:val="auto"/>
          <w:kern w:val="2"/>
          <w:sz w:val="32"/>
          <w:szCs w:val="32"/>
        </w:rPr>
        <w:t>提升突发环境事件应急处置能力，建立健全突发环境事件预防和预警体系。加快建设环境应急指挥管理系统。完善环境风险单元基础信息数据库，建立健全环境应急救援资源调度和应急指挥调度机制，加强应急监测能力建设，提升快速反应和事故现场应急监测能力，实现突发环境事件统一指挥。</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加强应急救援队伍建设。建立完善的应急物资储备</w:t>
      </w:r>
      <w:r>
        <w:rPr>
          <w:rFonts w:hint="eastAsia" w:ascii="仿宋" w:hAnsi="仿宋" w:eastAsia="仿宋" w:cs="仿宋"/>
          <w:color w:val="auto"/>
          <w:kern w:val="2"/>
          <w:sz w:val="32"/>
          <w:szCs w:val="32"/>
          <w:lang w:eastAsia="zh-CN"/>
        </w:rPr>
        <w:t>库</w:t>
      </w:r>
      <w:r>
        <w:rPr>
          <w:rFonts w:hint="eastAsia" w:ascii="仿宋" w:hAnsi="仿宋" w:eastAsia="仿宋" w:cs="仿宋"/>
          <w:color w:val="auto"/>
          <w:kern w:val="2"/>
          <w:sz w:val="32"/>
          <w:szCs w:val="32"/>
        </w:rPr>
        <w:t>。依据环境风险影响程度和网格化管理要求，配足应急救援队伍。完善企业突发环境事件应急响应制度，有效落实企业主体责任。</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加强重点领域环境风险管控，对重工业、化学品、危险废物、持久性有机物等相关行业进行全过程环境风险管理。重点关注环境对群众健康的影响，逐步建立应对损害群众健康的突出环境健康问题的管控体系。</w:t>
      </w:r>
    </w:p>
    <w:p>
      <w:pPr>
        <w:pStyle w:val="18"/>
        <w:widowControl/>
        <w:shd w:val="clear" w:color="auto" w:fill="FFFFFF"/>
        <w:spacing w:beforeAutospacing="0" w:afterAutospacing="0" w:line="450" w:lineRule="atLeas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加强辐射监管能力建设，规范各类辐射建设项目行政许可，保障辐射环境安全。建立以环保部门为主体，公安、卫生等部门积极参与的辐射安全联合执法体系和常态化监管检查体系，确保辐射类建设项目环评与“三同时”执行率100%、辐射安全许可证持证率100%、废旧放射源收贮率100%。</w:t>
      </w:r>
    </w:p>
    <w:p>
      <w:pPr>
        <w:jc w:val="center"/>
        <w:outlineLvl w:val="0"/>
        <w:rPr>
          <w:rFonts w:ascii="仿宋" w:hAnsi="仿宋" w:eastAsia="仿宋" w:cs="仿宋"/>
          <w:b/>
          <w:bCs/>
          <w:color w:val="auto"/>
          <w:sz w:val="44"/>
          <w:szCs w:val="44"/>
        </w:rPr>
      </w:pPr>
      <w:bookmarkStart w:id="52" w:name="_Toc29878"/>
      <w:r>
        <w:rPr>
          <w:rFonts w:hint="eastAsia" w:ascii="仿宋" w:hAnsi="仿宋" w:eastAsia="仿宋" w:cs="仿宋"/>
          <w:b/>
          <w:bCs/>
          <w:color w:val="auto"/>
          <w:sz w:val="44"/>
          <w:szCs w:val="44"/>
        </w:rPr>
        <w:t>第五章 规划保障</w:t>
      </w:r>
      <w:bookmarkEnd w:id="52"/>
    </w:p>
    <w:p>
      <w:pPr>
        <w:pStyle w:val="18"/>
        <w:widowControl/>
        <w:shd w:val="clear" w:color="auto" w:fill="FFFFFF"/>
        <w:spacing w:beforeAutospacing="0" w:afterAutospacing="0" w:line="450" w:lineRule="atLeast"/>
        <w:ind w:firstLine="643" w:firstLineChars="200"/>
        <w:jc w:val="both"/>
        <w:outlineLvl w:val="1"/>
        <w:rPr>
          <w:rFonts w:hint="eastAsia" w:ascii="仿宋" w:hAnsi="仿宋" w:eastAsia="仿宋" w:cs="仿宋"/>
          <w:b/>
          <w:bCs/>
          <w:color w:val="auto"/>
          <w:kern w:val="2"/>
          <w:sz w:val="32"/>
          <w:szCs w:val="32"/>
        </w:rPr>
      </w:pPr>
      <w:bookmarkStart w:id="53" w:name="_Toc17683"/>
      <w:r>
        <w:rPr>
          <w:rFonts w:hint="eastAsia" w:ascii="仿宋" w:hAnsi="仿宋" w:eastAsia="仿宋" w:cs="仿宋"/>
          <w:b/>
          <w:bCs/>
          <w:color w:val="auto"/>
          <w:kern w:val="2"/>
          <w:sz w:val="32"/>
          <w:szCs w:val="32"/>
        </w:rPr>
        <w:t>一、加强组织领导</w:t>
      </w:r>
      <w:bookmarkEnd w:id="53"/>
    </w:p>
    <w:p>
      <w:pPr>
        <w:pStyle w:val="18"/>
        <w:widowControl/>
        <w:shd w:val="clear" w:color="auto" w:fill="FFFFFF"/>
        <w:spacing w:beforeAutospacing="0" w:afterAutospacing="0" w:line="450" w:lineRule="atLeas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实行环境目标责任制。加强人大、政协对环境保护工作的监督，协同推进生态环境保护工作。明确各相关部门工作</w:t>
      </w:r>
      <w:r>
        <w:rPr>
          <w:rFonts w:hint="eastAsia" w:ascii="仿宋" w:hAnsi="仿宋" w:eastAsia="仿宋" w:cs="仿宋"/>
          <w:color w:val="auto"/>
          <w:kern w:val="2"/>
          <w:sz w:val="32"/>
          <w:szCs w:val="32"/>
          <w:lang w:eastAsia="zh-CN"/>
        </w:rPr>
        <w:t>职责</w:t>
      </w:r>
      <w:r>
        <w:rPr>
          <w:rFonts w:hint="eastAsia" w:ascii="仿宋" w:hAnsi="仿宋" w:eastAsia="仿宋" w:cs="仿宋"/>
          <w:color w:val="auto"/>
          <w:kern w:val="2"/>
          <w:sz w:val="32"/>
          <w:szCs w:val="32"/>
        </w:rPr>
        <w:t>，管行业必须管环保、管发展必须管环保、管生产必须管环保，齐抓共管，在大气、水、土壤污染防治和生态保护等领域建立协作机制，切实改善区域的环境质量。明确负有</w:t>
      </w:r>
      <w:r>
        <w:rPr>
          <w:rFonts w:hint="eastAsia" w:ascii="仿宋" w:hAnsi="仿宋" w:eastAsia="仿宋" w:cs="仿宋"/>
          <w:color w:val="auto"/>
          <w:kern w:val="2"/>
          <w:sz w:val="32"/>
          <w:szCs w:val="32"/>
          <w:lang w:eastAsia="zh-CN"/>
        </w:rPr>
        <w:t>项目</w:t>
      </w:r>
      <w:r>
        <w:rPr>
          <w:rFonts w:hint="eastAsia" w:ascii="仿宋" w:hAnsi="仿宋" w:eastAsia="仿宋" w:cs="仿宋"/>
          <w:color w:val="auto"/>
          <w:kern w:val="2"/>
          <w:sz w:val="32"/>
          <w:szCs w:val="32"/>
        </w:rPr>
        <w:t>监管职能的发改、经信、公安、自然资源和规划、住建、水利、农业农村、林业、综合执法、生态环境等相关部门的环境监管责任，着力形成党委组织领导、政府具体实施、部门各司其职、社会广泛参与的“大环保”格局。</w:t>
      </w:r>
    </w:p>
    <w:p>
      <w:pPr>
        <w:pStyle w:val="18"/>
        <w:widowControl/>
        <w:shd w:val="clear" w:color="auto" w:fill="FFFFFF"/>
        <w:spacing w:beforeAutospacing="0" w:afterAutospacing="0" w:line="450" w:lineRule="atLeas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在县政府统一领导下，构建县、乡镇、村社三级网格式环境保护综合管理体系，实现环境监督管理工作横向与纵向的明确分工、衔接与合作，为生态环境保护规划的有效实施奠定坚实的组织领导基础。朝阳市生态环境局建平分局作为环境监督管理工作的业务牵头单位，负责所辖区域环境保护工作的统一规划、统一实施、统一监管，其他行业性管理部门均在法律赋予的职权范围内开展环境管理工作。将规划中的各项指标和任务逐项分解落实到各有关部门和责任单位，做到责任到位、措施到位、投入到位。定期对规划实施情况进行信息公开，推动全社会参与和监督，确保各项任务全面完成。</w:t>
      </w:r>
    </w:p>
    <w:p>
      <w:pPr>
        <w:pStyle w:val="18"/>
        <w:widowControl/>
        <w:shd w:val="clear" w:color="auto" w:fill="FFFFFF"/>
        <w:spacing w:beforeAutospacing="0" w:afterAutospacing="0" w:line="450" w:lineRule="atLeast"/>
        <w:ind w:firstLine="643" w:firstLineChars="200"/>
        <w:jc w:val="both"/>
        <w:outlineLvl w:val="1"/>
        <w:rPr>
          <w:rFonts w:hint="eastAsia" w:ascii="仿宋" w:hAnsi="仿宋" w:eastAsia="仿宋" w:cs="仿宋"/>
          <w:b/>
          <w:bCs/>
          <w:color w:val="auto"/>
          <w:kern w:val="2"/>
          <w:sz w:val="32"/>
          <w:szCs w:val="32"/>
        </w:rPr>
      </w:pPr>
      <w:bookmarkStart w:id="54" w:name="_Toc11764"/>
      <w:r>
        <w:rPr>
          <w:rFonts w:hint="eastAsia" w:ascii="仿宋" w:hAnsi="仿宋" w:eastAsia="仿宋" w:cs="仿宋"/>
          <w:b/>
          <w:bCs/>
          <w:color w:val="auto"/>
          <w:kern w:val="2"/>
          <w:sz w:val="32"/>
          <w:szCs w:val="32"/>
        </w:rPr>
        <w:t>二、加大投入力度</w:t>
      </w:r>
      <w:bookmarkEnd w:id="54"/>
    </w:p>
    <w:p>
      <w:pPr>
        <w:pStyle w:val="18"/>
        <w:widowControl/>
        <w:shd w:val="clear" w:color="auto" w:fill="FFFFFF"/>
        <w:spacing w:beforeAutospacing="0" w:afterAutospacing="0" w:line="450" w:lineRule="atLeas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各级政府要把环境保护作为各类资金和公共财政支出的重点领域，建立政府投资稳定增长机制，加大对大气、水、土壤污染防治、重点区域（流域）、重点行业（领域）和重点项目治理、生态修复等项目的财政投入力度，对智慧环保等环境治理能力现代化建设运行经费予以保障。加强生态环境保护项目储备，积极争取国家财政支持。加大对环境污染第三方治理、政府与社会资本合作模式的支持。继续完善政府引导、市场运作、社会参与的多元投入机制，鼓励不同经济成分和各类投资主体，以多种形式参与环境保护和基础设施建设。健全社会资本投入回报补贴机制与风险补偿机制，鼓励各类社会资本以市场化方式设立黑臭水体治理等环境保护基金。争取绿色基金、绿色证券、绿色信贷等绿色金融资金，促进绿色金融发展。深化环保服务试点工作，积极推进环境治理绩效付费机制和环境绩效合同服务。</w:t>
      </w:r>
    </w:p>
    <w:p>
      <w:pPr>
        <w:pStyle w:val="18"/>
        <w:widowControl/>
        <w:shd w:val="clear" w:color="auto" w:fill="FFFFFF"/>
        <w:spacing w:beforeAutospacing="0" w:afterAutospacing="0" w:line="450" w:lineRule="atLeas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调整财政支出结构，将环境保护作为各级公共财政支出的重点之一，确保环保投资逐年提高，新增财力要持续支撑污染防治和生态保护项目、环保基础设施和必需的环境保护能力建设。</w:t>
      </w:r>
    </w:p>
    <w:p>
      <w:pPr>
        <w:pStyle w:val="18"/>
        <w:widowControl/>
        <w:shd w:val="clear" w:color="auto" w:fill="FFFFFF"/>
        <w:spacing w:beforeAutospacing="0" w:afterAutospacing="0" w:line="450" w:lineRule="atLeas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加大财政投入，多渠道、多层次、多方位筹集生态建设和保护专项补助资金，拓宽社会融资渠道。积极争取中央、省级生态环境保护专项补助资金。加大环境保护资金投入力度，建立和完善环境保护公共财政体制。重点保障环保监管、执法、监测、宣教等经费。按照事权、责权划分的原则，把环境保护纳入政府财政预算。充分利用专项建设基金，加大其向生活污水、管网建设、流域治理等领域的投放力度，保障环保基础设施的建设强度。</w:t>
      </w:r>
    </w:p>
    <w:p>
      <w:pPr>
        <w:pStyle w:val="18"/>
        <w:widowControl/>
        <w:shd w:val="clear" w:color="auto" w:fill="FFFFFF"/>
        <w:spacing w:beforeAutospacing="0" w:afterAutospacing="0" w:line="450" w:lineRule="atLeas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建立生态环境保护市场化运行机制。鼓励社会资本进入生态环境保护领域，建立环境污染第三方治理、生态环境保护激励和补偿等机制。建立公平竞争、有偿获取环境资源使用权的机制，推动资源环境产权通过市场进行流转、重组和优化。</w:t>
      </w:r>
    </w:p>
    <w:p>
      <w:pPr>
        <w:pStyle w:val="18"/>
        <w:widowControl/>
        <w:shd w:val="clear" w:color="auto" w:fill="FFFFFF"/>
        <w:spacing w:beforeAutospacing="0" w:afterAutospacing="0" w:line="450" w:lineRule="atLeast"/>
        <w:ind w:firstLine="643" w:firstLineChars="200"/>
        <w:jc w:val="both"/>
        <w:outlineLvl w:val="1"/>
        <w:rPr>
          <w:rFonts w:hint="eastAsia" w:ascii="仿宋" w:hAnsi="仿宋" w:eastAsia="仿宋" w:cs="仿宋"/>
          <w:b/>
          <w:bCs/>
          <w:color w:val="auto"/>
          <w:kern w:val="2"/>
          <w:sz w:val="32"/>
          <w:szCs w:val="32"/>
        </w:rPr>
      </w:pPr>
      <w:bookmarkStart w:id="55" w:name="_Toc12437"/>
      <w:r>
        <w:rPr>
          <w:rFonts w:hint="eastAsia" w:ascii="仿宋" w:hAnsi="仿宋" w:eastAsia="仿宋" w:cs="仿宋"/>
          <w:b/>
          <w:bCs/>
          <w:color w:val="auto"/>
          <w:kern w:val="2"/>
          <w:sz w:val="32"/>
          <w:szCs w:val="32"/>
        </w:rPr>
        <w:t>三、加强交流合作</w:t>
      </w:r>
      <w:bookmarkEnd w:id="55"/>
    </w:p>
    <w:p>
      <w:pPr>
        <w:pStyle w:val="18"/>
        <w:widowControl/>
        <w:shd w:val="clear" w:color="auto" w:fill="FFFFFF"/>
        <w:spacing w:beforeAutospacing="0" w:afterAutospacing="0" w:line="450" w:lineRule="atLeas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在国家、省、市有关部门统一领导和协调下，全面</w:t>
      </w:r>
      <w:r>
        <w:rPr>
          <w:rFonts w:hint="eastAsia" w:ascii="仿宋" w:hAnsi="仿宋" w:eastAsia="仿宋" w:cs="仿宋"/>
          <w:color w:val="auto"/>
          <w:sz w:val="32"/>
          <w:szCs w:val="32"/>
        </w:rPr>
        <w:t>融入京津冀协同发展，承接京津冀产业转移，为建平县推进产业结构调整、加快产业转型，推进生态环保产业和绿色低碳循环经济发展</w:t>
      </w:r>
      <w:r>
        <w:rPr>
          <w:rFonts w:hint="eastAsia" w:ascii="仿宋" w:hAnsi="仿宋" w:eastAsia="仿宋" w:cs="仿宋"/>
          <w:color w:val="auto"/>
          <w:kern w:val="2"/>
          <w:sz w:val="32"/>
          <w:szCs w:val="32"/>
        </w:rPr>
        <w:t>。</w:t>
      </w:r>
    </w:p>
    <w:p>
      <w:pPr>
        <w:pStyle w:val="18"/>
        <w:widowControl/>
        <w:shd w:val="clear" w:color="auto" w:fill="FFFFFF"/>
        <w:spacing w:beforeAutospacing="0" w:afterAutospacing="0" w:line="450" w:lineRule="atLeas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组织开展国际、国内、省内环境保护交流与合作。借鉴国内外环境保护先进经验和成熟做法，围绕应对气候变化、环境污染防治、生态环境建设、国际环境公约等，在资金、技术、人才、管理等方面开展对外交流与合作。</w:t>
      </w:r>
    </w:p>
    <w:p>
      <w:pPr>
        <w:pStyle w:val="18"/>
        <w:widowControl/>
        <w:shd w:val="clear" w:color="auto" w:fill="FFFFFF"/>
        <w:spacing w:beforeAutospacing="0" w:afterAutospacing="0" w:line="450" w:lineRule="atLeas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深化区域环境保护协作。深入开展流域环境保护协作，共同构筑辽河、大凌河上游生态屏障。加强跨区域（流域）污染防控、环境应急预警、信息通报联动，推进跨区域环保科技合作，联合开展流域水污染防治、饮用水水源保护，加快解决区域大气复合污染，深化跨界突发环境事件协调处置，推进环境监察联合执法，共同打击环境违法行为。</w:t>
      </w:r>
    </w:p>
    <w:p>
      <w:pPr>
        <w:pStyle w:val="18"/>
        <w:widowControl/>
        <w:shd w:val="clear" w:color="auto" w:fill="FFFFFF"/>
        <w:spacing w:beforeAutospacing="0" w:afterAutospacing="0" w:line="450" w:lineRule="atLeast"/>
        <w:ind w:firstLine="643" w:firstLineChars="200"/>
        <w:jc w:val="both"/>
        <w:outlineLvl w:val="1"/>
        <w:rPr>
          <w:rFonts w:hint="eastAsia" w:ascii="仿宋" w:hAnsi="仿宋" w:eastAsia="仿宋" w:cs="仿宋"/>
          <w:b/>
          <w:bCs/>
          <w:color w:val="auto"/>
          <w:kern w:val="2"/>
          <w:sz w:val="32"/>
          <w:szCs w:val="32"/>
        </w:rPr>
      </w:pPr>
      <w:bookmarkStart w:id="56" w:name="_Toc20309"/>
      <w:r>
        <w:rPr>
          <w:rFonts w:hint="eastAsia" w:ascii="仿宋" w:hAnsi="仿宋" w:eastAsia="仿宋" w:cs="仿宋"/>
          <w:b/>
          <w:bCs/>
          <w:color w:val="auto"/>
          <w:kern w:val="2"/>
          <w:sz w:val="32"/>
          <w:szCs w:val="32"/>
        </w:rPr>
        <w:t>四、落实评估考核</w:t>
      </w:r>
      <w:bookmarkEnd w:id="56"/>
    </w:p>
    <w:p>
      <w:pPr>
        <w:pStyle w:val="18"/>
        <w:widowControl/>
        <w:shd w:val="clear" w:color="auto" w:fill="FFFFFF"/>
        <w:spacing w:beforeAutospacing="0" w:afterAutospacing="0" w:line="450" w:lineRule="atLeas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建立规划实施情况年度调度机制。定期对县域环境质量改善、重点污染物排放、生态环境保护重大工程进展情况进行调度，对“十四五”生态环境保护规划实施情况进行年度检查。</w:t>
      </w:r>
    </w:p>
    <w:p>
      <w:pPr>
        <w:pStyle w:val="18"/>
        <w:widowControl/>
        <w:shd w:val="clear" w:color="auto" w:fill="FFFFFF"/>
        <w:spacing w:beforeAutospacing="0" w:afterAutospacing="0" w:line="450" w:lineRule="atLeas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对环境保护规划执行情况进行评估考核。健全生态环境保护责任考核制度，保证考核过程和结果更加透明化，建立党政同责的评估考核机制，明确奖惩政策。加强对规划执行情况的督促和检查，加强环境统计和监测。生态环境局建平分局每年统计县内主要污染物排放情况、重点工程项目进展情况、环境质量变化情况，并组织对规划的主要污染物总量减排、环境质量改善及环境保护各项目标任务完成情况进行评估。</w:t>
      </w:r>
    </w:p>
    <w:p>
      <w:pPr>
        <w:spacing w:line="600" w:lineRule="exact"/>
        <w:ind w:firstLine="560" w:firstLineChars="200"/>
        <w:rPr>
          <w:rFonts w:hint="eastAsia" w:ascii="仿宋" w:hAnsi="仿宋" w:eastAsia="仿宋" w:cs="仿宋"/>
          <w:color w:val="auto"/>
          <w:kern w:val="2"/>
          <w:sz w:val="32"/>
          <w:szCs w:val="32"/>
          <w:lang w:val="en-US" w:eastAsia="zh-CN" w:bidi="ar-SA"/>
        </w:rPr>
        <w:sectPr>
          <w:footerReference r:id="rId6"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start="1"/>
          <w:cols w:space="720" w:num="1"/>
          <w:docGrid w:type="lines" w:linePitch="312"/>
        </w:sectPr>
      </w:pPr>
      <w:r>
        <w:rPr>
          <w:rFonts w:hint="eastAsia" w:ascii="仿宋" w:hAnsi="仿宋" w:eastAsia="仿宋" w:cs="仿宋"/>
          <w:color w:val="auto"/>
          <w:kern w:val="2"/>
          <w:sz w:val="32"/>
          <w:szCs w:val="32"/>
          <w:lang w:val="en-US" w:eastAsia="zh-CN" w:bidi="ar-SA"/>
        </w:rPr>
        <w:t>附件：建平县环境保护“十四五”规划重点工程项目</w:t>
      </w:r>
    </w:p>
    <w:tbl>
      <w:tblPr>
        <w:tblW w:w="145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35"/>
        <w:gridCol w:w="3570"/>
        <w:gridCol w:w="1545"/>
        <w:gridCol w:w="1125"/>
        <w:gridCol w:w="446"/>
        <w:gridCol w:w="3613"/>
        <w:gridCol w:w="12"/>
        <w:gridCol w:w="1464"/>
        <w:gridCol w:w="1785"/>
      </w:tblGrid>
      <w:tr>
        <w:trPr>
          <w:trHeight w:val="900" w:hRule="atLeast"/>
        </w:trPr>
        <w:tc>
          <w:tcPr>
            <w:tcW w:w="14595" w:type="dxa"/>
            <w:gridSpan w:val="9"/>
            <w:tcBorders>
              <w:top w:val="nil"/>
              <w:left w:val="nil"/>
              <w:bottom w:val="nil"/>
              <w:right w:val="nil"/>
            </w:tcBorders>
            <w:vAlign w:val="center"/>
          </w:tcPr>
          <w:p>
            <w:pPr>
              <w:widowControl/>
              <w:jc w:val="center"/>
              <w:textAlignment w:val="center"/>
              <w:rPr>
                <w:rFonts w:ascii="黑体" w:hAnsi="宋体" w:eastAsia="黑体" w:cs="黑体"/>
                <w:b/>
                <w:bCs/>
                <w:color w:val="auto"/>
                <w:sz w:val="36"/>
                <w:szCs w:val="36"/>
              </w:rPr>
            </w:pPr>
            <w:r>
              <w:rPr>
                <w:rFonts w:hint="eastAsia" w:ascii="黑体" w:hAnsi="宋体" w:eastAsia="黑体" w:cs="黑体"/>
                <w:b/>
                <w:bCs/>
                <w:color w:val="auto"/>
                <w:kern w:val="0"/>
                <w:sz w:val="36"/>
                <w:szCs w:val="36"/>
              </w:rPr>
              <w:t>建平县环境保护“十四五”规划重点工程项目</w:t>
            </w:r>
          </w:p>
        </w:tc>
      </w:tr>
      <w:tr>
        <w:trPr>
          <w:trHeight w:val="810"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color w:val="auto"/>
                <w:sz w:val="20"/>
                <w:szCs w:val="20"/>
              </w:rPr>
            </w:pPr>
            <w:r>
              <w:rPr>
                <w:rFonts w:hint="eastAsia" w:ascii="黑体" w:hAnsi="宋体" w:eastAsia="黑体" w:cs="黑体"/>
                <w:b/>
                <w:bCs/>
                <w:color w:val="auto"/>
                <w:kern w:val="0"/>
                <w:sz w:val="20"/>
                <w:szCs w:val="20"/>
              </w:rPr>
              <w:t>序号</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color w:val="auto"/>
                <w:sz w:val="20"/>
                <w:szCs w:val="20"/>
              </w:rPr>
            </w:pPr>
            <w:r>
              <w:rPr>
                <w:rFonts w:hint="eastAsia" w:ascii="黑体" w:hAnsi="宋体" w:eastAsia="黑体" w:cs="黑体"/>
                <w:b/>
                <w:bCs/>
                <w:color w:val="auto"/>
                <w:kern w:val="0"/>
                <w:sz w:val="20"/>
                <w:szCs w:val="20"/>
              </w:rPr>
              <w:t>项目名称</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color w:val="auto"/>
                <w:sz w:val="20"/>
                <w:szCs w:val="20"/>
              </w:rPr>
            </w:pPr>
            <w:r>
              <w:rPr>
                <w:rFonts w:hint="eastAsia" w:ascii="黑体" w:hAnsi="宋体" w:eastAsia="黑体" w:cs="黑体"/>
                <w:b/>
                <w:bCs/>
                <w:color w:val="auto"/>
                <w:kern w:val="0"/>
                <w:sz w:val="20"/>
                <w:szCs w:val="20"/>
              </w:rPr>
              <w:t>建设期限</w:t>
            </w:r>
          </w:p>
        </w:tc>
        <w:tc>
          <w:tcPr>
            <w:tcW w:w="1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color w:val="auto"/>
                <w:sz w:val="20"/>
                <w:szCs w:val="20"/>
              </w:rPr>
            </w:pPr>
            <w:r>
              <w:rPr>
                <w:rFonts w:hint="eastAsia" w:ascii="黑体" w:hAnsi="宋体" w:eastAsia="黑体" w:cs="黑体"/>
                <w:b/>
                <w:bCs/>
                <w:color w:val="auto"/>
                <w:kern w:val="0"/>
                <w:sz w:val="20"/>
                <w:szCs w:val="20"/>
              </w:rPr>
              <w:t>总投资（万元）</w:t>
            </w:r>
          </w:p>
        </w:tc>
        <w:tc>
          <w:tcPr>
            <w:tcW w:w="36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auto"/>
                <w:sz w:val="20"/>
                <w:szCs w:val="20"/>
              </w:rPr>
            </w:pPr>
            <w:r>
              <w:rPr>
                <w:rFonts w:ascii="仿宋_GB2312" w:hAnsi="宋体" w:eastAsia="仿宋_GB2312" w:cs="仿宋_GB2312"/>
                <w:b/>
                <w:bCs/>
                <w:color w:val="auto"/>
                <w:kern w:val="0"/>
                <w:sz w:val="20"/>
                <w:szCs w:val="20"/>
              </w:rPr>
              <w:t>建设规模与预期效果</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color w:val="auto"/>
                <w:sz w:val="20"/>
                <w:szCs w:val="20"/>
              </w:rPr>
            </w:pPr>
            <w:r>
              <w:rPr>
                <w:rFonts w:hint="eastAsia" w:ascii="黑体" w:hAnsi="宋体" w:eastAsia="黑体" w:cs="黑体"/>
                <w:b/>
                <w:bCs/>
                <w:color w:val="auto"/>
                <w:kern w:val="0"/>
                <w:sz w:val="20"/>
                <w:szCs w:val="20"/>
              </w:rPr>
              <w:t>进行阶段</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color w:val="auto"/>
                <w:sz w:val="18"/>
                <w:szCs w:val="18"/>
              </w:rPr>
            </w:pPr>
            <w:r>
              <w:rPr>
                <w:rFonts w:hint="eastAsia" w:ascii="黑体" w:hAnsi="宋体" w:eastAsia="黑体" w:cs="黑体"/>
                <w:b/>
                <w:bCs/>
                <w:color w:val="auto"/>
                <w:kern w:val="0"/>
                <w:sz w:val="18"/>
                <w:szCs w:val="18"/>
              </w:rPr>
              <w:t>备注</w:t>
            </w:r>
          </w:p>
        </w:tc>
      </w:tr>
      <w:tr>
        <w:trPr>
          <w:trHeight w:val="525" w:hRule="atLeast"/>
        </w:trPr>
        <w:tc>
          <w:tcPr>
            <w:tcW w:w="14595"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color w:val="auto"/>
                <w:sz w:val="20"/>
                <w:szCs w:val="20"/>
              </w:rPr>
            </w:pPr>
            <w:r>
              <w:rPr>
                <w:rFonts w:hint="eastAsia" w:ascii="黑体" w:hAnsi="宋体" w:eastAsia="黑体" w:cs="黑体"/>
                <w:b/>
                <w:bCs/>
                <w:color w:val="auto"/>
                <w:kern w:val="0"/>
                <w:sz w:val="20"/>
                <w:szCs w:val="20"/>
              </w:rPr>
              <w:t>一、应对气候变化</w:t>
            </w:r>
          </w:p>
        </w:tc>
      </w:tr>
      <w:tr>
        <w:trPr>
          <w:trHeight w:val="563"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auto"/>
                <w:sz w:val="20"/>
                <w:szCs w:val="20"/>
                <w:highlight w:val="none"/>
                <w:lang w:eastAsia="zh-CN"/>
              </w:rPr>
            </w:pPr>
            <w:r>
              <w:rPr>
                <w:rFonts w:hint="eastAsia" w:ascii="黑体" w:hAnsi="宋体" w:eastAsia="黑体" w:cs="黑体"/>
                <w:color w:val="auto"/>
                <w:kern w:val="0"/>
                <w:sz w:val="20"/>
                <w:szCs w:val="20"/>
                <w:highlight w:val="none"/>
                <w:lang w:val="en-US" w:eastAsia="zh-CN"/>
              </w:rPr>
              <w:t>1</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国能辽宁建平沙海200MW 风电项目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170000</w:t>
            </w:r>
          </w:p>
        </w:tc>
        <w:tc>
          <w:tcPr>
            <w:tcW w:w="36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建设风力发电场，建设规模 200MW</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lang w:eastAsia="zh-CN"/>
              </w:rPr>
              <w:t>已完成</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发改局</w:t>
            </w:r>
          </w:p>
        </w:tc>
      </w:tr>
      <w:tr>
        <w:trPr>
          <w:trHeight w:val="537"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auto"/>
                <w:sz w:val="20"/>
                <w:szCs w:val="20"/>
                <w:highlight w:val="none"/>
                <w:lang w:eastAsia="zh-CN"/>
              </w:rPr>
            </w:pPr>
            <w:r>
              <w:rPr>
                <w:rFonts w:hint="eastAsia" w:ascii="黑体" w:hAnsi="宋体" w:eastAsia="黑体" w:cs="黑体"/>
                <w:color w:val="auto"/>
                <w:kern w:val="0"/>
                <w:sz w:val="20"/>
                <w:szCs w:val="20"/>
                <w:highlight w:val="none"/>
                <w:lang w:val="en-US" w:eastAsia="zh-CN"/>
              </w:rPr>
              <w:t>2</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国能朝阳朱碌科200MW风电场建设项</w:t>
            </w:r>
            <w:r>
              <w:rPr>
                <w:rFonts w:hint="eastAsia" w:ascii="宋体" w:hAnsi="宋体" w:eastAsia="宋体" w:cs="宋体"/>
                <w:color w:val="auto"/>
                <w:kern w:val="0"/>
                <w:sz w:val="20"/>
                <w:szCs w:val="20"/>
                <w:highlight w:val="none"/>
              </w:rPr>
              <w:br/>
            </w:r>
            <w:r>
              <w:rPr>
                <w:rFonts w:hint="eastAsia" w:ascii="宋体" w:hAnsi="宋体" w:eastAsia="宋体" w:cs="宋体"/>
                <w:color w:val="auto"/>
                <w:kern w:val="0"/>
                <w:sz w:val="20"/>
                <w:szCs w:val="20"/>
                <w:highlight w:val="none"/>
              </w:rPr>
              <w:t>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120000</w:t>
            </w:r>
          </w:p>
        </w:tc>
        <w:tc>
          <w:tcPr>
            <w:tcW w:w="36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建设风力发电场，建设规模 150MW</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lang w:eastAsia="zh-CN"/>
              </w:rPr>
              <w:t>实施中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发改局</w:t>
            </w:r>
          </w:p>
        </w:tc>
      </w:tr>
      <w:tr>
        <w:trPr>
          <w:trHeight w:val="588"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auto"/>
                <w:sz w:val="20"/>
                <w:szCs w:val="20"/>
                <w:highlight w:val="none"/>
                <w:lang w:eastAsia="zh-CN"/>
              </w:rPr>
            </w:pPr>
            <w:r>
              <w:rPr>
                <w:rFonts w:hint="eastAsia" w:ascii="黑体" w:hAnsi="宋体" w:eastAsia="黑体" w:cs="黑体"/>
                <w:color w:val="auto"/>
                <w:kern w:val="0"/>
                <w:sz w:val="20"/>
                <w:szCs w:val="20"/>
                <w:highlight w:val="none"/>
                <w:lang w:val="en-US" w:eastAsia="zh-CN"/>
              </w:rPr>
              <w:t>3</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中能建投朝阳白150MW 风电项目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120000</w:t>
            </w:r>
          </w:p>
        </w:tc>
        <w:tc>
          <w:tcPr>
            <w:tcW w:w="36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建设风力发电场，建设规模 150MW</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eastAsia="zh-CN"/>
              </w:rPr>
              <w:t>实施中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发改局</w:t>
            </w:r>
          </w:p>
        </w:tc>
      </w:tr>
      <w:tr>
        <w:trPr>
          <w:trHeight w:val="642"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auto"/>
                <w:sz w:val="20"/>
                <w:szCs w:val="20"/>
                <w:lang w:eastAsia="zh-CN"/>
              </w:rPr>
            </w:pPr>
            <w:r>
              <w:rPr>
                <w:rFonts w:hint="eastAsia" w:ascii="黑体" w:hAnsi="宋体" w:eastAsia="黑体" w:cs="黑体"/>
                <w:color w:val="auto"/>
                <w:kern w:val="0"/>
                <w:sz w:val="20"/>
                <w:szCs w:val="20"/>
                <w:lang w:val="en-US" w:eastAsia="zh-CN"/>
              </w:rPr>
              <w:t>4</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建平县中电新能源太平庄15MW 分散式风电项目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13000</w:t>
            </w:r>
          </w:p>
        </w:tc>
        <w:tc>
          <w:tcPr>
            <w:tcW w:w="36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建设分散式风力发电场，建设规模 15MW</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发改局</w:t>
            </w:r>
          </w:p>
        </w:tc>
      </w:tr>
      <w:tr>
        <w:trPr>
          <w:trHeight w:val="653"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auto"/>
                <w:sz w:val="20"/>
                <w:szCs w:val="20"/>
                <w:lang w:eastAsia="zh-CN"/>
              </w:rPr>
            </w:pPr>
            <w:r>
              <w:rPr>
                <w:rFonts w:hint="eastAsia" w:ascii="黑体" w:hAnsi="宋体" w:eastAsia="黑体" w:cs="黑体"/>
                <w:color w:val="auto"/>
                <w:kern w:val="0"/>
                <w:sz w:val="20"/>
                <w:szCs w:val="20"/>
                <w:lang w:val="en-US" w:eastAsia="zh-CN"/>
              </w:rPr>
              <w:t>5</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建平县朝阳诚鑫新能源有限公司沙海</w:t>
            </w:r>
            <w:r>
              <w:rPr>
                <w:rFonts w:hint="eastAsia" w:ascii="宋体" w:hAnsi="宋体" w:eastAsia="宋体" w:cs="宋体"/>
                <w:color w:val="auto"/>
                <w:kern w:val="0"/>
                <w:sz w:val="20"/>
                <w:szCs w:val="20"/>
              </w:rPr>
              <w:br/>
            </w:r>
            <w:r>
              <w:rPr>
                <w:rFonts w:hint="eastAsia" w:ascii="宋体" w:hAnsi="宋体" w:eastAsia="宋体" w:cs="宋体"/>
                <w:color w:val="auto"/>
                <w:kern w:val="0"/>
                <w:sz w:val="20"/>
                <w:szCs w:val="20"/>
              </w:rPr>
              <w:t>6.6MW 分散式风电项目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5600</w:t>
            </w:r>
          </w:p>
        </w:tc>
        <w:tc>
          <w:tcPr>
            <w:tcW w:w="36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建设分散式风力发电场，建设规模 6.6MW</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发改局</w:t>
            </w:r>
          </w:p>
        </w:tc>
      </w:tr>
      <w:tr>
        <w:trPr>
          <w:trHeight w:val="666"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auto"/>
                <w:sz w:val="20"/>
                <w:szCs w:val="20"/>
                <w:lang w:eastAsia="zh-CN"/>
              </w:rPr>
            </w:pPr>
            <w:r>
              <w:rPr>
                <w:rFonts w:hint="eastAsia" w:ascii="黑体" w:hAnsi="宋体" w:eastAsia="黑体" w:cs="黑体"/>
                <w:color w:val="auto"/>
                <w:kern w:val="0"/>
                <w:sz w:val="20"/>
                <w:szCs w:val="20"/>
                <w:lang w:val="en-US" w:eastAsia="zh-CN"/>
              </w:rPr>
              <w:t>6</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建平县朝阳汇风风力发电有限公司烧锅营子 6.6MW 分散式风电项目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5500</w:t>
            </w:r>
          </w:p>
        </w:tc>
        <w:tc>
          <w:tcPr>
            <w:tcW w:w="36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建设分散式风力发电场，建设规模 6.6MW</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eastAsia="zh-CN"/>
              </w:rPr>
              <w:t>已完成</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发改局</w:t>
            </w:r>
          </w:p>
        </w:tc>
      </w:tr>
      <w:tr>
        <w:trPr>
          <w:trHeight w:val="652"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auto"/>
                <w:sz w:val="20"/>
                <w:szCs w:val="20"/>
                <w:lang w:eastAsia="zh-CN"/>
              </w:rPr>
            </w:pPr>
            <w:r>
              <w:rPr>
                <w:rFonts w:hint="eastAsia" w:ascii="黑体" w:hAnsi="宋体" w:eastAsia="黑体" w:cs="黑体"/>
                <w:color w:val="auto"/>
                <w:kern w:val="0"/>
                <w:sz w:val="20"/>
                <w:szCs w:val="20"/>
                <w:lang w:val="en-US" w:eastAsia="zh-CN"/>
              </w:rPr>
              <w:t>7</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建平天朗新能源有限责任公司三家 6.6MW分散式风电项目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5300</w:t>
            </w:r>
          </w:p>
        </w:tc>
        <w:tc>
          <w:tcPr>
            <w:tcW w:w="36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建设分散式风力发电场，建设规模 6.6MW</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发改局</w:t>
            </w:r>
          </w:p>
        </w:tc>
      </w:tr>
      <w:tr>
        <w:trPr>
          <w:trHeight w:val="810"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auto"/>
                <w:sz w:val="20"/>
                <w:szCs w:val="20"/>
                <w:lang w:eastAsia="zh-CN"/>
              </w:rPr>
            </w:pPr>
            <w:r>
              <w:rPr>
                <w:rFonts w:hint="eastAsia" w:ascii="黑体" w:hAnsi="宋体" w:eastAsia="黑体" w:cs="黑体"/>
                <w:color w:val="auto"/>
                <w:kern w:val="0"/>
                <w:sz w:val="20"/>
                <w:szCs w:val="20"/>
                <w:lang w:val="en-US" w:eastAsia="zh-CN"/>
              </w:rPr>
              <w:t>8</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建平县整县屋顶分布式光伏发电项目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50000</w:t>
            </w:r>
          </w:p>
        </w:tc>
        <w:tc>
          <w:tcPr>
            <w:tcW w:w="36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开发建设建平县整县党政机关、学校、医院、村委会等公共建筑、工商业厂房和农村居民屋顶100MW 分布式光伏</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发改局</w:t>
            </w:r>
          </w:p>
        </w:tc>
      </w:tr>
      <w:tr>
        <w:trPr>
          <w:trHeight w:val="440"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auto"/>
                <w:sz w:val="20"/>
                <w:szCs w:val="20"/>
                <w:lang w:eastAsia="zh-CN"/>
              </w:rPr>
            </w:pPr>
            <w:r>
              <w:rPr>
                <w:rFonts w:hint="eastAsia" w:ascii="黑体" w:hAnsi="宋体" w:eastAsia="黑体" w:cs="黑体"/>
                <w:color w:val="auto"/>
                <w:kern w:val="0"/>
                <w:sz w:val="20"/>
                <w:szCs w:val="20"/>
                <w:lang w:val="en-US" w:eastAsia="zh-CN"/>
              </w:rPr>
              <w:t>9</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建平县马场镇光伏发电项目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500</w:t>
            </w:r>
          </w:p>
        </w:tc>
        <w:tc>
          <w:tcPr>
            <w:tcW w:w="36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建设 500KW 光伏发电场一处。</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发改局</w:t>
            </w:r>
          </w:p>
        </w:tc>
      </w:tr>
      <w:tr>
        <w:trPr>
          <w:trHeight w:val="515" w:hRule="atLeast"/>
        </w:trPr>
        <w:tc>
          <w:tcPr>
            <w:tcW w:w="14595"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color w:val="auto"/>
                <w:sz w:val="20"/>
                <w:szCs w:val="20"/>
              </w:rPr>
            </w:pPr>
            <w:r>
              <w:rPr>
                <w:rFonts w:hint="eastAsia" w:ascii="黑体" w:hAnsi="宋体" w:eastAsia="黑体" w:cs="黑体"/>
                <w:b/>
                <w:bCs/>
                <w:color w:val="auto"/>
                <w:kern w:val="0"/>
                <w:sz w:val="20"/>
                <w:szCs w:val="20"/>
              </w:rPr>
              <w:t>二、大气污染防治项目</w:t>
            </w:r>
          </w:p>
        </w:tc>
      </w:tr>
      <w:tr>
        <w:trPr>
          <w:trHeight w:val="720"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1</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65蒸吨以上燃煤锅炉超低排放改造</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2023-2025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2400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县域65蒸吨以上燃煤锅炉实施超低排放改造，大幅降低大气污染物排放。</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相关企业</w:t>
            </w:r>
          </w:p>
        </w:tc>
      </w:tr>
      <w:tr>
        <w:trPr>
          <w:trHeight w:val="720"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2</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钢铁行业超低排放改造</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800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建平县茂源鼎鑫工贸有限公司超低排放改造工程，减少大气污染物排放。</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实施中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相关企业</w:t>
            </w:r>
          </w:p>
        </w:tc>
      </w:tr>
      <w:tr>
        <w:trPr>
          <w:trHeight w:val="720"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3</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建成区散煤治理</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5000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实现建成区散煤全覆盖治理，降低散煤燃烧对城区环境空气质量影响，大幅削减大气污染物排放。</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先期实施1198户改造中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住建局</w:t>
            </w:r>
          </w:p>
        </w:tc>
      </w:tr>
      <w:tr>
        <w:trPr>
          <w:trHeight w:val="720"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4</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建成区空气质量微观监测站点建设</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2023-2025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1000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建成区内分点布控若干个空气质量微观监测站点，实施空气质量精细化管控。</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生态环境局</w:t>
            </w:r>
          </w:p>
        </w:tc>
      </w:tr>
      <w:tr>
        <w:trPr>
          <w:trHeight w:val="720"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5</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铸造行业提标改造工程</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2022-2023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650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县域内所有铸造行业开展提标改造工程，大气污染物排放满足《铸造工业大气污染物排放标准》（GB 39726-2020）各项排放控制措施要求。</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实施中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相关企业</w:t>
            </w:r>
          </w:p>
        </w:tc>
      </w:tr>
      <w:tr>
        <w:trPr>
          <w:trHeight w:val="560"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6</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区域锅炉治理工程</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1000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拆除县域内10蒸吨以下燃煤锅炉；</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相关企业</w:t>
            </w:r>
          </w:p>
        </w:tc>
      </w:tr>
      <w:tr>
        <w:trPr>
          <w:trHeight w:val="572"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7</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区域窑炉治理工程</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1000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县域内工业窑炉全部实现清洁能源替代</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相关企业</w:t>
            </w:r>
          </w:p>
        </w:tc>
      </w:tr>
      <w:tr>
        <w:trPr>
          <w:trHeight w:val="720"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8</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挥发性有机物质工程</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1000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对县域内挥发性有机物排放主要企业进行技术改造，已减少挥发性有机物排放。</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相关企业</w:t>
            </w:r>
          </w:p>
        </w:tc>
      </w:tr>
      <w:tr>
        <w:trPr>
          <w:trHeight w:val="595" w:hRule="atLeast"/>
        </w:trPr>
        <w:tc>
          <w:tcPr>
            <w:tcW w:w="14595"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color w:val="auto"/>
                <w:sz w:val="20"/>
                <w:szCs w:val="20"/>
              </w:rPr>
            </w:pPr>
            <w:r>
              <w:rPr>
                <w:rFonts w:hint="eastAsia" w:ascii="黑体" w:hAnsi="宋体" w:eastAsia="黑体" w:cs="黑体"/>
                <w:b/>
                <w:bCs/>
                <w:color w:val="auto"/>
                <w:kern w:val="0"/>
                <w:sz w:val="20"/>
                <w:szCs w:val="20"/>
              </w:rPr>
              <w:t>三、水环境治理项目</w:t>
            </w:r>
          </w:p>
        </w:tc>
      </w:tr>
      <w:tr>
        <w:trPr>
          <w:trHeight w:val="795"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朝阳建平经济开发区基础设施（大板沟</w:t>
            </w:r>
            <w:r>
              <w:rPr>
                <w:rFonts w:hint="eastAsia" w:ascii="宋体" w:hAnsi="宋体" w:eastAsia="宋体" w:cs="宋体"/>
                <w:color w:val="auto"/>
                <w:kern w:val="0"/>
                <w:sz w:val="20"/>
                <w:szCs w:val="20"/>
              </w:rPr>
              <w:br/>
            </w:r>
            <w:r>
              <w:rPr>
                <w:rFonts w:hint="eastAsia" w:ascii="宋体" w:hAnsi="宋体" w:eastAsia="宋体" w:cs="宋体"/>
                <w:color w:val="auto"/>
                <w:kern w:val="0"/>
                <w:sz w:val="20"/>
                <w:szCs w:val="20"/>
              </w:rPr>
              <w:t>污水）工程</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2024</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6400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在大板沟园区一街的南侧、深井河东侧新</w:t>
            </w:r>
            <w:r>
              <w:rPr>
                <w:rFonts w:hint="eastAsia" w:ascii="宋体" w:hAnsi="宋体" w:eastAsia="宋体" w:cs="宋体"/>
                <w:color w:val="auto"/>
                <w:kern w:val="0"/>
                <w:sz w:val="20"/>
                <w:szCs w:val="20"/>
              </w:rPr>
              <w:br/>
            </w:r>
            <w:r>
              <w:rPr>
                <w:rFonts w:hint="eastAsia" w:ascii="宋体" w:hAnsi="宋体" w:eastAsia="宋体" w:cs="宋体"/>
                <w:color w:val="auto"/>
                <w:kern w:val="0"/>
                <w:sz w:val="20"/>
                <w:szCs w:val="20"/>
              </w:rPr>
              <w:t>建一座规模为 1.0 万立方米/日。</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lang w:eastAsia="zh-CN"/>
              </w:rPr>
              <w:t>审批中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经济开发区</w:t>
            </w:r>
          </w:p>
        </w:tc>
      </w:tr>
      <w:tr>
        <w:trPr>
          <w:trHeight w:val="795"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朝阳建平经济开发区精密制造产业园污水处理厂工程</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2022-2025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9000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污水处理厂（日处理 5000 吨）及配套管线 10 里</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经济开发区</w:t>
            </w:r>
          </w:p>
        </w:tc>
      </w:tr>
      <w:tr>
        <w:trPr>
          <w:trHeight w:val="795"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3</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朝阳建平经济开发区产业园区基础设</w:t>
            </w:r>
            <w:r>
              <w:rPr>
                <w:rFonts w:hint="eastAsia" w:ascii="宋体" w:hAnsi="宋体" w:eastAsia="宋体" w:cs="宋体"/>
                <w:color w:val="auto"/>
                <w:kern w:val="0"/>
                <w:sz w:val="20"/>
                <w:szCs w:val="20"/>
              </w:rPr>
              <w:br/>
            </w:r>
            <w:r>
              <w:rPr>
                <w:rFonts w:hint="eastAsia" w:ascii="宋体" w:hAnsi="宋体" w:eastAsia="宋体" w:cs="宋体"/>
                <w:color w:val="auto"/>
                <w:kern w:val="0"/>
                <w:sz w:val="20"/>
                <w:szCs w:val="20"/>
              </w:rPr>
              <w:t>施工程项目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2022-2025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10000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建设污水处理厂（日处理污水 5000 吨）一座及配套管线10公里</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经济开发区</w:t>
            </w:r>
          </w:p>
        </w:tc>
      </w:tr>
      <w:tr>
        <w:trPr>
          <w:trHeight w:val="647"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4</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建平县农产品加工园区污水管网建设</w:t>
            </w:r>
            <w:r>
              <w:rPr>
                <w:rFonts w:hint="eastAsia" w:ascii="宋体" w:hAnsi="宋体" w:eastAsia="宋体" w:cs="宋体"/>
                <w:color w:val="auto"/>
                <w:kern w:val="0"/>
                <w:sz w:val="20"/>
                <w:szCs w:val="20"/>
              </w:rPr>
              <w:br/>
            </w:r>
            <w:r>
              <w:rPr>
                <w:rFonts w:hint="eastAsia" w:ascii="宋体" w:hAnsi="宋体" w:eastAsia="宋体" w:cs="宋体"/>
                <w:color w:val="auto"/>
                <w:kern w:val="0"/>
                <w:sz w:val="20"/>
                <w:szCs w:val="20"/>
              </w:rPr>
              <w:t>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2022-2025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1100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新建污水管网 10259 米。</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农产品加工园区</w:t>
            </w:r>
          </w:p>
        </w:tc>
      </w:tr>
      <w:tr>
        <w:trPr>
          <w:trHeight w:val="507"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5</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黑水园区污水处理项目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3000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5000 立方米污水处理站</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黑水镇政府</w:t>
            </w:r>
          </w:p>
        </w:tc>
      </w:tr>
      <w:tr>
        <w:trPr>
          <w:trHeight w:val="474"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6</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三家园区污水处理项目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3000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5000 立方米污水处理站</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三家乡政府</w:t>
            </w:r>
          </w:p>
        </w:tc>
      </w:tr>
      <w:tr>
        <w:trPr>
          <w:trHeight w:val="795"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7</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建平县黑水镇污水处理厂及配套管线</w:t>
            </w:r>
            <w:r>
              <w:rPr>
                <w:rFonts w:hint="eastAsia" w:ascii="宋体" w:hAnsi="宋体" w:eastAsia="宋体" w:cs="宋体"/>
                <w:color w:val="auto"/>
                <w:kern w:val="0"/>
                <w:sz w:val="20"/>
                <w:szCs w:val="20"/>
              </w:rPr>
              <w:br/>
            </w:r>
            <w:r>
              <w:rPr>
                <w:rFonts w:hint="eastAsia" w:ascii="宋体" w:hAnsi="宋体" w:eastAsia="宋体" w:cs="宋体"/>
                <w:color w:val="auto"/>
                <w:kern w:val="0"/>
                <w:sz w:val="20"/>
                <w:szCs w:val="20"/>
              </w:rPr>
              <w:t>建设项目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2022-2025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4000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污水处理厂占地 11000 平方米，日处理能 力 3 千吨，改善乡镇人居环境。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黑水镇政府</w:t>
            </w:r>
          </w:p>
        </w:tc>
      </w:tr>
      <w:tr>
        <w:trPr>
          <w:trHeight w:val="795"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8</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建平县三家乡污水处理厂及配套管线</w:t>
            </w:r>
            <w:r>
              <w:rPr>
                <w:rFonts w:hint="eastAsia" w:ascii="宋体" w:hAnsi="宋体" w:eastAsia="宋体" w:cs="宋体"/>
                <w:color w:val="auto"/>
                <w:kern w:val="0"/>
                <w:sz w:val="20"/>
                <w:szCs w:val="20"/>
              </w:rPr>
              <w:br/>
            </w:r>
            <w:r>
              <w:rPr>
                <w:rFonts w:hint="eastAsia" w:ascii="宋体" w:hAnsi="宋体" w:eastAsia="宋体" w:cs="宋体"/>
                <w:color w:val="auto"/>
                <w:kern w:val="0"/>
                <w:sz w:val="20"/>
                <w:szCs w:val="20"/>
              </w:rPr>
              <w:t>建设项目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2022-2025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4500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污水处理厂占地 21000 平方米，日处理能 力 1 万吨，改善乡镇人居环境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三家乡政府</w:t>
            </w:r>
          </w:p>
        </w:tc>
      </w:tr>
      <w:tr>
        <w:trPr>
          <w:trHeight w:val="698"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9</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建平县第二污水处理厂管网配套建设</w:t>
            </w:r>
            <w:r>
              <w:rPr>
                <w:rFonts w:hint="eastAsia" w:ascii="宋体" w:hAnsi="宋体" w:eastAsia="宋体" w:cs="宋体"/>
                <w:color w:val="auto"/>
                <w:kern w:val="0"/>
                <w:sz w:val="20"/>
                <w:szCs w:val="20"/>
              </w:rPr>
              <w:br/>
            </w:r>
            <w:r>
              <w:rPr>
                <w:rFonts w:hint="eastAsia" w:ascii="宋体" w:hAnsi="宋体" w:eastAsia="宋体" w:cs="宋体"/>
                <w:color w:val="auto"/>
                <w:kern w:val="0"/>
                <w:sz w:val="20"/>
                <w:szCs w:val="20"/>
              </w:rPr>
              <w:t>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w:t>
            </w:r>
            <w:r>
              <w:rPr>
                <w:rFonts w:hint="eastAsia" w:ascii="宋体" w:hAnsi="宋体" w:cs="宋体"/>
                <w:color w:val="auto"/>
                <w:kern w:val="0"/>
                <w:sz w:val="20"/>
                <w:szCs w:val="20"/>
                <w:lang w:val="en-US" w:eastAsia="zh-CN"/>
              </w:rPr>
              <w:t>4</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4684</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铺设配套污水管线长度 55264 米</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住建局</w:t>
            </w:r>
          </w:p>
        </w:tc>
      </w:tr>
      <w:tr>
        <w:trPr>
          <w:trHeight w:val="795"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10</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建平县第二污水处理厂建设项目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15000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建设污水处理厂一座，一期日处理能力为 5万吨。项目总用地 4.15 公顷，建设办公用房及厂房合计 30000 平方米，配套建设管网等设施。</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住建局</w:t>
            </w:r>
          </w:p>
        </w:tc>
      </w:tr>
      <w:tr>
        <w:trPr>
          <w:trHeight w:val="795"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11</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城市污水处理厂扩建工程</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2023-2025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8000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启动污水处理厂扩建工程，重点解决超量污水导致的溢流问题，扩建后处理能力增加1万吨/日。</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lang w:eastAsia="zh-CN"/>
              </w:rPr>
              <w:t>工程施工中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住建局</w:t>
            </w:r>
          </w:p>
        </w:tc>
      </w:tr>
      <w:tr>
        <w:trPr>
          <w:trHeight w:val="795"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12</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第二牤牛河小平房段水环境治理项目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11000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项目计划实施内容为恢复河道自然岸线、建设人工湿地、设置安装局部纳米曝气治理设施，项目计划治理河道长度4公里，自小平房新建大桥起至平安地村与喀左县交界处；</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水务局</w:t>
            </w:r>
          </w:p>
        </w:tc>
      </w:tr>
      <w:tr>
        <w:trPr>
          <w:trHeight w:val="795"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13</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建平县农村生活污水治理项目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24000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根据本地实际，计划完成126个行政村的143个（村屯组）示范屯的生活污水收集及处理设施的建设工作。使建平县农村生活污水治理行政村覆盖率达到53.4%（包含已规划的7个行政村），其他46.6%的行政村生活污水得到有效管控。所涉及的示范屯农户接管率达到95%以上，污水处理设施排放达标率100%，污水资源化利用率100%，初步形成县域农村生活污水治理设施运维管理体系。</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所属乡镇政府</w:t>
            </w:r>
          </w:p>
        </w:tc>
      </w:tr>
      <w:tr>
        <w:trPr>
          <w:trHeight w:val="795"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14</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乡镇饮用水源保护工程</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1000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确定乡镇水源保护区范围，规范设置保护区界桩和警示标志；</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所属乡镇政府</w:t>
            </w:r>
          </w:p>
        </w:tc>
      </w:tr>
      <w:tr>
        <w:trPr>
          <w:trHeight w:val="525" w:hRule="atLeast"/>
        </w:trPr>
        <w:tc>
          <w:tcPr>
            <w:tcW w:w="14595"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color w:val="auto"/>
                <w:sz w:val="20"/>
                <w:szCs w:val="20"/>
              </w:rPr>
            </w:pPr>
            <w:r>
              <w:rPr>
                <w:rFonts w:hint="eastAsia" w:ascii="黑体" w:hAnsi="宋体" w:eastAsia="黑体" w:cs="黑体"/>
                <w:b/>
                <w:bCs/>
                <w:color w:val="auto"/>
                <w:kern w:val="0"/>
                <w:sz w:val="20"/>
                <w:szCs w:val="20"/>
              </w:rPr>
              <w:t>四、固体废物综合治理项目</w:t>
            </w:r>
          </w:p>
        </w:tc>
      </w:tr>
      <w:tr>
        <w:trPr>
          <w:trHeight w:val="960"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建平县城区餐厨垃圾处理项目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3696</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日处理餐厨废弃物 50 吨，年处理餐厨废弃物 1.8 万吨。建筑物面积 4930 ㎡，构筑物面积 907 ㎡。购置预处理设备、有机肥生产设备等。</w:t>
            </w:r>
          </w:p>
        </w:tc>
        <w:tc>
          <w:tcPr>
            <w:tcW w:w="1476"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eastAsia="zh-CN"/>
              </w:rPr>
              <w:t>环评审批已经完事</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住建局</w:t>
            </w:r>
          </w:p>
        </w:tc>
      </w:tr>
      <w:tr>
        <w:trPr>
          <w:trHeight w:val="705"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建平县医疗废弃物转运站建设项目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2022-2025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5000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建设转运设施，处理建平县医疗机构产生 的医疗废弃物。</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lang w:eastAsia="zh-CN"/>
              </w:rPr>
              <w:t>依托朝阳专业公司</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卫生局</w:t>
            </w:r>
          </w:p>
        </w:tc>
      </w:tr>
      <w:tr>
        <w:trPr>
          <w:trHeight w:val="705"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3</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建平县乡镇新建垃圾处理场建设项目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6000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建平镇、老官地镇、三家蒙古族乡三个乡 镇建设垃圾填埋场，每处占地 60 亩</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所属乡镇政府</w:t>
            </w:r>
          </w:p>
        </w:tc>
      </w:tr>
      <w:tr>
        <w:trPr>
          <w:trHeight w:val="705"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4</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建平县农村生活垃圾处置体系项目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13380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新建垃圾处理厂三处，垃圾中转站 16 个， 垃圾转运车 150 台，垃圾分类桶 30 万个</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所属乡镇政府</w:t>
            </w:r>
          </w:p>
        </w:tc>
      </w:tr>
      <w:tr>
        <w:trPr>
          <w:trHeight w:val="532" w:hRule="atLeast"/>
        </w:trPr>
        <w:tc>
          <w:tcPr>
            <w:tcW w:w="14595"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color w:val="auto"/>
                <w:sz w:val="20"/>
                <w:szCs w:val="20"/>
              </w:rPr>
            </w:pPr>
            <w:r>
              <w:rPr>
                <w:rFonts w:hint="eastAsia" w:ascii="黑体" w:hAnsi="宋体" w:eastAsia="黑体" w:cs="黑体"/>
                <w:b/>
                <w:bCs/>
                <w:color w:val="auto"/>
                <w:kern w:val="0"/>
                <w:sz w:val="20"/>
                <w:szCs w:val="20"/>
              </w:rPr>
              <w:t>五、噪声防治建设项目</w:t>
            </w:r>
          </w:p>
        </w:tc>
      </w:tr>
      <w:tr>
        <w:trPr>
          <w:trHeight w:val="705"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编制声功能区划</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w:t>
            </w:r>
            <w:r>
              <w:rPr>
                <w:rFonts w:hint="eastAsia" w:ascii="宋体" w:hAnsi="宋体" w:cs="宋体"/>
                <w:color w:val="auto"/>
                <w:kern w:val="0"/>
                <w:sz w:val="20"/>
                <w:szCs w:val="20"/>
                <w:lang w:val="en-US" w:eastAsia="zh-CN"/>
              </w:rPr>
              <w:t>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依据《声环境质量标准》中对声环境功能区划的新要求，完成声环境功能区划调整工作。</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cs="宋体"/>
                <w:color w:val="auto"/>
                <w:sz w:val="20"/>
                <w:szCs w:val="20"/>
                <w:lang w:eastAsia="zh-CN"/>
              </w:rPr>
              <w:t>依照专家意见，完善过程中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生态环境局</w:t>
            </w:r>
          </w:p>
        </w:tc>
      </w:tr>
      <w:tr>
        <w:trPr>
          <w:trHeight w:val="530" w:hRule="atLeast"/>
        </w:trPr>
        <w:tc>
          <w:tcPr>
            <w:tcW w:w="14595"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color w:val="auto"/>
                <w:sz w:val="20"/>
                <w:szCs w:val="20"/>
              </w:rPr>
            </w:pPr>
            <w:r>
              <w:rPr>
                <w:rFonts w:hint="eastAsia" w:ascii="黑体" w:hAnsi="宋体" w:eastAsia="黑体" w:cs="黑体"/>
                <w:b/>
                <w:bCs/>
                <w:color w:val="auto"/>
                <w:kern w:val="0"/>
                <w:sz w:val="20"/>
                <w:szCs w:val="20"/>
              </w:rPr>
              <w:t>六、生态保护和治理项目</w:t>
            </w:r>
          </w:p>
        </w:tc>
      </w:tr>
      <w:tr>
        <w:trPr>
          <w:trHeight w:val="795"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建平县历史遗留矿山生态修复工程项目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174900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采坑回填、渣堆清运土地平整、客土、植被 恢复</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自然资源局</w:t>
            </w:r>
          </w:p>
        </w:tc>
      </w:tr>
      <w:tr>
        <w:trPr>
          <w:trHeight w:val="660"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建平县万寿街道全域土地综合整治项目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25100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农用地整理、农村建设用地整理、乡村生态 保护修复</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自然资源局</w:t>
            </w:r>
          </w:p>
        </w:tc>
      </w:tr>
      <w:tr>
        <w:trPr>
          <w:trHeight w:val="660"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3</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建平县2021年度闭坑矿山治理恢复项目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3300</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采坑回填、渣堆清运土地平整、客土、植被 恢复</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自然资源局</w:t>
            </w:r>
          </w:p>
        </w:tc>
      </w:tr>
      <w:tr>
        <w:trPr>
          <w:trHeight w:val="660"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4</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建平县红山街道杨杖子村炮手沟历史遗留废弃工矿土地整治项目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2171</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采坑回填、渣堆清运土地平整、客土、植被 恢复</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自然资源局</w:t>
            </w:r>
          </w:p>
        </w:tc>
      </w:tr>
      <w:tr>
        <w:trPr>
          <w:trHeight w:val="660"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5</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建平县工矿废弃地土地综合整治项</w:t>
            </w:r>
            <w:r>
              <w:rPr>
                <w:rFonts w:hint="eastAsia" w:ascii="宋体" w:hAnsi="宋体" w:eastAsia="宋体" w:cs="宋体"/>
                <w:color w:val="auto"/>
                <w:kern w:val="0"/>
                <w:sz w:val="20"/>
                <w:szCs w:val="20"/>
              </w:rPr>
              <w:br/>
            </w:r>
            <w:r>
              <w:rPr>
                <w:rFonts w:hint="eastAsia" w:ascii="宋体" w:hAnsi="宋体" w:eastAsia="宋体" w:cs="宋体"/>
                <w:color w:val="auto"/>
                <w:kern w:val="0"/>
                <w:sz w:val="20"/>
                <w:szCs w:val="20"/>
              </w:rPr>
              <w:t>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3251</w:t>
            </w:r>
          </w:p>
        </w:tc>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采坑回填、渣堆清运土地平整、客土、植被 恢复</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自然资源局</w:t>
            </w:r>
          </w:p>
        </w:tc>
      </w:tr>
      <w:tr>
        <w:trPr>
          <w:trHeight w:val="427" w:hRule="atLeast"/>
        </w:trPr>
        <w:tc>
          <w:tcPr>
            <w:tcW w:w="14595"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auto"/>
                <w:sz w:val="20"/>
                <w:szCs w:val="20"/>
              </w:rPr>
            </w:pPr>
            <w:r>
              <w:rPr>
                <w:rFonts w:hint="eastAsia" w:ascii="宋体" w:hAnsi="宋体" w:eastAsia="宋体" w:cs="宋体"/>
                <w:b/>
                <w:bCs/>
                <w:color w:val="auto"/>
                <w:kern w:val="0"/>
                <w:sz w:val="20"/>
                <w:szCs w:val="20"/>
              </w:rPr>
              <w:t>七、农村环境保护和治理项目</w:t>
            </w:r>
          </w:p>
        </w:tc>
      </w:tr>
      <w:tr>
        <w:trPr>
          <w:trHeight w:val="525"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美丽乡村建设项目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2400</w:t>
            </w:r>
          </w:p>
        </w:tc>
        <w:tc>
          <w:tcPr>
            <w:tcW w:w="407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实施亮化、净化、美化、绿化</w:t>
            </w:r>
          </w:p>
        </w:tc>
        <w:tc>
          <w:tcPr>
            <w:tcW w:w="14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0"/>
                <w:szCs w:val="20"/>
                <w:lang w:eastAsia="zh-CN"/>
              </w:rPr>
            </w:pPr>
            <w:r>
              <w:rPr>
                <w:rFonts w:hint="eastAsia" w:ascii="宋体" w:hAnsi="宋体" w:cs="宋体"/>
                <w:color w:val="auto"/>
                <w:sz w:val="20"/>
                <w:szCs w:val="20"/>
                <w:lang w:eastAsia="zh-CN"/>
              </w:rPr>
              <w:t>实施中</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20"/>
                <w:szCs w:val="20"/>
                <w:lang w:eastAsia="zh-CN"/>
              </w:rPr>
            </w:pPr>
            <w:r>
              <w:rPr>
                <w:rFonts w:hint="eastAsia" w:ascii="宋体" w:hAnsi="宋体" w:eastAsia="宋体" w:cs="宋体"/>
                <w:color w:val="auto"/>
                <w:kern w:val="0"/>
                <w:sz w:val="20"/>
                <w:szCs w:val="20"/>
                <w:lang w:eastAsia="zh-CN"/>
              </w:rPr>
              <w:t>农业农村局</w:t>
            </w:r>
          </w:p>
        </w:tc>
      </w:tr>
      <w:tr>
        <w:trPr>
          <w:trHeight w:val="550" w:hRule="atLeast"/>
        </w:trPr>
        <w:tc>
          <w:tcPr>
            <w:tcW w:w="14595"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auto"/>
                <w:sz w:val="20"/>
                <w:szCs w:val="20"/>
              </w:rPr>
            </w:pPr>
            <w:r>
              <w:rPr>
                <w:rFonts w:hint="eastAsia" w:ascii="宋体" w:hAnsi="宋体" w:eastAsia="宋体" w:cs="宋体"/>
                <w:b/>
                <w:bCs/>
                <w:color w:val="auto"/>
                <w:kern w:val="0"/>
                <w:sz w:val="20"/>
                <w:szCs w:val="20"/>
              </w:rPr>
              <w:t>八、环境风险防控项目</w:t>
            </w:r>
          </w:p>
        </w:tc>
      </w:tr>
      <w:tr>
        <w:trPr>
          <w:trHeight w:val="539"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编制环境风险防控方案</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2021</w:t>
            </w:r>
            <w:r>
              <w:rPr>
                <w:rFonts w:hint="eastAsia" w:ascii="宋体" w:hAnsi="宋体" w:cs="宋体"/>
                <w:color w:val="auto"/>
                <w:kern w:val="0"/>
                <w:sz w:val="20"/>
                <w:szCs w:val="20"/>
                <w:lang w:val="en-US" w:eastAsia="zh-CN"/>
              </w:rPr>
              <w:t>-</w:t>
            </w:r>
            <w:r>
              <w:rPr>
                <w:rFonts w:hint="eastAsia" w:ascii="宋体" w:hAnsi="宋体" w:eastAsia="宋体" w:cs="宋体"/>
                <w:color w:val="auto"/>
                <w:kern w:val="0"/>
                <w:sz w:val="20"/>
                <w:szCs w:val="20"/>
              </w:rPr>
              <w:t>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30</w:t>
            </w:r>
          </w:p>
        </w:tc>
        <w:tc>
          <w:tcPr>
            <w:tcW w:w="407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健全环境风险防控体系</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cs="宋体"/>
                <w:color w:val="auto"/>
                <w:sz w:val="20"/>
                <w:szCs w:val="20"/>
                <w:lang w:eastAsia="zh-CN"/>
              </w:rPr>
              <w:t>各个企业实施中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生态环境局</w:t>
            </w:r>
          </w:p>
        </w:tc>
      </w:tr>
      <w:tr>
        <w:trPr>
          <w:trHeight w:val="525" w:hRule="atLeast"/>
        </w:trPr>
        <w:tc>
          <w:tcPr>
            <w:tcW w:w="14595"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color w:val="auto"/>
                <w:sz w:val="20"/>
                <w:szCs w:val="20"/>
              </w:rPr>
            </w:pPr>
            <w:r>
              <w:rPr>
                <w:rFonts w:hint="eastAsia" w:ascii="黑体" w:hAnsi="宋体" w:eastAsia="黑体" w:cs="黑体"/>
                <w:b/>
                <w:bCs/>
                <w:color w:val="auto"/>
                <w:kern w:val="0"/>
                <w:sz w:val="20"/>
                <w:szCs w:val="20"/>
              </w:rPr>
              <w:t>九、环境监管能力建设项目</w:t>
            </w:r>
          </w:p>
        </w:tc>
      </w:tr>
      <w:tr>
        <w:trPr>
          <w:trHeight w:val="547"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1</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机动车尾气监测系统</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2023-2025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500</w:t>
            </w:r>
          </w:p>
        </w:tc>
        <w:tc>
          <w:tcPr>
            <w:tcW w:w="407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lang w:val="en-US" w:eastAsia="zh-CN"/>
              </w:rPr>
              <w:t>/</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cs="宋体"/>
                <w:color w:val="auto"/>
                <w:sz w:val="20"/>
                <w:szCs w:val="20"/>
                <w:lang w:eastAsia="zh-CN"/>
              </w:rPr>
              <w:t>使用中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县交警部门</w:t>
            </w:r>
          </w:p>
        </w:tc>
      </w:tr>
      <w:tr>
        <w:trPr>
          <w:trHeight w:val="610"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2</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机动车尾气路检设备</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2023-2025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50</w:t>
            </w:r>
          </w:p>
        </w:tc>
        <w:tc>
          <w:tcPr>
            <w:tcW w:w="407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购买机动车尾气路检监测设备，提高机动车尾气监管能力。</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cs="宋体"/>
                <w:color w:val="auto"/>
                <w:sz w:val="20"/>
                <w:szCs w:val="20"/>
                <w:lang w:eastAsia="zh-CN"/>
              </w:rPr>
              <w:t>使用中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县交警部门、市生态环境局</w:t>
            </w:r>
          </w:p>
        </w:tc>
      </w:tr>
      <w:tr>
        <w:trPr>
          <w:trHeight w:val="720"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3</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便携式VOC</w:t>
            </w:r>
            <w:r>
              <w:rPr>
                <w:rFonts w:hint="eastAsia" w:ascii="宋体" w:hAnsi="宋体" w:cs="宋体"/>
                <w:color w:val="auto"/>
                <w:kern w:val="0"/>
                <w:sz w:val="20"/>
                <w:szCs w:val="20"/>
                <w:lang w:val="en-US" w:eastAsia="zh-CN"/>
              </w:rPr>
              <w:t>s</w:t>
            </w:r>
            <w:r>
              <w:rPr>
                <w:rFonts w:hint="eastAsia" w:ascii="宋体" w:hAnsi="宋体" w:eastAsia="宋体" w:cs="宋体"/>
                <w:color w:val="auto"/>
                <w:kern w:val="0"/>
                <w:sz w:val="20"/>
                <w:szCs w:val="20"/>
              </w:rPr>
              <w:t>检测设备</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2023-2025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0"/>
                <w:szCs w:val="20"/>
              </w:rPr>
            </w:pPr>
            <w:r>
              <w:rPr>
                <w:rFonts w:ascii="仿宋_GB2312" w:hAnsi="宋体" w:eastAsia="仿宋_GB2312" w:cs="仿宋_GB2312"/>
                <w:color w:val="auto"/>
                <w:kern w:val="0"/>
                <w:sz w:val="20"/>
                <w:szCs w:val="20"/>
              </w:rPr>
              <w:t>300</w:t>
            </w:r>
          </w:p>
        </w:tc>
        <w:tc>
          <w:tcPr>
            <w:tcW w:w="407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购买便携式VOC检测设备，提高VOC监管能力。</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未实施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生态环境局</w:t>
            </w:r>
          </w:p>
        </w:tc>
      </w:tr>
    </w:tbl>
    <w:p>
      <w:pPr>
        <w:rPr>
          <w:color w:val="auto"/>
        </w:rPr>
      </w:pPr>
    </w:p>
    <w:bookmarkEnd w:id="57"/>
    <w:sectPr>
      <w:footerReference r:id="rId7" w:type="default"/>
      <w:pgSz w:w="16838" w:h="11906" w:orient="landscape"/>
      <w:pgMar w:top="1800" w:right="1440" w:bottom="1800" w:left="1440" w:header="851" w:footer="992" w:gutter="0"/>
      <w:pgBorders>
        <w:top w:val="none" w:color="auto" w:sz="0" w:space="0"/>
        <w:left w:val="none" w:color="auto" w:sz="0" w:space="0"/>
        <w:bottom w:val="none" w:color="auto" w:sz="0" w:space="0"/>
        <w:right w:val="none" w:color="auto" w:sz="0" w:space="0"/>
      </w:pgBorders>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 w:name="方正仿宋_GB2312">
    <w:altName w:val="仿宋"/>
    <w:panose1 w:val="00000000000000000000"/>
    <w:charset w:val="00"/>
    <w:family w:val="auto"/>
    <w:pitch w:val="default"/>
    <w:sig w:usb0="00000000" w:usb1="00000000" w:usb2="00000012" w:usb3="00000000" w:csb0="00040001" w:csb1="00000000"/>
  </w:font>
  <w:font w:name="Calibri Light">
    <w:altName w:val="Calibri"/>
    <w:panose1 w:val="020F0302020204030204"/>
    <w:charset w:val="00"/>
    <w:family w:val="auto"/>
    <w:pitch w:val="default"/>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1"/>
                  <w:jc w:val="center"/>
                </w:pPr>
                <w:r>
                  <w:fldChar w:fldCharType="begin"/>
                </w:r>
                <w:r>
                  <w:instrText xml:space="preserve">PAGE   \* MERGEFORMAT</w:instrText>
                </w:r>
                <w:r>
                  <w:fldChar w:fldCharType="separate"/>
                </w:r>
                <w:r>
                  <w:t>1</w:t>
                </w:r>
                <w:r>
                  <w:fldChar w:fldCharType="end"/>
                </w:r>
              </w:p>
            </w:txbxContent>
          </v:textbox>
        </v:rect>
      </w:pict>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r>
      <w:rPr>
        <w:rFonts w:ascii="Calibri" w:hAnsi="Calibri" w:eastAsia="宋体" w:cs="黑体"/>
        <w:kern w:val="2"/>
        <w:sz w:val="18"/>
        <w:szCs w:val="24"/>
        <w:lang w:val="en-US" w:eastAsia="zh-CN" w:bidi="ar-SA"/>
      </w:rPr>
      <w:pict>
        <v:rect id="文本框 2" o:spid="_x0000_s1026"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8302361">
    <w:nsid w:val="64A17319"/>
    <w:multiLevelType w:val="singleLevel"/>
    <w:tmpl w:val="64A17319"/>
    <w:lvl w:ilvl="0" w:tentative="1">
      <w:start w:val="3"/>
      <w:numFmt w:val="chineseCounting"/>
      <w:suff w:val="nothing"/>
      <w:lvlText w:val="（%1）"/>
      <w:lvlJc w:val="left"/>
    </w:lvl>
  </w:abstractNum>
  <w:num w:numId="1">
    <w:abstractNumId w:val="16883023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9"/>
    <w:pPr>
      <w:keepNext/>
      <w:keepLines/>
      <w:spacing w:beforeLines="100" w:afterLines="100" w:line="600" w:lineRule="exact"/>
      <w:jc w:val="left"/>
      <w:outlineLvl w:val="0"/>
    </w:pPr>
    <w:rPr>
      <w:rFonts w:ascii="黑体" w:hAnsi="黑体" w:eastAsia="黑体" w:cs="Times New Roman"/>
      <w:bCs/>
      <w:kern w:val="44"/>
      <w:sz w:val="32"/>
      <w:szCs w:val="32"/>
    </w:rPr>
  </w:style>
  <w:style w:type="paragraph" w:styleId="4">
    <w:name w:val="heading 2"/>
    <w:basedOn w:val="1"/>
    <w:next w:val="1"/>
    <w:link w:val="2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paragraph" w:styleId="2">
    <w:name w:val="footnote text"/>
    <w:basedOn w:val="1"/>
    <w:next w:val="1"/>
    <w:unhideWhenUsed/>
    <w:qFormat/>
    <w:uiPriority w:val="99"/>
    <w:pPr>
      <w:snapToGrid w:val="0"/>
      <w:jc w:val="left"/>
    </w:pPr>
    <w:rPr>
      <w:sz w:val="18"/>
    </w:rPr>
  </w:style>
  <w:style w:type="paragraph" w:styleId="6">
    <w:name w:val="toc 7"/>
    <w:basedOn w:val="1"/>
    <w:next w:val="1"/>
    <w:uiPriority w:val="0"/>
    <w:pPr>
      <w:ind w:left="2520" w:leftChars="1200"/>
    </w:pPr>
  </w:style>
  <w:style w:type="paragraph" w:styleId="7">
    <w:name w:val="annotation text"/>
    <w:basedOn w:val="1"/>
    <w:qFormat/>
    <w:uiPriority w:val="0"/>
    <w:pPr>
      <w:jc w:val="left"/>
    </w:pPr>
  </w:style>
  <w:style w:type="paragraph" w:styleId="8">
    <w:name w:val="toc 5"/>
    <w:basedOn w:val="1"/>
    <w:next w:val="1"/>
    <w:uiPriority w:val="0"/>
    <w:pPr>
      <w:ind w:left="1680" w:leftChars="800"/>
    </w:pPr>
  </w:style>
  <w:style w:type="paragraph" w:styleId="9">
    <w:name w:val="toc 3"/>
    <w:basedOn w:val="1"/>
    <w:next w:val="1"/>
    <w:uiPriority w:val="0"/>
    <w:pPr>
      <w:ind w:left="840" w:leftChars="400"/>
    </w:pPr>
  </w:style>
  <w:style w:type="paragraph" w:styleId="10">
    <w:name w:val="toc 8"/>
    <w:basedOn w:val="1"/>
    <w:next w:val="1"/>
    <w:uiPriority w:val="0"/>
    <w:pPr>
      <w:ind w:left="2940" w:leftChars="14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semiHidden/>
    <w:qFormat/>
    <w:uiPriority w:val="0"/>
  </w:style>
  <w:style w:type="paragraph" w:styleId="14">
    <w:name w:val="toc 4"/>
    <w:basedOn w:val="1"/>
    <w:next w:val="1"/>
    <w:uiPriority w:val="0"/>
    <w:pPr>
      <w:ind w:left="1260" w:leftChars="600"/>
    </w:pPr>
  </w:style>
  <w:style w:type="paragraph" w:styleId="15">
    <w:name w:val="toc 6"/>
    <w:basedOn w:val="1"/>
    <w:next w:val="1"/>
    <w:uiPriority w:val="0"/>
    <w:pPr>
      <w:ind w:left="2100" w:leftChars="1000"/>
    </w:pPr>
  </w:style>
  <w:style w:type="paragraph" w:styleId="16">
    <w:name w:val="toc 2"/>
    <w:basedOn w:val="1"/>
    <w:next w:val="1"/>
    <w:semiHidden/>
    <w:qFormat/>
    <w:uiPriority w:val="0"/>
    <w:pPr>
      <w:ind w:left="420" w:leftChars="200"/>
    </w:pPr>
  </w:style>
  <w:style w:type="paragraph" w:styleId="17">
    <w:name w:val="toc 9"/>
    <w:basedOn w:val="1"/>
    <w:next w:val="1"/>
    <w:uiPriority w:val="0"/>
    <w:pPr>
      <w:ind w:left="3360" w:leftChars="1600"/>
    </w:pPr>
  </w:style>
  <w:style w:type="paragraph" w:styleId="18">
    <w:name w:val="Normal (Web)"/>
    <w:basedOn w:val="1"/>
    <w:qFormat/>
    <w:uiPriority w:val="0"/>
    <w:pPr>
      <w:spacing w:beforeAutospacing="1" w:afterAutospacing="1"/>
      <w:jc w:val="left"/>
    </w:pPr>
    <w:rPr>
      <w:rFonts w:cs="Times New Roman"/>
      <w:kern w:val="0"/>
      <w:sz w:val="24"/>
    </w:rPr>
  </w:style>
  <w:style w:type="character" w:styleId="20">
    <w:name w:val="Strong"/>
    <w:basedOn w:val="19"/>
    <w:qFormat/>
    <w:uiPriority w:val="0"/>
    <w:rPr>
      <w:b/>
    </w:rPr>
  </w:style>
  <w:style w:type="character" w:styleId="21">
    <w:name w:val="page number"/>
    <w:basedOn w:val="19"/>
    <w:qFormat/>
    <w:uiPriority w:val="0"/>
    <w:rPr/>
  </w:style>
  <w:style w:type="character" w:styleId="22">
    <w:name w:val="FollowedHyperlink"/>
    <w:basedOn w:val="19"/>
    <w:uiPriority w:val="0"/>
    <w:rPr>
      <w:color w:val="800080"/>
      <w:u w:val="none"/>
    </w:rPr>
  </w:style>
  <w:style w:type="character" w:styleId="23">
    <w:name w:val="Emphasis"/>
    <w:basedOn w:val="19"/>
    <w:qFormat/>
    <w:uiPriority w:val="0"/>
    <w:rPr/>
  </w:style>
  <w:style w:type="character" w:styleId="24">
    <w:name w:val="Hyperlink"/>
    <w:basedOn w:val="19"/>
    <w:qFormat/>
    <w:uiPriority w:val="0"/>
    <w:rPr>
      <w:color w:val="0000FF"/>
      <w:u w:val="single"/>
    </w:rPr>
  </w:style>
  <w:style w:type="paragraph" w:customStyle="1" w:styleId="25">
    <w:name w:val="0正文"/>
    <w:basedOn w:val="1"/>
    <w:qFormat/>
    <w:uiPriority w:val="0"/>
    <w:pPr>
      <w:spacing w:line="360" w:lineRule="auto"/>
      <w:ind w:firstLine="720" w:firstLineChars="200"/>
      <w:jc w:val="left"/>
    </w:pPr>
    <w:rPr>
      <w:rFonts w:ascii="Times New Roman" w:hAnsi="Times New Roman" w:eastAsia="宋体" w:cs="Times New Roman"/>
      <w:kern w:val="0"/>
      <w:sz w:val="24"/>
    </w:rPr>
  </w:style>
  <w:style w:type="character" w:customStyle="1" w:styleId="26">
    <w:name w:val="标题 2 Char Char"/>
    <w:link w:val="4"/>
    <w:uiPriority w:val="0"/>
    <w:rPr>
      <w:rFonts w:ascii="Arial" w:hAnsi="Arial" w:eastAsia="黑体"/>
      <w:b/>
      <w:bCs/>
      <w:sz w:val="32"/>
      <w:szCs w:val="32"/>
    </w:rPr>
  </w:style>
  <w:style w:type="character" w:customStyle="1" w:styleId="27">
    <w:name w:val="disabled"/>
    <w:basedOn w:val="19"/>
    <w:uiPriority w:val="0"/>
    <w:rPr>
      <w:vanish/>
    </w:rPr>
  </w:style>
  <w:style w:type="character" w:customStyle="1" w:styleId="28">
    <w:name w:val="znspantitle"/>
    <w:basedOn w:val="19"/>
    <w:uiPriority w:val="0"/>
    <w:rPr>
      <w:b/>
      <w:bCs/>
      <w:color w:val="333333"/>
    </w:rPr>
  </w:style>
  <w:style w:type="character" w:customStyle="1" w:styleId="29">
    <w:name w:val="radio-btn"/>
    <w:basedOn w:val="19"/>
    <w:uiPriority w:val="0"/>
    <w:rPr>
      <w:sz w:val="24"/>
      <w:szCs w:val="24"/>
    </w:rPr>
  </w:style>
  <w:style w:type="character" w:customStyle="1" w:styleId="30">
    <w:name w:val="radio-btn1"/>
    <w:basedOn w:val="19"/>
    <w:uiPriority w:val="0"/>
    <w:rPr>
      <w:sz w:val="21"/>
      <w:szCs w:val="21"/>
    </w:rPr>
  </w:style>
  <w:style w:type="character" w:customStyle="1" w:styleId="31">
    <w:name w:val="radio-btn2"/>
    <w:basedOn w:val="19"/>
    <w:uiPriority w:val="0"/>
    <w:rPr>
      <w:sz w:val="24"/>
      <w:szCs w:val="24"/>
    </w:rPr>
  </w:style>
  <w:style w:type="character" w:customStyle="1" w:styleId="32">
    <w:name w:val="lable"/>
    <w:basedOn w:val="19"/>
    <w:uiPriority w:val="0"/>
    <w:rPr>
      <w:sz w:val="24"/>
      <w:szCs w:val="24"/>
    </w:rPr>
  </w:style>
  <w:style w:type="character" w:customStyle="1" w:styleId="33">
    <w:name w:val="lishishuju"/>
    <w:basedOn w:val="19"/>
    <w:uiPriority w:val="0"/>
    <w:rPr>
      <w:b/>
      <w:bCs/>
      <w:color w:val="000052"/>
      <w:sz w:val="24"/>
      <w:szCs w:val="24"/>
      <w:bdr w:val="single" w:color="E3E3E3" w:sz="6" w:space="0"/>
    </w:rPr>
  </w:style>
  <w:style w:type="character" w:customStyle="1" w:styleId="34">
    <w:name w:val="cur1"/>
    <w:basedOn w:val="19"/>
    <w:uiPriority w:val="0"/>
    <w:rPr>
      <w:color w:val="FFFFFF"/>
      <w:shd w:val="clear" w:color="auto" w:fill="2F6B9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4111</Words>
  <Characters>23436</Characters>
  <Lines>195</Lines>
  <Paragraphs>54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2023-06-29T07:36:00Z</dcterms:created>
  <dc:creator>Administrator</dc:creator>
  <cp:lastModifiedBy>Administrator</cp:lastModifiedBy>
  <cp:lastPrinted>2023-04-16T06:41:00Z</cp:lastPrinted>
  <dcterms:modified xsi:type="dcterms:W3CDTF">2023-07-24T06:03:57Z</dcterms:modified>
  <dc:title>建平县生态环境保护“十四五”专项规划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A14461417792468B97247520D0F2D2F0_12</vt:lpwstr>
  </property>
</Properties>
</file>