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2024年政府采购预算安排情况说明</w:t>
      </w:r>
    </w:p>
    <w:p>
      <w:pPr>
        <w:rPr>
          <w:rFonts w:hint="eastAsia"/>
          <w:sz w:val="44"/>
          <w:szCs w:val="44"/>
          <w:lang w:val="en-US" w:eastAsia="zh-CN"/>
        </w:rPr>
      </w:pP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汇总2024年政府预算722</w:t>
      </w:r>
      <w:bookmarkStart w:id="0" w:name="_GoBack"/>
      <w:bookmarkEnd w:id="0"/>
      <w:r>
        <w:rPr>
          <w:rFonts w:hint="eastAsia" w:ascii="仿宋" w:hAnsi="仿宋" w:eastAsia="仿宋" w:cs="仿宋"/>
          <w:sz w:val="32"/>
          <w:szCs w:val="32"/>
          <w:lang w:val="en-US" w:eastAsia="zh-CN"/>
        </w:rPr>
        <w:t>万元，主要是相关预算单位公务用车、执法执勤用车和生产作业用车进行更新。预算执行过程中新增政府采购预算将由各预算单位自行进行公开说明。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MDkzMTJjNWI4OThkODM3MGU0YmZjZmM5YmE2NWYifQ=="/>
  </w:docVars>
  <w:rsids>
    <w:rsidRoot w:val="3D3274E0"/>
    <w:rsid w:val="10E12DF0"/>
    <w:rsid w:val="28F72F97"/>
    <w:rsid w:val="3D3274E0"/>
    <w:rsid w:val="48B459D5"/>
    <w:rsid w:val="6C4B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2023-12-15T01:07:00Z</dcterms:created>
  <dc:creator>财赢政通</dc:creator>
  <cp:lastModifiedBy>财赢政通</cp:lastModifiedBy>
  <dcterms:modified xsi:type="dcterms:W3CDTF">2023-12-24T02:04:06Z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1DA59FDBE3F5470DBC1D0D6BF0448095_11</vt:lpwstr>
  </property>
</Properties>
</file>