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cs="Times New Roman"/>
          <w:sz w:val="44"/>
          <w:szCs w:val="44"/>
        </w:rPr>
      </w:pPr>
      <w:bookmarkStart w:id="0" w:name="_GoBack"/>
      <w:r>
        <w:rPr>
          <w:rFonts w:hint="eastAsia" w:ascii="方正小标宋简体" w:eastAsia="方正小标宋简体" w:cs="Times New Roman"/>
          <w:sz w:val="44"/>
          <w:szCs w:val="44"/>
        </w:rPr>
        <w:t>辽宁省养老服务投资指南</w:t>
      </w:r>
    </w:p>
    <w:p>
      <w:pPr>
        <w:spacing w:line="560" w:lineRule="exact"/>
        <w:jc w:val="center"/>
        <w:rPr>
          <w:rFonts w:ascii="方正小标宋简体" w:eastAsia="方正小标宋简体" w:cs="Times New Roman"/>
          <w:sz w:val="44"/>
          <w:szCs w:val="44"/>
        </w:rPr>
      </w:pPr>
    </w:p>
    <w:p>
      <w:pPr>
        <w:spacing w:line="560" w:lineRule="exact"/>
        <w:jc w:val="center"/>
        <w:rPr>
          <w:rFonts w:ascii="方正小标宋简体" w:eastAsia="方正小标宋简体" w:cs="Times New Roman"/>
          <w:sz w:val="36"/>
          <w:szCs w:val="36"/>
        </w:rPr>
      </w:pPr>
      <w:r>
        <w:rPr>
          <w:rFonts w:hint="eastAsia" w:ascii="方正小标宋简体" w:eastAsia="方正小标宋简体" w:cs="Times New Roman"/>
          <w:sz w:val="36"/>
          <w:szCs w:val="36"/>
        </w:rPr>
        <w:t>辽宁省投资环境简介</w:t>
      </w:r>
    </w:p>
    <w:p>
      <w:pPr>
        <w:widowControl/>
        <w:spacing w:before="100" w:beforeAutospacing="1" w:after="100" w:afterAutospacing="1" w:line="520" w:lineRule="exact"/>
        <w:rPr>
          <w:rFonts w:ascii="方正黑体简体" w:eastAsia="方正黑体简体" w:cs="宋体"/>
          <w:b/>
          <w:bCs/>
          <w:kern w:val="0"/>
          <w:sz w:val="32"/>
          <w:szCs w:val="32"/>
        </w:rPr>
      </w:pPr>
      <w:r>
        <w:rPr>
          <w:rFonts w:hint="eastAsia" w:ascii="方正黑体简体" w:eastAsia="方正黑体简体" w:cs="宋体"/>
          <w:b/>
          <w:bCs/>
          <w:kern w:val="0"/>
          <w:sz w:val="32"/>
          <w:szCs w:val="32"/>
        </w:rPr>
        <w:t>地理位置</w:t>
      </w:r>
    </w:p>
    <w:p>
      <w:pPr>
        <w:widowControl/>
        <w:spacing w:before="100" w:beforeAutospacing="1" w:after="100" w:afterAutospacing="1" w:line="520" w:lineRule="exact"/>
        <w:ind w:firstLine="643" w:firstLineChars="200"/>
        <w:rPr>
          <w:rFonts w:ascii="仿宋_GB2312" w:eastAsia="仿宋_GB2312" w:cs="宋体"/>
          <w:kern w:val="0"/>
          <w:sz w:val="32"/>
          <w:szCs w:val="32"/>
        </w:rPr>
      </w:pPr>
      <w:r>
        <w:rPr>
          <w:rFonts w:hint="eastAsia" w:ascii="仿宋_GB2312" w:eastAsia="仿宋_GB2312" w:cs="宋体"/>
          <w:b/>
          <w:bCs/>
          <w:kern w:val="0"/>
          <w:sz w:val="32"/>
          <w:szCs w:val="32"/>
        </w:rPr>
        <w:t>辽宁省</w:t>
      </w:r>
      <w:r>
        <w:rPr>
          <w:rFonts w:hint="eastAsia" w:ascii="仿宋_GB2312" w:eastAsia="仿宋_GB2312" w:cs="宋体"/>
          <w:kern w:val="0"/>
          <w:sz w:val="32"/>
          <w:szCs w:val="32"/>
        </w:rPr>
        <w:t>，简称"辽"，省会沈阳，辖14个地级市，其中副省级城市2个(沈阳、大连)，位于中国东北地区南部，地处环渤海经济圈和东北亚地区的中心地带，拥有2100多公里的海岸线。辽宁是“一带一路”建设的重要节点，正在加快推进东北亚经贸合作，打造对外开放的新前沿。</w:t>
      </w:r>
    </w:p>
    <w:p>
      <w:pPr>
        <w:widowControl/>
        <w:spacing w:before="100" w:beforeAutospacing="1" w:after="100" w:afterAutospacing="1" w:line="520" w:lineRule="exact"/>
        <w:rPr>
          <w:rFonts w:ascii="方正黑体简体" w:eastAsia="方正黑体简体" w:cs="宋体"/>
          <w:b/>
          <w:bCs/>
          <w:kern w:val="0"/>
          <w:sz w:val="32"/>
          <w:szCs w:val="32"/>
        </w:rPr>
      </w:pPr>
      <w:r>
        <w:rPr>
          <w:rFonts w:ascii="方正黑体简体" w:eastAsia="方正黑体简体" w:cs="宋体"/>
          <w:b/>
          <w:bCs/>
          <w:kern w:val="0"/>
          <w:sz w:val="32"/>
          <w:szCs w:val="32"/>
        </w:rPr>
        <w:t>人口规模</w:t>
      </w:r>
    </w:p>
    <w:p>
      <w:pPr>
        <w:spacing w:line="52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截至2019年底，辽宁省常住人口4351.7万人，60周岁及以上</w:t>
      </w:r>
      <w:r>
        <w:rPr>
          <w:rFonts w:ascii="仿宋_GB2312" w:eastAsia="仿宋_GB2312" w:cs="宋体"/>
          <w:kern w:val="0"/>
          <w:sz w:val="32"/>
          <w:szCs w:val="32"/>
        </w:rPr>
        <w:t>户籍</w:t>
      </w:r>
      <w:r>
        <w:rPr>
          <w:rFonts w:hint="eastAsia" w:ascii="仿宋_GB2312" w:eastAsia="仿宋_GB2312" w:cs="宋体"/>
          <w:kern w:val="0"/>
          <w:sz w:val="32"/>
          <w:szCs w:val="32"/>
        </w:rPr>
        <w:t>老年人口1075.7万人，占全省总人口的24.72%；65岁及以上老年人口706.1万人，占全省总人口的16.23%；80岁及以上老年人口120.9万人，占全省老年人口的11.24%;失能、半失能老年人129万人，占全省老年人口的12%。</w:t>
      </w:r>
    </w:p>
    <w:p>
      <w:pPr>
        <w:widowControl/>
        <w:spacing w:before="100" w:beforeAutospacing="1" w:after="100" w:afterAutospacing="1" w:line="520" w:lineRule="exact"/>
        <w:rPr>
          <w:rFonts w:ascii="方正黑体简体" w:eastAsia="方正黑体简体" w:cs="宋体"/>
          <w:b/>
          <w:bCs/>
          <w:kern w:val="0"/>
          <w:sz w:val="32"/>
          <w:szCs w:val="32"/>
        </w:rPr>
      </w:pPr>
      <w:r>
        <w:rPr>
          <w:rFonts w:ascii="方正黑体简体" w:eastAsia="方正黑体简体" w:cs="宋体"/>
          <w:b/>
          <w:bCs/>
          <w:kern w:val="0"/>
          <w:sz w:val="32"/>
          <w:szCs w:val="32"/>
        </w:rPr>
        <w:t>资源规模</w:t>
      </w:r>
    </w:p>
    <w:p>
      <w:pPr>
        <w:spacing w:line="52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辽宁是中国重要的老工业基地，是全国工业门类较为齐全的省份之一，是中国最早实行对外开放政策的沿海省份之一，也是中国近代开埠最早的省份之一，是中华民族和中华文明的发源地之一，新中国工业崛起的摇篮，被誉为"共和国长子"、"东方鲁尔"。拥有高密度的铁路网和公路网，以及北方地区最好的深水不冻港，有“辽满欧”“辽蒙欧”“辽海欧”三条国际运输大通道。辽宁拥有底蕴厚重的历史文化，红山文化、三燕文化、辽金文化、满族文化别具特色。辽宁四季分明，夏看百花冬看雪，是夏日休闲避暑、冬日坐亭赏雪的养老优选之地。</w:t>
      </w:r>
    </w:p>
    <w:p>
      <w:pPr>
        <w:spacing w:line="520" w:lineRule="exact"/>
        <w:ind w:firstLine="880" w:firstLineChars="200"/>
        <w:jc w:val="left"/>
        <w:rPr>
          <w:rFonts w:ascii="方正小标宋简体" w:eastAsia="方正小标宋简体"/>
          <w:sz w:val="44"/>
          <w:szCs w:val="44"/>
        </w:rPr>
      </w:pP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养老服务机构备案</w:t>
      </w:r>
    </w:p>
    <w:p/>
    <w:p>
      <w:r>
        <mc:AlternateContent>
          <mc:Choice Requires="wps">
            <w:drawing>
              <wp:anchor distT="0" distB="0" distL="113665" distR="113665" simplePos="0" relativeHeight="251659264" behindDoc="0" locked="0" layoutInCell="1" allowOverlap="1">
                <wp:simplePos x="0" y="0"/>
                <wp:positionH relativeFrom="column">
                  <wp:posOffset>1295400</wp:posOffset>
                </wp:positionH>
                <wp:positionV relativeFrom="paragraph">
                  <wp:posOffset>5156200</wp:posOffset>
                </wp:positionV>
                <wp:extent cx="3209925" cy="1390650"/>
                <wp:effectExtent l="0" t="0" r="0" b="0"/>
                <wp:wrapNone/>
                <wp:docPr id="1" name="矩形 16"/>
                <wp:cNvGraphicFramePr/>
                <a:graphic xmlns:a="http://schemas.openxmlformats.org/drawingml/2006/main">
                  <a:graphicData uri="http://schemas.microsoft.com/office/word/2010/wordprocessingShape">
                    <wps:wsp>
                      <wps:cNvSpPr/>
                      <wps:spPr>
                        <a:xfrm>
                          <a:off x="0" y="0"/>
                          <a:ext cx="3209924" cy="1390649"/>
                        </a:xfrm>
                        <a:prstGeom prst="rect">
                          <a:avLst/>
                        </a:prstGeom>
                        <a:solidFill>
                          <a:srgbClr val="FFFFFF"/>
                        </a:solidFill>
                        <a:ln w="9525" cap="flat" cmpd="sng">
                          <a:noFill/>
                          <a:prstDash val="solid"/>
                          <a:round/>
                        </a:ln>
                      </wps:spPr>
                      <wps:txbx>
                        <w:txbxContent>
                          <w:p>
                            <w:pPr>
                              <w:jc w:val="center"/>
                              <w:rPr>
                                <w:rFonts w:ascii="宋体"/>
                                <w:sz w:val="24"/>
                                <w:szCs w:val="24"/>
                              </w:rPr>
                            </w:pPr>
                            <w:r>
                              <w:rPr>
                                <w:rFonts w:hint="eastAsia" w:ascii="宋体"/>
                                <w:sz w:val="24"/>
                                <w:szCs w:val="24"/>
                              </w:rPr>
                              <w:t>完成备案，并向申请人提供以下材料：</w:t>
                            </w:r>
                          </w:p>
                          <w:p>
                            <w:pPr>
                              <w:pStyle w:val="7"/>
                              <w:ind w:left="360" w:firstLine="0" w:firstLineChars="0"/>
                              <w:rPr>
                                <w:rFonts w:ascii="宋体"/>
                                <w:sz w:val="24"/>
                                <w:szCs w:val="24"/>
                              </w:rPr>
                            </w:pPr>
                            <w:r>
                              <w:rPr>
                                <w:rFonts w:hint="eastAsia" w:ascii="宋体"/>
                                <w:sz w:val="24"/>
                                <w:szCs w:val="24"/>
                              </w:rPr>
                              <w:t>1.备案回执；</w:t>
                            </w:r>
                          </w:p>
                          <w:p>
                            <w:pPr>
                              <w:pStyle w:val="7"/>
                              <w:ind w:left="360" w:firstLine="0" w:firstLineChars="0"/>
                              <w:rPr>
                                <w:rFonts w:ascii="宋体"/>
                                <w:sz w:val="24"/>
                                <w:szCs w:val="24"/>
                              </w:rPr>
                            </w:pPr>
                            <w:r>
                              <w:rPr>
                                <w:rFonts w:hint="eastAsia" w:ascii="宋体"/>
                                <w:sz w:val="24"/>
                                <w:szCs w:val="24"/>
                              </w:rPr>
                              <w:t>2.养老服务机构基本条件告知书；</w:t>
                            </w:r>
                          </w:p>
                          <w:p>
                            <w:pPr>
                              <w:pStyle w:val="7"/>
                              <w:ind w:left="360" w:firstLine="0" w:firstLineChars="0"/>
                              <w:rPr>
                                <w:rFonts w:ascii="宋体"/>
                                <w:sz w:val="24"/>
                                <w:szCs w:val="24"/>
                              </w:rPr>
                            </w:pPr>
                            <w:r>
                              <w:rPr>
                                <w:rFonts w:hint="eastAsia" w:ascii="宋体"/>
                                <w:sz w:val="24"/>
                                <w:szCs w:val="24"/>
                              </w:rPr>
                              <w:t>告知其每年3月31日之前提交上一年度的工作报告（内容主要包括服务范围、服务质量、运营管理等情况）。</w:t>
                            </w:r>
                          </w:p>
                        </w:txbxContent>
                      </wps:txbx>
                      <wps:bodyPr vert="horz" wrap="square" lIns="91440" tIns="45720" rIns="91440" bIns="45720" anchor="ctr" anchorCtr="0" upright="0">
                        <a:noAutofit/>
                      </wps:bodyPr>
                    </wps:wsp>
                  </a:graphicData>
                </a:graphic>
              </wp:anchor>
            </w:drawing>
          </mc:Choice>
          <mc:Fallback>
            <w:pict>
              <v:rect id="矩形 16" o:spid="_x0000_s1026" o:spt="1" style="position:absolute;left:0pt;margin-left:102pt;margin-top:406pt;height:109.5pt;width:252.75pt;z-index:251659264;v-text-anchor:middle;mso-width-relative:page;mso-height-relative:page;" fillcolor="#FFFFFF" filled="t" stroked="f" coordsize="21600,21600" o:gfxdata="UEsDBAoAAAAAAIdO4kAAAAAAAAAAAAAAAAAEAAAAZHJzL1BLAwQUAAAACACHTuJAo2MeJ9gAAAAM&#10;AQAADwAAAGRycy9kb3ducmV2LnhtbE2PwU7DMAyG70i8Q2QkbixpgbGVpjsgcdiFjdIHyBqvrdY4&#10;VZOuG0+POcHNlj///pxvLq4XZxxD50lDslAgkGpvO2o0VF/vDysQIRqypveEGq4YYFPc3uQms36m&#10;TzyXsREcQiEzGtoYh0zKULfoTFj4AYlnRz86E7kdG2lHM3O462Wq1FI60xFfaM2Aby3Wp3JyGnb7&#10;3bZST+p7Wl63di73p48+VFrf3yXqFUTES/yD4Vef1aFgp4OfyAbRa0h5n1ENqyTlgokXtX4GcWBU&#10;PSYKZJHL/08UP1BLAwQUAAAACACHTuJAprro0h4CAAAxBAAADgAAAGRycy9lMm9Eb2MueG1srVPB&#10;jtMwEL0j8Q+W7zRpti0karpCWxUhIVhp4QNcx0ksObYZu03KzyBx4yP4HMRvMHZCW5bLHsjBmclM&#10;3sx7M17fDp0iRwFOGl3S+SylRGhuKqmbkn76uHvxihLnma6YMlqU9CQcvd08f7bubSEy0xpVCSAI&#10;ol3R25K23tsiSRxvRcfczFihMVgb6JhHF5qkAtYjeqeSLE1XSW+gsmC4cA6/bscgnRDhKYCmriUX&#10;W8MPndB+RAWhmEdKrpXW0U3stq4F9x/q2glPVEmRqY8nFkF7H85ks2ZFA8y2kk8tsKe08IhTx6TG&#10;omeoLfOMHED+A9VJDsaZ2s+46ZKRSFQEWczTR9o8tMyKyAWldvYsuvt/sPz98R6IrHATKNGsw4H/&#10;+vr9549vZL4K4vTWFZjzYO9h8hyagelQQxfeyIEMUdDTWVAxeMLx402W5nm2oIRjbH6Tp6tFHlCT&#10;y+8WnH8jTEeCUVLAiUUh2fGd82Pqn5RQzRklq51UKjrQ7O8UkCPD6e7iM6H/laY06UuaL7MlNsJw&#10;ZWtcFTQ7i7SdbmI9bQIqFmRFqLdlrh1xI1SAZQWYg67GnpRGFkGcUY5g+WE/YDCYe1OdUFa8ZUip&#10;NfCFkh53DKt9PjAQlKi3GoeYzxeLsJTRWSxfZujAdWR/HWGaI1RJuQdKRufOj6t8sCCbFmulE5fX&#10;B29qGfW79DN1jJsUJzBtfVjVaz9mXW765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jYx4n2AAA&#10;AAwBAAAPAAAAAAAAAAEAIAAAACIAAABkcnMvZG93bnJldi54bWxQSwECFAAUAAAACACHTuJAprro&#10;0h4CAAAxBAAADgAAAAAAAAABACAAAAAnAQAAZHJzL2Uyb0RvYy54bWxQSwUGAAAAAAYABgBZAQAA&#10;twUAAAAA&#10;">
                <v:fill on="t" focussize="0,0"/>
                <v:stroke on="f" joinstyle="round"/>
                <v:imagedata o:title=""/>
                <o:lock v:ext="edit" aspectratio="f"/>
                <v:textbox>
                  <w:txbxContent>
                    <w:p>
                      <w:pPr>
                        <w:jc w:val="center"/>
                        <w:rPr>
                          <w:rFonts w:ascii="宋体"/>
                          <w:sz w:val="24"/>
                          <w:szCs w:val="24"/>
                        </w:rPr>
                      </w:pPr>
                      <w:r>
                        <w:rPr>
                          <w:rFonts w:hint="eastAsia" w:ascii="宋体"/>
                          <w:sz w:val="24"/>
                          <w:szCs w:val="24"/>
                        </w:rPr>
                        <w:t>完成备案，并向申请人提供以下材料：</w:t>
                      </w:r>
                    </w:p>
                    <w:p>
                      <w:pPr>
                        <w:pStyle w:val="7"/>
                        <w:ind w:left="360" w:firstLine="0" w:firstLineChars="0"/>
                        <w:rPr>
                          <w:rFonts w:ascii="宋体"/>
                          <w:sz w:val="24"/>
                          <w:szCs w:val="24"/>
                        </w:rPr>
                      </w:pPr>
                      <w:r>
                        <w:rPr>
                          <w:rFonts w:hint="eastAsia" w:ascii="宋体"/>
                          <w:sz w:val="24"/>
                          <w:szCs w:val="24"/>
                        </w:rPr>
                        <w:t>1.备案回执；</w:t>
                      </w:r>
                    </w:p>
                    <w:p>
                      <w:pPr>
                        <w:pStyle w:val="7"/>
                        <w:ind w:left="360" w:firstLine="0" w:firstLineChars="0"/>
                        <w:rPr>
                          <w:rFonts w:ascii="宋体"/>
                          <w:sz w:val="24"/>
                          <w:szCs w:val="24"/>
                        </w:rPr>
                      </w:pPr>
                      <w:r>
                        <w:rPr>
                          <w:rFonts w:hint="eastAsia" w:ascii="宋体"/>
                          <w:sz w:val="24"/>
                          <w:szCs w:val="24"/>
                        </w:rPr>
                        <w:t>2.养老服务机构基本条件告知书；</w:t>
                      </w:r>
                    </w:p>
                    <w:p>
                      <w:pPr>
                        <w:pStyle w:val="7"/>
                        <w:ind w:left="360" w:firstLine="0" w:firstLineChars="0"/>
                        <w:rPr>
                          <w:rFonts w:ascii="宋体"/>
                          <w:sz w:val="24"/>
                          <w:szCs w:val="24"/>
                        </w:rPr>
                      </w:pPr>
                      <w:r>
                        <w:rPr>
                          <w:rFonts w:hint="eastAsia" w:ascii="宋体"/>
                          <w:sz w:val="24"/>
                          <w:szCs w:val="24"/>
                        </w:rPr>
                        <w:t>告知其每年3月31日之前提交上一年度的工作报告（内容主要包括服务范围、服务质量、运营管理等情况）。</w:t>
                      </w:r>
                    </w:p>
                  </w:txbxContent>
                </v:textbox>
              </v:rect>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1295400</wp:posOffset>
                </wp:positionH>
                <wp:positionV relativeFrom="paragraph">
                  <wp:posOffset>3594735</wp:posOffset>
                </wp:positionV>
                <wp:extent cx="3352800" cy="742950"/>
                <wp:effectExtent l="0" t="0" r="0" b="0"/>
                <wp:wrapNone/>
                <wp:docPr id="4" name="矩形 15"/>
                <wp:cNvGraphicFramePr/>
                <a:graphic xmlns:a="http://schemas.openxmlformats.org/drawingml/2006/main">
                  <a:graphicData uri="http://schemas.microsoft.com/office/word/2010/wordprocessingShape">
                    <wps:wsp>
                      <wps:cNvSpPr/>
                      <wps:spPr>
                        <a:xfrm>
                          <a:off x="0" y="0"/>
                          <a:ext cx="3352800" cy="742950"/>
                        </a:xfrm>
                        <a:prstGeom prst="rect">
                          <a:avLst/>
                        </a:prstGeom>
                        <a:solidFill>
                          <a:srgbClr val="FFFFFF"/>
                        </a:solidFill>
                        <a:ln w="9525" cap="flat" cmpd="sng">
                          <a:noFill/>
                          <a:prstDash val="solid"/>
                          <a:round/>
                        </a:ln>
                      </wps:spPr>
                      <wps:txbx>
                        <w:txbxContent>
                          <w:p>
                            <w:pPr>
                              <w:jc w:val="center"/>
                              <w:rPr>
                                <w:rFonts w:ascii="宋体"/>
                                <w:sz w:val="24"/>
                                <w:szCs w:val="24"/>
                              </w:rPr>
                            </w:pPr>
                            <w:r>
                              <w:rPr>
                                <w:rFonts w:hint="eastAsia" w:ascii="宋体"/>
                                <w:sz w:val="24"/>
                                <w:szCs w:val="24"/>
                              </w:rPr>
                              <w:t>重点核查备案信息是否符合养老服务相关标准和规范</w:t>
                            </w:r>
                          </w:p>
                        </w:txbxContent>
                      </wps:txbx>
                      <wps:bodyPr vert="horz" wrap="square" lIns="91440" tIns="45720" rIns="91440" bIns="45720" anchor="ctr" anchorCtr="0" upright="0">
                        <a:noAutofit/>
                      </wps:bodyPr>
                    </wps:wsp>
                  </a:graphicData>
                </a:graphic>
              </wp:anchor>
            </w:drawing>
          </mc:Choice>
          <mc:Fallback>
            <w:pict>
              <v:rect id="矩形 15" o:spid="_x0000_s1026" o:spt="1" style="position:absolute;left:0pt;margin-left:102pt;margin-top:283.05pt;height:58.5pt;width:264pt;z-index:251659264;v-text-anchor:middle;mso-width-relative:page;mso-height-relative:page;" fillcolor="#FFFFFF" filled="t" stroked="f" coordsize="21600,21600" o:gfxdata="UEsDBAoAAAAAAIdO4kAAAAAAAAAAAAAAAAAEAAAAZHJzL1BLAwQUAAAACACHTuJAAseTENgAAAAL&#10;AQAADwAAAGRycy9kb3ducmV2LnhtbE2PwU7DMAyG70i8Q2QkbixpB2EqTXdA4rALG6UPkDWhrZY4&#10;VZOuG0+POcHR9uffn8vtxTt2tlMcAirIVgKYxTaYATsFzefbwwZYTBqNdgGtgquNsK1ub0pdmLDg&#10;hz3XqWMUgrHQCvqUxoLz2PbW67gKo0WafYXJ60Tl1HEz6YXCveO5EJJ7PSBd6PVoX3vbnurZK9gf&#10;9rtGPIrvWV53ZqkPp3cXG6Xu7zLxAizZS/qD4Vef1KEip2OY0UTmFOS0T6iCJykzYEQ8r3PqHBXI&#10;zToDXpX8/w/VD1BLAwQUAAAACACHTuJAEUndax4CAAAwBAAADgAAAGRycy9lMm9Eb2MueG1srVPB&#10;jtMwEL0j8Q+W7zRptmG3VdMV2qoICcFKCx/gOk5iybHN2GlSfgaJGx/B56z4DcZOaMty2QM9pDOZ&#10;8Xvznifr26FV5CDASaMLOp+llAjNTSl1XdDPn3avbihxnumSKaNFQY/C0dvNyxfr3q5EZhqjSgEE&#10;QbRb9bagjfd2lSSON6Jlbmas0FisDLTMYwp1UgLrEb1VSZamr5PeQGnBcOEcvt2ORTohwnMATVVJ&#10;LraGd63QfkQFoZhHSa6R1tFNnLaqBPcfq8oJT1RBUamPTyTBeB+eyWbNVjUw20g+jcCeM8ITTS2T&#10;GklPUFvmGelA/gPVSg7GmcrPuGmTUUh0BFXM0yfePDTMiqgFrXb2ZLr7f7D8w+EeiCwLuqBEsxYv&#10;/Ne3H48/v5N5HszprVthz4O9hylzGAalQwVt+EcNZIiGHk+GisETji+vrvLsJkWvOdauF9kyj44n&#10;59MWnH8rTEtCUFDAC4s+ssN755ERW/+0BDJnlCx3UqmYQL2/U0AODC93F39hZDzyV5vSpC/oMs9y&#10;nIPhxla4KRi2FlU7XUc+bQIqnh75tsw1I26EGtcETKfLkUBp5AnejG6EyA/7AYsh3JvyiK7iR4aS&#10;GgNfKelxxZDtS8dAUKLeabzD5XyxCDsZk0V+nWECl5X9ZYVpjlAF5R4oGZM7P25yZ0HWDXKlk5Y3&#10;nTeVjP6d55kmxkWKHk1LHzb1Mo9d5w998x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Cx5MQ2AAA&#10;AAsBAAAPAAAAAAAAAAEAIAAAACIAAABkcnMvZG93bnJldi54bWxQSwECFAAUAAAACACHTuJAEUnd&#10;ax4CAAAwBAAADgAAAAAAAAABACAAAAAnAQAAZHJzL2Uyb0RvYy54bWxQSwUGAAAAAAYABgBZAQAA&#10;twUAAAAA&#10;">
                <v:fill on="t" focussize="0,0"/>
                <v:stroke on="f" joinstyle="round"/>
                <v:imagedata o:title=""/>
                <o:lock v:ext="edit" aspectratio="f"/>
                <v:textbox>
                  <w:txbxContent>
                    <w:p>
                      <w:pPr>
                        <w:jc w:val="center"/>
                        <w:rPr>
                          <w:rFonts w:ascii="宋体"/>
                          <w:sz w:val="24"/>
                          <w:szCs w:val="24"/>
                        </w:rPr>
                      </w:pPr>
                      <w:r>
                        <w:rPr>
                          <w:rFonts w:hint="eastAsia" w:ascii="宋体"/>
                          <w:sz w:val="24"/>
                          <w:szCs w:val="24"/>
                        </w:rPr>
                        <w:t>重点核查备案信息是否符合养老服务相关标准和规范</w:t>
                      </w:r>
                    </w:p>
                  </w:txbxContent>
                </v:textbox>
              </v:rect>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542925</wp:posOffset>
                </wp:positionH>
                <wp:positionV relativeFrom="paragraph">
                  <wp:posOffset>2908935</wp:posOffset>
                </wp:positionV>
                <wp:extent cx="2838450" cy="438150"/>
                <wp:effectExtent l="0" t="0" r="0" b="0"/>
                <wp:wrapNone/>
                <wp:docPr id="7" name="矩形 9"/>
                <wp:cNvGraphicFramePr/>
                <a:graphic xmlns:a="http://schemas.openxmlformats.org/drawingml/2006/main">
                  <a:graphicData uri="http://schemas.microsoft.com/office/word/2010/wordprocessingShape">
                    <wps:wsp>
                      <wps:cNvSpPr/>
                      <wps:spPr>
                        <a:xfrm>
                          <a:off x="0" y="0"/>
                          <a:ext cx="2838450" cy="438150"/>
                        </a:xfrm>
                        <a:prstGeom prst="rect">
                          <a:avLst/>
                        </a:prstGeom>
                        <a:solidFill>
                          <a:srgbClr val="FFFFFF"/>
                        </a:solidFill>
                        <a:ln w="25400" cap="flat" cmpd="sng">
                          <a:solidFill>
                            <a:srgbClr val="F79646"/>
                          </a:solidFill>
                          <a:prstDash val="solid"/>
                          <a:miter/>
                        </a:ln>
                      </wps:spPr>
                      <wps:txbx>
                        <w:txbxContent>
                          <w:p>
                            <w:pPr>
                              <w:ind w:firstLine="140" w:firstLineChars="50"/>
                              <w:rPr>
                                <w:rFonts w:ascii="仿宋_GB2312" w:eastAsia="仿宋_GB2312"/>
                                <w:sz w:val="28"/>
                                <w:szCs w:val="28"/>
                              </w:rPr>
                            </w:pPr>
                            <w:r>
                              <w:rPr>
                                <w:rFonts w:hint="eastAsia" w:ascii="仿宋_GB2312" w:eastAsia="仿宋_GB2312"/>
                                <w:sz w:val="28"/>
                                <w:szCs w:val="28"/>
                              </w:rPr>
                              <w:t>第二步：受理、核查材料</w:t>
                            </w:r>
                          </w:p>
                        </w:txbxContent>
                      </wps:txbx>
                      <wps:bodyPr vert="horz" wrap="square" lIns="91440" tIns="45720" rIns="91440" bIns="45720" anchor="ctr" anchorCtr="0" upright="0">
                        <a:noAutofit/>
                      </wps:bodyPr>
                    </wps:wsp>
                  </a:graphicData>
                </a:graphic>
              </wp:anchor>
            </w:drawing>
          </mc:Choice>
          <mc:Fallback>
            <w:pict>
              <v:rect id="矩形 9" o:spid="_x0000_s1026" o:spt="1" style="position:absolute;left:0pt;margin-left:42.75pt;margin-top:229.05pt;height:34.5pt;width:223.5pt;z-index:251659264;v-text-anchor:middle;mso-width-relative:page;mso-height-relative:page;" fillcolor="#FFFFFF" filled="t" stroked="t" coordsize="21600,21600" o:gfxdata="UEsDBAoAAAAAAIdO4kAAAAAAAAAAAAAAAAAEAAAAZHJzL1BLAwQUAAAACACHTuJAM0IUhdkAAAAK&#10;AQAADwAAAGRycy9kb3ducmV2LnhtbE2PTU+DQBCG7yb+h82YeLMLKBWRpVETD8akCdWm1y07Aik7&#10;S9gt4L93POltPp6880yxWWwvJhx950hBvIpAINXOdNQo+Px4vclA+KDJ6N4RKvhGD5vy8qLQuXEz&#10;VTjtQiM4hHyuFbQhDLmUvm7Rar9yAxLvvtxodeB2bKQZ9czhtpdJFK2l1R3xhVYP+NJifdqdrYK5&#10;qw5vOLn18LRdTs3eVA/vzbNS11dx9Agi4BL+YPjVZ3Uo2enozmS86BVkacqkgrs0i0EwkN4mPDly&#10;kdzHIMtC/n+h/AFQSwMEFAAAAAgAh07iQMVPqtolAgAAWQQAAA4AAABkcnMvZTJvRG9jLnhtbK1U&#10;S47TQBDdI3GHVu+Jk4yTSaI4IzRREBKCkQYO0Gm37Zb6R3UnTrgMEjsOwXEQ16C6bfIZWMyCLJwq&#10;V/nVe6/LXt4dtCJ7AV5aU9DRYEiJMNyW0tQF/fRx82pGiQ/MlExZIwp6FJ7erV6+WLZuIca2saoU&#10;QBDE+EXrCtqE4BZZ5nkjNPMD64TBYmVBs4Ap1FkJrEV0rbLxcDjNWgulA8uF93h33RVpjwjPAbRV&#10;JblYW77TwoQOFYRiASX5RjpPV4ltVQkePlSVF4GogqLSkK44BONtvGarJVvUwFwjeU+BPYfCE02a&#10;SYNDT1BrFhjZgfwLSksO1tsqDLjVWSckOYIqRsMn3jw2zImkBa327mS6/3+w/P3+AYgsC3pLiWEa&#10;D/zX1+8/f3wj8+hN6/wCWx7dA/SZxzAKPVSg4z9KIIfk5/HkpzgEwvHmeHYzyydoNcdafjMbYYww&#10;2flpBz68EVaTGBQU8LySjWz/zoeu9U9LHOatkuVGKpUSqLf3Csie4dlu0q9Hv2pThrRIZZIPIxGG&#10;G1vhpmCoHar2pk4Drx7xV8i382k+/RdyZLZmvukYJITYxhZaBgEde2VQb3Sx8y1G4bA9YDGGW1se&#10;0X58G1F8Y+ELJS3uItL6vGMgKFFvDR72fJTncXlTkk9ux5jAZWV7WWGGI1RBeQBKuuQ+dCu/cyDr&#10;BmcNk2hjX++CrWRy+synZ4wbl86qfzviSl/mqev8RVj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DNCFIXZAAAACgEAAA8AAAAAAAAAAQAgAAAAIgAAAGRycy9kb3ducmV2LnhtbFBLAQIUABQAAAAI&#10;AIdO4kDFT6raJQIAAFkEAAAOAAAAAAAAAAEAIAAAACgBAABkcnMvZTJvRG9jLnhtbFBLBQYAAAAA&#10;BgAGAFkBAAC/BQAAAAA=&#10;">
                <v:fill on="t" focussize="0,0"/>
                <v:stroke weight="2pt" color="#F79646" joinstyle="miter"/>
                <v:imagedata o:title=""/>
                <o:lock v:ext="edit" aspectratio="f"/>
                <v:textbox>
                  <w:txbxContent>
                    <w:p>
                      <w:pPr>
                        <w:ind w:firstLine="140" w:firstLineChars="50"/>
                        <w:rPr>
                          <w:rFonts w:ascii="仿宋_GB2312" w:eastAsia="仿宋_GB2312"/>
                          <w:sz w:val="28"/>
                          <w:szCs w:val="28"/>
                        </w:rPr>
                      </w:pPr>
                      <w:r>
                        <w:rPr>
                          <w:rFonts w:hint="eastAsia" w:ascii="仿宋_GB2312" w:eastAsia="仿宋_GB2312"/>
                          <w:sz w:val="28"/>
                          <w:szCs w:val="28"/>
                        </w:rPr>
                        <w:t>第二步：受理、核查材料</w:t>
                      </w:r>
                    </w:p>
                  </w:txbxContent>
                </v:textbox>
              </v:rect>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495300</wp:posOffset>
                </wp:positionH>
                <wp:positionV relativeFrom="paragraph">
                  <wp:posOffset>1337310</wp:posOffset>
                </wp:positionV>
                <wp:extent cx="2809875" cy="409575"/>
                <wp:effectExtent l="0" t="0" r="0" b="0"/>
                <wp:wrapNone/>
                <wp:docPr id="10" name="矩形 4"/>
                <wp:cNvGraphicFramePr/>
                <a:graphic xmlns:a="http://schemas.openxmlformats.org/drawingml/2006/main">
                  <a:graphicData uri="http://schemas.microsoft.com/office/word/2010/wordprocessingShape">
                    <wps:wsp>
                      <wps:cNvSpPr/>
                      <wps:spPr>
                        <a:xfrm>
                          <a:off x="0" y="0"/>
                          <a:ext cx="2809875" cy="409575"/>
                        </a:xfrm>
                        <a:prstGeom prst="rect">
                          <a:avLst/>
                        </a:prstGeom>
                        <a:solidFill>
                          <a:srgbClr val="FFFFFF"/>
                        </a:solidFill>
                        <a:ln w="25400" cap="flat" cmpd="sng">
                          <a:solidFill>
                            <a:srgbClr val="F79646"/>
                          </a:solidFill>
                          <a:prstDash val="solid"/>
                          <a:miter/>
                        </a:ln>
                      </wps:spPr>
                      <wps:txbx>
                        <w:txbxContent>
                          <w:p>
                            <w:pPr>
                              <w:jc w:val="center"/>
                              <w:rPr>
                                <w:rFonts w:ascii="仿宋_GB2312" w:eastAsia="仿宋_GB2312"/>
                                <w:sz w:val="28"/>
                                <w:szCs w:val="28"/>
                              </w:rPr>
                            </w:pPr>
                            <w:r>
                              <w:rPr>
                                <w:rFonts w:hint="eastAsia" w:ascii="仿宋_GB2312" w:eastAsia="仿宋_GB2312"/>
                                <w:sz w:val="28"/>
                                <w:szCs w:val="28"/>
                              </w:rPr>
                              <w:t xml:space="preserve"> 第一步：接受备案申请和材料</w:t>
                            </w:r>
                          </w:p>
                        </w:txbxContent>
                      </wps:txbx>
                      <wps:bodyPr vert="horz" wrap="square" lIns="91440" tIns="45720" rIns="91440" bIns="45720" anchor="ctr" anchorCtr="0" upright="0">
                        <a:noAutofit/>
                      </wps:bodyPr>
                    </wps:wsp>
                  </a:graphicData>
                </a:graphic>
              </wp:anchor>
            </w:drawing>
          </mc:Choice>
          <mc:Fallback>
            <w:pict>
              <v:rect id="矩形 4" o:spid="_x0000_s1026" o:spt="1" style="position:absolute;left:0pt;margin-left:39pt;margin-top:105.3pt;height:32.25pt;width:221.25pt;z-index:251659264;v-text-anchor:middle;mso-width-relative:page;mso-height-relative:page;" fillcolor="#FFFFFF" filled="t" stroked="t" coordsize="21600,21600" o:gfxdata="UEsDBAoAAAAAAIdO4kAAAAAAAAAAAAAAAAAEAAAAZHJzL1BLAwQUAAAACACHTuJAF2SDXdkAAAAK&#10;AQAADwAAAGRycy9kb3ducmV2LnhtbE2PQUvEMBCF74L/IYzgzU1aaHetTRcVPIggdFW8ZpuxLdtM&#10;SpNt6793POnxzXu8+V65X90gZpxC70lDslEgkBpve2o1vL893exAhGjImsETavjGAPvq8qI0hfUL&#10;1TgfYiu4hEJhNHQxjoWUoenQmbDxIxJ7X35yJrKcWmkns3C5G2SqVC6d6Yk/dGbExw6b0+HsNCx9&#10;/fmMs8/H+9f11H7Y+valfdD6+ipRdyAirvEvDL/4jA4VMx39mWwQg4btjqdEDWmichAcyFKVgTjy&#10;ZZslIKtS/p9Q/QBQSwMEFAAAAAgAh07iQKzh6eUkAgAAWgQAAA4AAABkcnMvZTJvRG9jLnhtbK1U&#10;S47TQBDdI3GHVu+Jncj5Ks4ITRSEhGCkgQN02u24pf5R3YkTLoPEjkNwHMQ1qG6bfAYWsyALp8pV&#10;fvXe67KXd0etyEGAl9aUdDjIKRGG20qaXUk/fdy8mlHiAzMVU9aIkp6Ep3erly+WrVuIkW2sqgQQ&#10;BDF+0bqSNiG4RZZ53gjN/MA6YbBYW9AsYAq7rALWIrpW2SjPJ1lroXJgufAe7667Iu0R4TmAtq4l&#10;F2vL91qY0KGCUCygJN9I5+kqsa1rwcOHuvYiEFVSVBrSFYdgvI3XbLVkix0w10jeU2DPofBEk2bS&#10;4NAz1JoFRvYg/4LSkoP1tg4DbnXWCUmOoIph/sSbx4Y5kbSg1d6dTff/D5a/PzwAkRVuAlpimMYT&#10;//X1+88f30gRzWmdX2DPo3uAPvMYRqXHGnT8Rw3kmAw9nQ0Vx0A43hzN8vlsOqaEY63I52OMESa7&#10;PO3AhzfCahKDkgIeWPKRHd750LX+aYnDvFWy2kilUgK77b0CcmB4uJv069Fv2pQhLVIZFzkq5AxX&#10;tsZVwVA7lO3NLg28ecTfIE/nk2LyL+TIbM180zFICLGNLbQMAjr2yqDe6GLnW4zCcXvEYgy3tjqh&#10;//g6ovjGwhdKWlxGpPV5z0BQot4aPO35sCji9qakGE9HmMB1ZXtdYYYjVEl5AEq65D50O793IHcN&#10;zsqTaGNf74OtZXL6wqdnjCuXzqp/PeJOX+ep6/JJWP0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F2SDXdkAAAAKAQAADwAAAAAAAAABACAAAAAiAAAAZHJzL2Rvd25yZXYueG1sUEsBAhQAFAAAAAgA&#10;h07iQKzh6eUkAgAAWgQAAA4AAAAAAAAAAQAgAAAAKAEAAGRycy9lMm9Eb2MueG1sUEsFBgAAAAAG&#10;AAYAWQEAAL4FAAAAAA==&#10;">
                <v:fill on="t" focussize="0,0"/>
                <v:stroke weight="2pt" color="#F79646" joinstyle="miter"/>
                <v:imagedata o:title=""/>
                <o:lock v:ext="edit" aspectratio="f"/>
                <v:textbox>
                  <w:txbxContent>
                    <w:p>
                      <w:pPr>
                        <w:jc w:val="center"/>
                        <w:rPr>
                          <w:rFonts w:ascii="仿宋_GB2312" w:eastAsia="仿宋_GB2312"/>
                          <w:sz w:val="28"/>
                          <w:szCs w:val="28"/>
                        </w:rPr>
                      </w:pPr>
                      <w:r>
                        <w:rPr>
                          <w:rFonts w:hint="eastAsia" w:ascii="仿宋_GB2312" w:eastAsia="仿宋_GB2312"/>
                          <w:sz w:val="28"/>
                          <w:szCs w:val="28"/>
                        </w:rPr>
                        <w:t xml:space="preserve"> 第一步：接受备案申请和材料</w:t>
                      </w:r>
                    </w:p>
                  </w:txbxContent>
                </v:textbox>
              </v:rect>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1266825</wp:posOffset>
                </wp:positionH>
                <wp:positionV relativeFrom="paragraph">
                  <wp:posOffset>1908810</wp:posOffset>
                </wp:positionV>
                <wp:extent cx="3209925" cy="790575"/>
                <wp:effectExtent l="0" t="0" r="0" b="0"/>
                <wp:wrapNone/>
                <wp:docPr id="13" name="矩形 14"/>
                <wp:cNvGraphicFramePr/>
                <a:graphic xmlns:a="http://schemas.openxmlformats.org/drawingml/2006/main">
                  <a:graphicData uri="http://schemas.microsoft.com/office/word/2010/wordprocessingShape">
                    <wps:wsp>
                      <wps:cNvSpPr/>
                      <wps:spPr>
                        <a:xfrm>
                          <a:off x="0" y="0"/>
                          <a:ext cx="3209924" cy="790575"/>
                        </a:xfrm>
                        <a:prstGeom prst="rect">
                          <a:avLst/>
                        </a:prstGeom>
                        <a:solidFill>
                          <a:srgbClr val="FFFFFF"/>
                        </a:solidFill>
                        <a:ln w="25400" cap="flat" cmpd="sng">
                          <a:solidFill>
                            <a:srgbClr val="FFFFFF"/>
                          </a:solidFill>
                          <a:prstDash val="solid"/>
                          <a:round/>
                        </a:ln>
                      </wps:spPr>
                      <wps:txbx>
                        <w:txbxContent>
                          <w:p>
                            <w:pPr>
                              <w:ind w:firstLine="120" w:firstLineChars="50"/>
                              <w:rPr>
                                <w:sz w:val="24"/>
                                <w:szCs w:val="24"/>
                              </w:rPr>
                            </w:pPr>
                            <w:r>
                              <w:rPr>
                                <w:rFonts w:hint="eastAsia"/>
                                <w:sz w:val="24"/>
                                <w:szCs w:val="24"/>
                              </w:rPr>
                              <w:t>由养老服务部门或对外窗口统一接受</w:t>
                            </w:r>
                          </w:p>
                          <w:p>
                            <w:pPr>
                              <w:jc w:val="center"/>
                              <w:rPr>
                                <w:sz w:val="24"/>
                                <w:szCs w:val="24"/>
                              </w:rPr>
                            </w:pPr>
                            <w:r>
                              <w:rPr>
                                <w:rFonts w:hint="eastAsia"/>
                                <w:sz w:val="24"/>
                                <w:szCs w:val="24"/>
                              </w:rPr>
                              <w:t>申请人提供材料：1.设置养老机构备案书；</w:t>
                            </w:r>
                          </w:p>
                          <w:p>
                            <w:pPr>
                              <w:jc w:val="center"/>
                              <w:rPr>
                                <w:sz w:val="24"/>
                                <w:szCs w:val="24"/>
                              </w:rPr>
                            </w:pPr>
                            <w:r>
                              <w:rPr>
                                <w:rFonts w:hint="eastAsia"/>
                                <w:sz w:val="24"/>
                                <w:szCs w:val="24"/>
                              </w:rPr>
                              <w:t xml:space="preserve">        2.备案承诺书。</w:t>
                            </w:r>
                          </w:p>
                        </w:txbxContent>
                      </wps:txbx>
                      <wps:bodyPr vert="horz" wrap="square" lIns="91440" tIns="45720" rIns="91440" bIns="45720" anchor="ctr" anchorCtr="0" upright="0">
                        <a:noAutofit/>
                      </wps:bodyPr>
                    </wps:wsp>
                  </a:graphicData>
                </a:graphic>
              </wp:anchor>
            </w:drawing>
          </mc:Choice>
          <mc:Fallback>
            <w:pict>
              <v:rect id="矩形 14" o:spid="_x0000_s1026" o:spt="1" style="position:absolute;left:0pt;margin-left:99.75pt;margin-top:150.3pt;height:62.25pt;width:252.75pt;z-index:251659264;v-text-anchor:middle;mso-width-relative:page;mso-height-relative:page;" fillcolor="#FFFFFF" filled="t" stroked="t" coordsize="21600,21600" o:gfxdata="UEsDBAoAAAAAAIdO4kAAAAAAAAAAAAAAAAAEAAAAZHJzL1BLAwQUAAAACACHTuJAchn8hNoAAAAL&#10;AQAADwAAAGRycy9kb3ducmV2LnhtbE2PwU7DMBBE70j8g7VI3Kid0gANcXpAQion2lBBj9tkcSJi&#10;O4rdJuXrWU5wHM1o5k2+mmwnTjSE1jsNyUyBIFf5unVGw+7t+eYBRIjoauy8Iw1nCrAqLi9yzGo/&#10;ui2dymgEl7iQoYYmxj6TMlQNWQwz35Nj79MPFiPLwch6wJHLbSfnSt1Ji63jhQZ7emqo+iqPVsPm&#10;bHbfU//xYqpXHN/Xm3253i+0vr5K1COISFP8C8MvPqNDwUwHf3R1EB3r5TLlqIZbngHBiXuV8ruD&#10;hsU8TUAWufz/ofgBUEsDBBQAAAAIAIdO4kAQLjehIgIAAFsEAAAOAAAAZHJzL2Uyb0RvYy54bWyt&#10;VMGO0zAQvSPxD5bvNGk2pTRqukJbFSEhWGnhA1zHSSw5thm7TcvPIHHjI/icFb/B2Altd7n0QA/p&#10;TMZ5896bSZa3h06RvQAnjS7pdJJSIjQ3ldRNSb983rx6Q4nzTFdMGS1KehSO3q5evlj2thCZaY2q&#10;BBAE0a7obUlb722RJI63omNuYqzQWKwNdMxjCk1SAesRvVNJlqavk95AZcFw4RzeXQ9FOiLCNYCm&#10;riUXa8N3ndB+QAWhmEdJrpXW0VVkW9eC+0917YQnqqSo1McrNsF4G67JasmKBphtJR8psGsoPNPU&#10;Mamx6QlqzTwjO5D/QHWSg3Gm9hNuumQQEh1BFdP0mTcPLbMiakGrnT2Z7v4fLP+4vwciK9yEG0o0&#10;63Div7//fPz1g0zz4E5vXYGHHuw9jJnDMEg91NCFfxRBDtHR48lRcfCE482bLF0sspwSjrX5Ip3N&#10;ZwE0OT9twfl3wnQkBCUFnFg0ku0/OD8c/XskNHNGyWojlYoJNNs7BWTPcLqb+BvRnxxTmvQlzWZ5&#10;ilPnDHe2xl3BsLOo2+kmNnzyiLsOOTBbM9cODCJCIMAKMDtdDeyVRr3BxcG3EPnD9oDFEG5NdcQB&#10;4PuI4lsD3yjpcRuR1tcdA0GJeq9x3Itpnof1jUk+m2eYwGVle1lhmiNUSbkHSobkzg9Lv7MgmxZ7&#10;pVG0Nm933tQyOn3mMzLGnYuzGt+PsNSXeTx1/ias/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y&#10;GfyE2gAAAAsBAAAPAAAAAAAAAAEAIAAAACIAAABkcnMvZG93bnJldi54bWxQSwECFAAUAAAACACH&#10;TuJAEC43oSICAABbBAAADgAAAAAAAAABACAAAAApAQAAZHJzL2Uyb0RvYy54bWxQSwUGAAAAAAYA&#10;BgBZAQAAvQUAAAAA&#10;">
                <v:fill on="t" focussize="0,0"/>
                <v:stroke weight="2pt" color="#FFFFFF" joinstyle="round"/>
                <v:imagedata o:title=""/>
                <o:lock v:ext="edit" aspectratio="f"/>
                <v:textbox>
                  <w:txbxContent>
                    <w:p>
                      <w:pPr>
                        <w:ind w:firstLine="120" w:firstLineChars="50"/>
                        <w:rPr>
                          <w:sz w:val="24"/>
                          <w:szCs w:val="24"/>
                        </w:rPr>
                      </w:pPr>
                      <w:r>
                        <w:rPr>
                          <w:rFonts w:hint="eastAsia"/>
                          <w:sz w:val="24"/>
                          <w:szCs w:val="24"/>
                        </w:rPr>
                        <w:t>由养老服务部门或对外窗口统一接受</w:t>
                      </w:r>
                    </w:p>
                    <w:p>
                      <w:pPr>
                        <w:jc w:val="center"/>
                        <w:rPr>
                          <w:sz w:val="24"/>
                          <w:szCs w:val="24"/>
                        </w:rPr>
                      </w:pPr>
                      <w:r>
                        <w:rPr>
                          <w:rFonts w:hint="eastAsia"/>
                          <w:sz w:val="24"/>
                          <w:szCs w:val="24"/>
                        </w:rPr>
                        <w:t>申请人提供材料：1.设置养老机构备案书；</w:t>
                      </w:r>
                    </w:p>
                    <w:p>
                      <w:pPr>
                        <w:jc w:val="center"/>
                        <w:rPr>
                          <w:sz w:val="24"/>
                          <w:szCs w:val="24"/>
                        </w:rPr>
                      </w:pPr>
                      <w:r>
                        <w:rPr>
                          <w:rFonts w:hint="eastAsia"/>
                          <w:sz w:val="24"/>
                          <w:szCs w:val="24"/>
                        </w:rPr>
                        <w:t xml:space="preserve">        2.备案承诺书。</w:t>
                      </w:r>
                    </w:p>
                  </w:txbxContent>
                </v:textbox>
              </v:rect>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304800</wp:posOffset>
                </wp:positionH>
                <wp:positionV relativeFrom="paragraph">
                  <wp:posOffset>1156335</wp:posOffset>
                </wp:positionV>
                <wp:extent cx="0" cy="5438775"/>
                <wp:effectExtent l="0" t="0" r="0" b="0"/>
                <wp:wrapNone/>
                <wp:docPr id="16" name="直接连接符 2"/>
                <wp:cNvGraphicFramePr/>
                <a:graphic xmlns:a="http://schemas.openxmlformats.org/drawingml/2006/main">
                  <a:graphicData uri="http://schemas.microsoft.com/office/word/2010/wordprocessingShape">
                    <wps:wsp>
                      <wps:cNvCnPr/>
                      <wps:spPr>
                        <a:xfrm>
                          <a:off x="0" y="0"/>
                          <a:ext cx="0" cy="5438774"/>
                        </a:xfrm>
                        <a:prstGeom prst="line">
                          <a:avLst/>
                        </a:prstGeom>
                        <a:noFill/>
                        <a:ln w="38100" cap="flat" cmpd="sng">
                          <a:solidFill>
                            <a:srgbClr val="4A452A"/>
                          </a:solidFill>
                          <a:prstDash val="solid"/>
                          <a:round/>
                        </a:ln>
                      </wps:spPr>
                      <wps:bodyPr vert="horz" wrap="square" lIns="91440" tIns="45720" rIns="91440" bIns="45720" anchor="t" anchorCtr="0" upright="1">
                        <a:noAutofit/>
                      </wps:bodyPr>
                    </wps:wsp>
                  </a:graphicData>
                </a:graphic>
              </wp:anchor>
            </w:drawing>
          </mc:Choice>
          <mc:Fallback>
            <w:pict>
              <v:line id="直接连接符 2" o:spid="_x0000_s1026" o:spt="20" style="position:absolute;left:0pt;margin-left:24pt;margin-top:91.05pt;height:428.25pt;width:0pt;z-index:251659264;mso-width-relative:page;mso-height-relative:page;" filled="f" stroked="t" coordsize="21600,21600" o:gfxdata="UEsDBAoAAAAAAIdO4kAAAAAAAAAAAAAAAAAEAAAAZHJzL1BLAwQUAAAACACHTuJA8mf1EtgAAAAK&#10;AQAADwAAAGRycy9kb3ducmV2LnhtbE2PQUvEMBCF74L/IYzgZXGTrrLE2nQRRfAk7iqIt7QZ27LN&#10;pDbZdv33jl70OG8e732v2Bx9LyYcYxfIQLZUIJDq4DpqDLy+PFxoEDFZcrYPhAa+MMKmPD0pbO7C&#10;TFucdqkRHEIxtwbalIZcyli36G1chgGJfx9h9DbxOTbSjXbmcN/LlVJr6W1H3NDaAe9arPe7gzfw&#10;FKZh0Lf7BU2L5+r+8frtc34nY87PMnUDIuEx/ZnhB5/RoWSmKhzIRdEbuNI8JbGuVxkINvwKFQvq&#10;Uq9BloX8P6H8BlBLAwQUAAAACACHTuJAHzQC5CMCAAAoBAAADgAAAGRycy9lMm9Eb2MueG1srVNN&#10;jtMwGN0jcQfLe5q2k05L1HRUtRqEhKAScADXcRJLjm0+u03LIbgAEjtmxZI9t2E4Bp+d0JZhMws2&#10;jr8fP3/v+WV+c2gU2Qtw0uicjgZDSoTmppC6yun7d7fPZpQ4z3TBlNEip0fh6M3i6ZN5azMxNrVR&#10;hQCCINplrc1p7b3NksTxWjTMDYwVGoulgYZ5DKFKCmAtojcqGQ+H10lroLBguHAOs+uuSHtEeAyg&#10;KUvJxdrwXSO071BBKOaRkquldXQRpy1Lwf2bsnTCE5VTZOrjipfgfhvWZDFnWQXM1pL3I7DHjPCA&#10;U8OkxktPUGvmGdmB/AeqkRyMM6UfcNMkHZGoCLIYDR9o87ZmVkQuKLWzJ9Hd/4Plr/cbILJAJ1xT&#10;olmDL37/+fvPT19//fiC6/23OzIOKrXWZdi80hvoI2c3ECgfSmjCF8mQQ1T2eFJWHDzhXZJjdpJe&#10;zabTNOAl54MWnH8hTEPCJqdK6kCaZWz/yvmu9U9LSGtzK5XCPMuUJm1Or2ajIb4nZ+jGEl2A28Yi&#10;I6eriOOMkkU4E444qLYrBWTP0BHpMp2Ml/04f7WFC9fM1V1fLIU2loHZ6aIbSmmkEXTplAi7rSmO&#10;qCf+XkikNvCRkhbNhbN82DEQlKiXGl/v+ShNgxtjkE6mYwzgsrK9rDDNESqnSKzbrnzn4J0FWdV4&#10;0yjy1Ga586aUUbPzNP2QaKCoem/24NDLOHadf/DF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PJn&#10;9RLYAAAACgEAAA8AAAAAAAAAAQAgAAAAIgAAAGRycy9kb3ducmV2LnhtbFBLAQIUABQAAAAIAIdO&#10;4kAfNALkIwIAACgEAAAOAAAAAAAAAAEAIAAAACcBAABkcnMvZTJvRG9jLnhtbFBLBQYAAAAABgAG&#10;AFkBAAC8BQAAAAA=&#10;">
                <v:fill on="f" focussize="0,0"/>
                <v:stroke weight="3pt" color="#4A452A" joinstyle="round"/>
                <v:imagedata o:title=""/>
                <o:lock v:ext="edit" aspectratio="f"/>
              </v:line>
            </w:pict>
          </mc:Fallback>
        </mc:AlternateContent>
      </w:r>
      <w:r>
        <mc:AlternateContent>
          <mc:Choice Requires="wps">
            <w:drawing>
              <wp:anchor distT="0" distB="0" distL="113665" distR="113665" simplePos="0" relativeHeight="251659264" behindDoc="0" locked="0" layoutInCell="1" allowOverlap="1">
                <wp:simplePos x="0" y="0"/>
                <wp:positionH relativeFrom="column">
                  <wp:align>center</wp:align>
                </wp:positionH>
                <wp:positionV relativeFrom="paragraph">
                  <wp:posOffset>0</wp:posOffset>
                </wp:positionV>
                <wp:extent cx="4972050" cy="6896100"/>
                <wp:effectExtent l="0" t="0" r="0" b="0"/>
                <wp:wrapNone/>
                <wp:docPr id="18" name="文本框 2"/>
                <wp:cNvGraphicFramePr/>
                <a:graphic xmlns:a="http://schemas.openxmlformats.org/drawingml/2006/main">
                  <a:graphicData uri="http://schemas.microsoft.com/office/word/2010/wordprocessingShape">
                    <wps:wsp>
                      <wps:cNvSpPr/>
                      <wps:spPr>
                        <a:xfrm>
                          <a:off x="0" y="0"/>
                          <a:ext cx="4972050" cy="6896100"/>
                        </a:xfrm>
                        <a:prstGeom prst="rect">
                          <a:avLst/>
                        </a:prstGeom>
                        <a:solidFill>
                          <a:srgbClr val="FFFFFF"/>
                        </a:solidFill>
                        <a:ln w="9525" cap="flat" cmpd="sng">
                          <a:noFill/>
                          <a:prstDash val="solid"/>
                          <a:miter/>
                        </a:ln>
                      </wps:spPr>
                      <wps:txbx>
                        <w:txbxContent>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txbxContent>
                      </wps:txbx>
                      <wps:bodyPr vert="horz" wrap="square" lIns="91440" tIns="45720" rIns="91440" bIns="45720" anchor="t" anchorCtr="0" upright="0">
                        <a:noAutofit/>
                      </wps:bodyPr>
                    </wps:wsp>
                  </a:graphicData>
                </a:graphic>
              </wp:anchor>
            </w:drawing>
          </mc:Choice>
          <mc:Fallback>
            <w:pict>
              <v:rect id="文本框 2" o:spid="_x0000_s1026" o:spt="1" style="position:absolute;left:0pt;margin-top:0pt;height:543pt;width:391.5pt;mso-position-horizontal:center;z-index:251659264;mso-width-relative:page;mso-height-relative:page;" fillcolor="#FFFFFF" filled="t" stroked="f" coordsize="21600,21600" o:gfxdata="UEsDBAoAAAAAAIdO4kAAAAAAAAAAAAAAAAAEAAAAZHJzL1BLAwQUAAAACACHTuJAa8sBLNMAAAAG&#10;AQAADwAAAGRycy9kb3ducmV2LnhtbE2PwU7DMBBE70j8g7VI3KhdCiGEOD0g9QQcaJG4buNtEhGv&#10;Q+y04e9ZuMBlpdGMZt+U69n36khj7AJbWC4MKOI6uI4bC2+7zVUOKiZkh31gsvBFEdbV+VmJhQsn&#10;fqXjNjVKSjgWaKFNaSi0jnVLHuMiDMTiHcLoMYkcG+1GPEm57/W1MZn22LF8aHGgx5bqj+3kLWB2&#10;4z5fDqvn3dOU4X0zm83tu7H28mJpHkAlmtNfGH7wBR0qYdqHiV1UvQUZkn6veHf5SuReQibPDOiq&#10;1P/xq29QSwMEFAAAAAgAh07iQPwHHtAhAgAAMgQAAA4AAABkcnMvZTJvRG9jLnhtbK1TzY7TMBC+&#10;I/EOlu80adWWbdV0hbYqQkKw0sIDuI6TWPIfY7dJeQB4A05cuO9z9TkYO6Ety2UP5JDMZMbfzPfN&#10;eHXbaUUOAry0pqDjUU6JMNyW0tQF/fxp++qGEh+YKZmyRhT0KDy9Xb98sWrdUkxsY1UpgCCI8cvW&#10;FbQJwS2zzPNGaOZH1gmDwcqCZgFdqLMSWIvoWmWTPJ9nrYXSgeXCe/y76YN0QITnANqqklxsLN9r&#10;YUKPCkKxgJR8I52n69RtVQkePlaVF4GogiLTkN5YBO1dfGfrFVvWwFwj+dACe04LTzhpJg0WPUNt&#10;WGBkD/IfKC05WG+rMOJWZz2RpAiyGOdPtHlomBOJC0rt3Vl0//9g+YfDPRBZ4ibg3A3TOPHTj++n&#10;n4+nX9/IJOrTOr/EtAd3D4Pn0Yxkuwp0/CIN0iVNj2dNRRcIx5/TxetJPkO5OcbmN4v5OE+qZ5fj&#10;Dnx4K6wm0Sgo4NCSluzw3gcsial/UmI1b5Ust1Kp5EC9u1NADgwHvE1P7BmP/JWmDGkLuphNZtgI&#10;w62tcFvQ1A6Ze1OnesZGVDzd19sw3/S4CapfFS2DiDJgAWXwE8Xp5YhW6HYdBqO5s+URlcWLhpQa&#10;C18paXHNsNqXPQNBiXpncI6L8XQa9zI50xlqRQlcR3bXEWY4QhUUW+/Nu9Dv8t6BrBuslA9M3uyD&#10;rWRS79LN0C+uUiIwrH3c1Ws/ZV2u+vo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a8sBLNMAAAAG&#10;AQAADwAAAAAAAAABACAAAAAiAAAAZHJzL2Rvd25yZXYueG1sUEsBAhQAFAAAAAgAh07iQPwHHtAh&#10;AgAAMgQAAA4AAAAAAAAAAQAgAAAAIgEAAGRycy9lMm9Eb2MueG1sUEsFBgAAAAAGAAYAWQEAALUF&#10;AAAAAA==&#10;">
                <v:fill on="t" focussize="0,0"/>
                <v:stroke on="f" joinstyle="miter"/>
                <v:imagedata o:title=""/>
                <o:lock v:ext="edit" aspectratio="f"/>
                <v:textbox>
                  <w:txbxContent>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txbxContent>
                </v:textbox>
              </v:rect>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304800</wp:posOffset>
                </wp:positionH>
                <wp:positionV relativeFrom="paragraph">
                  <wp:posOffset>4775835</wp:posOffset>
                </wp:positionV>
                <wp:extent cx="295275" cy="123825"/>
                <wp:effectExtent l="0" t="0" r="0" b="0"/>
                <wp:wrapNone/>
                <wp:docPr id="21" name="左箭头 13"/>
                <wp:cNvGraphicFramePr/>
                <a:graphic xmlns:a="http://schemas.openxmlformats.org/drawingml/2006/main">
                  <a:graphicData uri="http://schemas.microsoft.com/office/word/2010/wordprocessingShape">
                    <wps:wsp>
                      <wps:cNvSpPr/>
                      <wps:spPr>
                        <a:xfrm>
                          <a:off x="0" y="0"/>
                          <a:ext cx="295275" cy="123825"/>
                        </a:xfrm>
                        <a:prstGeom prst="leftArrow">
                          <a:avLst>
                            <a:gd name="adj1" fmla="val 50000"/>
                            <a:gd name="adj2" fmla="val 49999"/>
                          </a:avLst>
                        </a:prstGeom>
                        <a:solidFill>
                          <a:srgbClr val="4F81BD"/>
                        </a:solidFill>
                        <a:ln w="25400" cap="flat" cmpd="sng">
                          <a:solidFill>
                            <a:srgbClr val="243F60"/>
                          </a:solidFill>
                          <a:prstDash val="solid"/>
                          <a:miter/>
                        </a:ln>
                      </wps:spPr>
                      <wps:bodyPr vert="horz" wrap="square" lIns="91440" tIns="45720" rIns="91440" bIns="45720" anchor="t" anchorCtr="0" upright="1">
                        <a:noAutofit/>
                      </wps:bodyPr>
                    </wps:wsp>
                  </a:graphicData>
                </a:graphic>
              </wp:anchor>
            </w:drawing>
          </mc:Choice>
          <mc:Fallback>
            <w:pict>
              <v:shape id="左箭头 13" o:spid="_x0000_s1026" o:spt="66" type="#_x0000_t66" style="position:absolute;left:0pt;margin-left:24pt;margin-top:376.05pt;height:9.75pt;width:23.25pt;z-index:251659264;mso-width-relative:page;mso-height-relative:page;" fillcolor="#4F81BD" filled="t" stroked="t" coordsize="21600,21600" o:gfxdata="UEsDBAoAAAAAAIdO4kAAAAAAAAAAAAAAAAAEAAAAZHJzL1BLAwQUAAAACACHTuJAGwwnBNcAAAAJ&#10;AQAADwAAAGRycy9kb3ducmV2LnhtbE2PzU7DMBCE70i8g7VI3KiTqGnTNE4PIHrrgbYP4NrbJMJ/&#10;it0m8PQsJzjOzmj2m2Y3W8PuOMbBOwH5IgOGTnk9uE7A+fT+UgGLSTotjXco4Asj7NrHh0bW2k/u&#10;A+/H1DEqcbGWAvqUQs15VD1aGRc+oCPv6kcrE8mx43qUE5Vbw4ssW3ErB0cfehnwtUf1ebxZAUkV&#10;85uZ/DVV++9Sh9NB7cNBiOenPNsCSzinvzD84hM6tMR08TenIzMClhVNSQLWZZEDo8BmWQK70GGd&#10;r4C3Df+/oP0BUEsDBBQAAAAIAIdO4kBWadeSTQIAAKYEAAAOAAAAZHJzL2Uyb0RvYy54bWytVEtu&#10;2zAQ3RfoHQjuG1mKnI8ROUhjuChQtAHSHoCmSIsFfx3SltPzFN2lqwI9UdBrdEipiZNusqgW8oxI&#10;vnnvDcdn5zujyVZAUM42tDyYUCIsd62y64Z++rh8dUJJiMy2TDsrGnojAj2fv3xx1vuZqFzndCuA&#10;IIgNs943tIvRz4oi8E4YFg6cFxYXpQPDIqawLlpgPaIbXVSTyVHRO2g9OC5CwK+LYZGOiPAcQCel&#10;4mLh+MYIGwdUEJpFlBQ65QOdZ7ZSCh4/SBlEJLqhqDTmNxbBeJXexfyMzdbAfKf4SIE9h8ITTYYp&#10;i0XvoRYsMrIB9Q+UURxccDIecGeKQUh2BFWUkyfeXHfMi6wFrQ7+3vTw/2D5++0VENU2tCopscxg&#10;x+9+ff/94/bu209SHiaDeh9muO/aX8GYBQyT2p0Ek35RB9llU2/uTRW7SDh+rE6n1fGUEo5LZXV4&#10;Uk0TZvFw2EOIb4QzJAUN1ULGCwDXZz/Z9l2I2dh2ZMfaz8hUGo192jJNphN8xj7u7an299Sn+Ixl&#10;R0Qk8Ldwgg9Oq3aptM4JrFeXGgjCN7RenpSvF+PhR9u0JT3qm9ZYn3CGsyDxDmJoPPoZ7DoreHQk&#10;7CNX9eHyKFNHMo+2JWYLFrqBQV4aFBoVBQz2aYsuptYMzUjRyrU32E0cbvSxc/CVkh6vNnL5smEg&#10;KNFvLd6d07Ku0yzkpJ4eV5jA/spqf4VZjlANRWFDeBmH+dl4UOsOK5VZp3UXm+ikioneA5sxweub&#10;mz6OWpqP/Tzvevh7mf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GwwnBNcAAAAJAQAADwAAAAAA&#10;AAABACAAAAAiAAAAZHJzL2Rvd25yZXYueG1sUEsBAhQAFAAAAAgAh07iQFZp15JNAgAApgQAAA4A&#10;AAAAAAAAAQAgAAAAJgEAAGRycy9lMm9Eb2MueG1sUEsFBgAAAAAGAAYAWQEAAOUFAAAAAA==&#10;" adj="4528,5400">
                <v:fill on="t" focussize="0,0"/>
                <v:stroke weight="2pt" color="#243F60" joinstyle="miter"/>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600075</wp:posOffset>
                </wp:positionH>
                <wp:positionV relativeFrom="paragraph">
                  <wp:posOffset>4518660</wp:posOffset>
                </wp:positionV>
                <wp:extent cx="2419350" cy="495300"/>
                <wp:effectExtent l="0" t="0" r="0" b="0"/>
                <wp:wrapNone/>
                <wp:docPr id="23" name="矩形 12"/>
                <wp:cNvGraphicFramePr/>
                <a:graphic xmlns:a="http://schemas.openxmlformats.org/drawingml/2006/main">
                  <a:graphicData uri="http://schemas.microsoft.com/office/word/2010/wordprocessingShape">
                    <wps:wsp>
                      <wps:cNvSpPr/>
                      <wps:spPr>
                        <a:xfrm>
                          <a:off x="0" y="0"/>
                          <a:ext cx="2419350" cy="495299"/>
                        </a:xfrm>
                        <a:prstGeom prst="rect">
                          <a:avLst/>
                        </a:prstGeom>
                        <a:solidFill>
                          <a:srgbClr val="FFFFFF"/>
                        </a:solidFill>
                        <a:ln w="25400" cap="flat" cmpd="sng">
                          <a:solidFill>
                            <a:srgbClr val="F79646"/>
                          </a:solidFill>
                          <a:prstDash val="solid"/>
                          <a:miter/>
                        </a:ln>
                      </wps:spPr>
                      <wps:txbx>
                        <w:txbxContent>
                          <w:p>
                            <w:pPr>
                              <w:ind w:firstLine="140" w:firstLineChars="50"/>
                              <w:rPr>
                                <w:rFonts w:ascii="仿宋_GB2312" w:eastAsia="仿宋_GB2312"/>
                                <w:sz w:val="28"/>
                                <w:szCs w:val="28"/>
                              </w:rPr>
                            </w:pPr>
                            <w:r>
                              <w:rPr>
                                <w:rFonts w:hint="eastAsia" w:ascii="仿宋_GB2312" w:eastAsia="仿宋_GB2312"/>
                                <w:sz w:val="28"/>
                                <w:szCs w:val="28"/>
                              </w:rPr>
                              <w:t>第三步：完成备案</w:t>
                            </w:r>
                          </w:p>
                        </w:txbxContent>
                      </wps:txbx>
                      <wps:bodyPr vert="horz" wrap="square" lIns="91440" tIns="45720" rIns="91440" bIns="45720" anchor="ctr" anchorCtr="0" upright="0">
                        <a:noAutofit/>
                      </wps:bodyPr>
                    </wps:wsp>
                  </a:graphicData>
                </a:graphic>
              </wp:anchor>
            </w:drawing>
          </mc:Choice>
          <mc:Fallback>
            <w:pict>
              <v:rect id="矩形 12" o:spid="_x0000_s1026" o:spt="1" style="position:absolute;left:0pt;margin-left:47.25pt;margin-top:355.8pt;height:39pt;width:190.5pt;z-index:251659264;v-text-anchor:middle;mso-width-relative:page;mso-height-relative:page;" fillcolor="#FFFFFF" filled="t" stroked="t" coordsize="21600,21600" o:gfxdata="UEsDBAoAAAAAAIdO4kAAAAAAAAAAAAAAAAAEAAAAZHJzL1BLAwQUAAAACACHTuJApz9MpdkAAAAK&#10;AQAADwAAAGRycy9kb3ducmV2LnhtbE2PwU7DMAyG70i8Q2Qkbiwt2rq1NJ0AiQNCQuoAcc0ak1Zr&#10;nKrJ2vL2mBMc/fvT78/lfnG9mHAMnScF6SoBgdR405FV8P72dLMDEaImo3tPqOAbA+yry4tSF8bP&#10;VON0iFZwCYVCK2hjHAopQ9Oi02HlByTeffnR6cjjaKUZ9czlrpe3SZJJpzviC60e8LHF5nQ4OwVz&#10;V38+4+Sz4f51OdkPU+cv9kGp66s0uQMRcYl/MPzqszpU7HT0ZzJB9Ary9YZJBds0zUAwsN5uODly&#10;ssszkFUp/79Q/QBQSwMEFAAAAAgAh07iQMCOkqonAgAAWwQAAA4AAABkcnMvZTJvRG9jLnhtbK1U&#10;S47TQBDdI3GHVu+JE48zQ6I4IzRREBKCkQYO0Gm37Zb6R3UndrgMEjsOwXFGXIPqdshnYDELsnCq&#10;XOXX770qe3Hba0V2Ary0pqST0ZgSYbitpGlK+vnT+tVrSnxgpmLKGlHSvfD0dvnyxaJzc5Hb1qpK&#10;AEEQ4+edK2kbgptnmeet0MyPrBMGi7UFzQKm0GQVsA7Rtcry8fg66yxUDiwX3uPd1VCkB0R4DqCt&#10;a8nFyvKtFiYMqCAUCyjJt9J5ukxs61rw8LGuvQhElRSVhnTFQzDexGu2XLB5A8y1kh8osOdQeKJJ&#10;M2nw0CPUigVGtiD/gtKSg/W2DiNudTYISY6gisn4iTcPLXMiaUGrvTua7v8fLP+wuwciq5LmV5QY&#10;pnHiv779ePz5nUzy6E7n/BybHtw9HDKPYZTa16DjP4ogfXJ0f3RU9IFwvJkXk9nVFM3mWCtm03w2&#10;i6DZ6WkHPrwVVpMYlBRwYslItnvvw9D6pyUe5q2S1VoqlRJoNncKyI7hdNfpd0C/aFOGdEhlWowj&#10;EYY7W+OuYKgd6vamSQdePOIvkG9m18X1v5AjsxXz7cAgIcQ2NtcyCBjYK4N6o4uDbzEK/abHYgw3&#10;ttrjAPB9RPGtha+UdLiNSOvLloGgRL0zOO7ZpCji+qakmN7kmMB5ZXNeYYYjVEl5AEqG5C4MS791&#10;IJsWzxon0ca+2QZby+T0ic+BMe5cmtXh/YhLfZ6nrtM3Yf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pz9MpdkAAAAKAQAADwAAAAAAAAABACAAAAAiAAAAZHJzL2Rvd25yZXYueG1sUEsBAhQAFAAA&#10;AAgAh07iQMCOkqonAgAAWwQAAA4AAAAAAAAAAQAgAAAAKAEAAGRycy9lMm9Eb2MueG1sUEsFBgAA&#10;AAAGAAYAWQEAAMEFAAAAAA==&#10;">
                <v:fill on="t" focussize="0,0"/>
                <v:stroke weight="2pt" color="#F79646" joinstyle="miter"/>
                <v:imagedata o:title=""/>
                <o:lock v:ext="edit" aspectratio="f"/>
                <v:textbox>
                  <w:txbxContent>
                    <w:p>
                      <w:pPr>
                        <w:ind w:firstLine="140" w:firstLineChars="50"/>
                        <w:rPr>
                          <w:rFonts w:ascii="仿宋_GB2312" w:eastAsia="仿宋_GB2312"/>
                          <w:sz w:val="28"/>
                          <w:szCs w:val="28"/>
                        </w:rPr>
                      </w:pPr>
                      <w:r>
                        <w:rPr>
                          <w:rFonts w:hint="eastAsia" w:ascii="仿宋_GB2312" w:eastAsia="仿宋_GB2312"/>
                          <w:sz w:val="28"/>
                          <w:szCs w:val="28"/>
                        </w:rPr>
                        <w:t>第三步：完成备案</w:t>
                      </w:r>
                    </w:p>
                  </w:txbxContent>
                </v:textbox>
              </v:rect>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304800</wp:posOffset>
                </wp:positionH>
                <wp:positionV relativeFrom="paragraph">
                  <wp:posOffset>3070860</wp:posOffset>
                </wp:positionV>
                <wp:extent cx="209550" cy="114300"/>
                <wp:effectExtent l="0" t="0" r="0" b="0"/>
                <wp:wrapNone/>
                <wp:docPr id="26" name="左箭头 11"/>
                <wp:cNvGraphicFramePr/>
                <a:graphic xmlns:a="http://schemas.openxmlformats.org/drawingml/2006/main">
                  <a:graphicData uri="http://schemas.microsoft.com/office/word/2010/wordprocessingShape">
                    <wps:wsp>
                      <wps:cNvSpPr/>
                      <wps:spPr>
                        <a:xfrm>
                          <a:off x="0" y="0"/>
                          <a:ext cx="209550" cy="114300"/>
                        </a:xfrm>
                        <a:prstGeom prst="leftArrow">
                          <a:avLst>
                            <a:gd name="adj1" fmla="val 50000"/>
                            <a:gd name="adj2" fmla="val 50000"/>
                          </a:avLst>
                        </a:prstGeom>
                        <a:solidFill>
                          <a:srgbClr val="4F81BD"/>
                        </a:solidFill>
                        <a:ln w="25400" cap="flat" cmpd="sng">
                          <a:solidFill>
                            <a:srgbClr val="243F60"/>
                          </a:solidFill>
                          <a:prstDash val="solid"/>
                          <a:miter/>
                        </a:ln>
                      </wps:spPr>
                      <wps:bodyPr vert="horz" wrap="square" lIns="91440" tIns="45720" rIns="91440" bIns="45720" anchor="t" anchorCtr="0" upright="1">
                        <a:noAutofit/>
                      </wps:bodyPr>
                    </wps:wsp>
                  </a:graphicData>
                </a:graphic>
              </wp:anchor>
            </w:drawing>
          </mc:Choice>
          <mc:Fallback>
            <w:pict>
              <v:shape id="左箭头 11" o:spid="_x0000_s1026" o:spt="66" type="#_x0000_t66" style="position:absolute;left:0pt;margin-left:24pt;margin-top:241.8pt;height:9pt;width:16.5pt;z-index:251659264;mso-width-relative:page;mso-height-relative:page;" fillcolor="#4F81BD" filled="t" stroked="t" coordsize="21600,21600" o:gfxdata="UEsDBAoAAAAAAIdO4kAAAAAAAAAAAAAAAAAEAAAAZHJzL1BLAwQUAAAACACHTuJARTdx/9kAAAAJ&#10;AQAADwAAAGRycy9kb3ducmV2LnhtbE2PzUvEMBDF74L/QxjBi7hJ/SilNl2KsJfFi1uRPabN2Bab&#10;SW3S/fjvnT3paZh5jze/V6xPbhQHnMPgSUOyUiCQWm8H6jR81Jv7DESIhqwZPaGGMwZYl9dXhcmt&#10;P9I7HnaxExxCITca+hinXMrQ9uhMWPkJibUvPzsTeZ07aWdz5HA3ygelUunMQPyhNxO+9th+7xan&#10;oV5+9nXmN+5zf2enqnrbnptqq/XtTaJeQEQ8xT8zXPAZHUpmavxCNohRw1PGVeJlPqYg2JAlfGg0&#10;PKskBVkW8n+D8hdQSwMEFAAAAAgAh07iQD0FZS5JAgAApgQAAA4AAABkcnMvZTJvRG9jLnhtbK1U&#10;zW4TMRC+I/EOlu9kf7oJbZRNVRoFISGoVHgAx2tnjfyH7WRTngdxgxMST1TxGoy92/wUDj2Qw+7M&#10;zvib+b7xZHa5UxJtmfPC6BoXoxwjpqlphF7X+OOH5YtzjHwguiHSaFbjO+bx5fz5s1lnp6w0rZEN&#10;cwhAtJ92tsZtCHaaZZ62TBE/MpZpCHLjFAngunXWONIBupJZmeeTrDOusc5Q5j18XfRBPCC6pwAa&#10;zgVlC0M3iunQozomSQBKvhXW43nqlnNGw3vOPQtI1hiYhvSEImCv4jObz8h07YhtBR1aIE9p4REn&#10;RYSGonuoBQkEbZz4C0oJ6ow3PIyoUVlPJCkCLIr8kTa3LbEscQGpvd2L7v8fLH23vXFINDUuJxhp&#10;omDi97++/f7x/f7rT1QUUaDO+ink3dobN3gezMh2x52Kb+CBdknUu72obBcQhY9lfjEeg9wUQkVR&#10;neVJ9Oxw2DofXjOjUDRqLBkPV86ZLulJtm99SMI2Q3ek+VRgxJWEOW2JROMcfsMcj3LKf+ZA2QER&#10;rIfCEd4bKZqlkDI5br26lg4BfI2r5XnxahELwJGTNKlRB/zGFdRHlMAucLiDYCoLenq9TgxOjvhj&#10;5LI6W04e1DhJi50tiG/7DlKoZ6hEYHEI0IrU8Iqj6YcRrZVp7mCasNygY2vcF4w6uNrQy+cNcQwj&#10;+UbD3bkoqiruQnKq8csSHHccWR1HiKYAVWMg1pvXod+fjXVi3UKlIvHU5moTDBchtnfoZnDg+qau&#10;h1WL+3Hsp6zD38v8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EU3cf/ZAAAACQEAAA8AAAAAAAAA&#10;AQAgAAAAIgAAAGRycy9kb3ducmV2LnhtbFBLAQIUABQAAAAIAIdO4kA9BWUuSQIAAKYEAAAOAAAA&#10;AAAAAAEAIAAAACgBAABkcnMvZTJvRG9jLnhtbFBLBQYAAAAABgAGAFkBAADjBQAAAAA=&#10;" adj="5890,5400">
                <v:fill on="t" focussize="0,0"/>
                <v:stroke weight="2pt" color="#243F60" joinstyle="miter"/>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304800</wp:posOffset>
                </wp:positionH>
                <wp:positionV relativeFrom="paragraph">
                  <wp:posOffset>1489710</wp:posOffset>
                </wp:positionV>
                <wp:extent cx="190500" cy="104775"/>
                <wp:effectExtent l="0" t="0" r="0" b="0"/>
                <wp:wrapNone/>
                <wp:docPr id="28" name="左箭头 6"/>
                <wp:cNvGraphicFramePr/>
                <a:graphic xmlns:a="http://schemas.openxmlformats.org/drawingml/2006/main">
                  <a:graphicData uri="http://schemas.microsoft.com/office/word/2010/wordprocessingShape">
                    <wps:wsp>
                      <wps:cNvSpPr/>
                      <wps:spPr>
                        <a:xfrm>
                          <a:off x="0" y="0"/>
                          <a:ext cx="190500" cy="104775"/>
                        </a:xfrm>
                        <a:prstGeom prst="leftArrow">
                          <a:avLst>
                            <a:gd name="adj1" fmla="val 50000"/>
                            <a:gd name="adj2" fmla="val 49999"/>
                          </a:avLst>
                        </a:prstGeom>
                        <a:solidFill>
                          <a:srgbClr val="4F81BD"/>
                        </a:solidFill>
                        <a:ln w="25400" cap="flat" cmpd="sng">
                          <a:solidFill>
                            <a:srgbClr val="243F60"/>
                          </a:solidFill>
                          <a:prstDash val="solid"/>
                          <a:miter/>
                        </a:ln>
                      </wps:spPr>
                      <wps:bodyPr vert="horz" wrap="square" lIns="91440" tIns="45720" rIns="91440" bIns="45720" anchor="t" anchorCtr="0" upright="1">
                        <a:noAutofit/>
                      </wps:bodyPr>
                    </wps:wsp>
                  </a:graphicData>
                </a:graphic>
              </wp:anchor>
            </w:drawing>
          </mc:Choice>
          <mc:Fallback>
            <w:pict>
              <v:shape id="左箭头 6" o:spid="_x0000_s1026" o:spt="66" type="#_x0000_t66" style="position:absolute;left:0pt;margin-left:24pt;margin-top:117.3pt;height:8.25pt;width:15pt;z-index:251659264;mso-width-relative:page;mso-height-relative:page;" fillcolor="#4F81BD" filled="t" stroked="t" coordsize="21600,21600" o:gfxdata="UEsDBAoAAAAAAIdO4kAAAAAAAAAAAAAAAAAEAAAAZHJzL1BLAwQUAAAACACHTuJA+KoM0tkAAAAJ&#10;AQAADwAAAGRycy9kb3ducmV2LnhtbE2PwU7DMBBE70j8g7VI3KiTUkoV4lQFwaFICNH2wNGNlzhg&#10;r6PYaQNfz/YEx50dzbwpl6N34oB9bAMpyCcZCKQ6mJYaBbvt09UCREyajHaBUME3RlhW52elLkw4&#10;0hseNqkRHEKx0ApsSl0hZawteh0noUPi30fovU589o00vT5yuHdymmVz6XVL3GB1hw8W66/N4BWs&#10;PseXdbOy74/PP2uZhnvz6oJR6vIiz+5AJBzTnxlO+IwOFTPtw0AmCqdgtuApScH0ejYHwYbbk7Bn&#10;4SbPQVal/L+g+gVQSwMEFAAAAAgAh07iQFlu46FLAgAApQQAAA4AAABkcnMvZTJvRG9jLnhtbK1U&#10;zW4TMRC+I/EOlu90d8OmbaJuqtIoCAlBpcIDOF47a+Q/xk425XkQNzgh8UQVr8HYu7RpufRADhvP&#10;zvjz933j2bPzvdFkJyAoZxtaHZWUCMtdq+ymoR8/rF6cUhIisy3TzoqG3ohAzxfPn531fi4mrnO6&#10;FUAQxIZ57xvaxejnRRF4JwwLR84Li0npwLCIIWyKFliP6EYXk7I8LnoHrQfHRQj4djkk6YgITwF0&#10;Uioulo5vjbBxQAWhWURJoVM+0EVmK6Xg8b2UQUSiG4pKY37iIbhep2exOGPzDTDfKT5SYE+h8EiT&#10;YcrioXdQSxYZ2YL6B8ooDi44GY+4M8UgJDuCKqrykTfXHfMia0Grg78zPfw/WP5udwVEtQ2dYN8t&#10;M9jx21/ffv/4fvv1JzlO/vQ+zLHs2l/BGAVcJrF7CSb9owyyz57e3Hkq9pFwfFnNymmJbnNMVWV9&#10;cjJNmMX9Zg8hvhbOkLRoqBYyXgC4PtvJdm9DzL62IznWfqookUZjm3ZMEwRH+KGNBzWTw5p6hr/x&#10;2BERCfw9OMEHp1W7UlrnADbrSw0E4Rtar06rV8tx84MybUmPtk3rLI/hKEi8gqjUeLQz2E1W8GBL&#10;OESe1C9Xx5k6knlQlpgtWegGBjk1KDQqChjs0xZdTK0ZmpFWa9feYDNxttHHzsEXSnq82cjl85aB&#10;oES/sXh1ZlVdp1HIQT09mWAAh5n1YYZZjlANRWHD8jIO47P1oDYdnlRlndZdbKOTKiZ692zGAG9v&#10;bvo4aWk8DuNcdf91Wf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KoM0tkAAAAJAQAADwAAAAAA&#10;AAABACAAAAAiAAAAZHJzL2Rvd25yZXYueG1sUEsBAhQAFAAAAAgAh07iQFlu46FLAgAApQQAAA4A&#10;AAAAAAAAAQAgAAAAKAEAAGRycy9lMm9Eb2MueG1sUEsFBgAAAAAGAAYAWQEAAOUFAAAAAA==&#10;" adj="5939,5400">
                <v:fill on="t" focussize="0,0"/>
                <v:stroke weight="2pt" color="#243F60" joinstyle="miter"/>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2466975</wp:posOffset>
                </wp:positionH>
                <wp:positionV relativeFrom="paragraph">
                  <wp:posOffset>803275</wp:posOffset>
                </wp:positionV>
                <wp:extent cx="114300" cy="200025"/>
                <wp:effectExtent l="0" t="0" r="0" b="0"/>
                <wp:wrapNone/>
                <wp:docPr id="30" name="下箭头 3"/>
                <wp:cNvGraphicFramePr/>
                <a:graphic xmlns:a="http://schemas.openxmlformats.org/drawingml/2006/main">
                  <a:graphicData uri="http://schemas.microsoft.com/office/word/2010/wordprocessingShape">
                    <wps:wsp>
                      <wps:cNvSpPr/>
                      <wps:spPr>
                        <a:xfrm>
                          <a:off x="0" y="0"/>
                          <a:ext cx="114300" cy="200025"/>
                        </a:xfrm>
                        <a:prstGeom prst="downArrow">
                          <a:avLst>
                            <a:gd name="adj1" fmla="val 50000"/>
                            <a:gd name="adj2" fmla="val 49996"/>
                          </a:avLst>
                        </a:prstGeom>
                        <a:solidFill>
                          <a:srgbClr val="4F81BD"/>
                        </a:solidFill>
                        <a:ln w="25400" cap="flat" cmpd="sng">
                          <a:solidFill>
                            <a:srgbClr val="243F60"/>
                          </a:solidFill>
                          <a:prstDash val="solid"/>
                          <a:miter/>
                        </a:ln>
                      </wps:spPr>
                      <wps:bodyPr vert="horz" wrap="square" lIns="91440" tIns="45720" rIns="91440" bIns="45720" anchor="t" anchorCtr="0" upright="1">
                        <a:noAutofit/>
                      </wps:bodyPr>
                    </wps:wsp>
                  </a:graphicData>
                </a:graphic>
              </wp:anchor>
            </w:drawing>
          </mc:Choice>
          <mc:Fallback>
            <w:pict>
              <v:shape id="下箭头 3" o:spid="_x0000_s1026" o:spt="67" type="#_x0000_t67" style="position:absolute;left:0pt;margin-left:194.25pt;margin-top:63.25pt;height:15.75pt;width:9pt;z-index:251659264;mso-width-relative:page;mso-height-relative:page;" fillcolor="#4F81BD" filled="t" stroked="t" coordsize="21600,21600" o:gfxdata="UEsDBAoAAAAAAIdO4kAAAAAAAAAAAAAAAAAEAAAAZHJzL1BLAwQUAAAACACHTuJAT9VWQ9cAAAAL&#10;AQAADwAAAGRycy9kb3ducmV2LnhtbE2PMU/DMBCFdyT+g3WV2Kjd0FRWiNMBwYDEAAGV9Rq7SdT4&#10;HMVuWv491wm2d/ee3n1Xbi9+ELObYh/IwGqpQDhqgu2pNfD1+XKvQcSEZHEI5Az8uAjb6vamxMKG&#10;M324uU6t4BKKBRroUhoLKWPTOY9xGUZH7B3C5DHxOLXSTnjmcj/ITKmN9NgTX+hwdE+da471yRt4&#10;3q11Y1G+z9+H7O21nrKZ8p0xd4uVegSR3CX9heGKz+hQMdM+nMhGMRh40DrnKBvZhgUn1uoq9rzJ&#10;tQJZlfL/D9UvUEsDBBQAAAAIAIdO4kAINsaeTgIAAKUEAAAOAAAAZHJzL2Uyb0RvYy54bWytVM2O&#10;0zAQviPxDpbvNE2blm216WrZqggJwUoLD+A6TmPkP8Zu0+UVeA2uy4kDDwTiNRg72W27XPbAJfFk&#10;xp+/7xtPzi/2WpGdAC+tKWk+GFIiDLeVNJuSfvywenFGiQ/MVExZI0p6Kzy9WDx/dt66uRjZxqpK&#10;AEEQ4+etK2kTgptnmeeN0MwPrBMGk7UFzQKGsMkqYC2ia5WNhsNp1lqoHFguvMevyy5Je0R4CqCt&#10;a8nF0vKtFiZ0qCAUCyjJN9J5ukhs61rw8L6uvQhElRSVhvTEQ3C9js9scc7mG2CukbynwJ5C4ZEm&#10;zaTBQx+gliwwsgX5D5SWHKy3dRhwq7NOSHIEVeTDR97cNMyJpAWt9u7BdP//YPm73TUQWZV0jJYY&#10;prHjv35+/fP97ve3H2Qc/Wmdn2PZjbuGPvK4jGL3Nej4Rhlknzy9ffBU7APh+DHPi/EQoTmmsP3D&#10;0SRiZofNDnx4LawmcVHSyrbmEsC2yU62e+tD8rXqybHqU05JrRW2accUmSDmfRuPakbHNcVsNpv2&#10;x/aISOD+4AjvrZLVSiqVAtisrxQQhC9psTrLXy37zSdlypAWNU2KJI/hKNR4BVGpdminN5uk4GSL&#10;P0YeFePVNFFHMidlkdmS+aZjkFKRAJtrGQR09imDLsbWdM2Iq7WtbrGZONvoY2PhCyUt3mzk8nnL&#10;QFCi3hi8OrO8KOIopKCYvBxhAMeZ9XGGGY5QJUVh3fIqdOOzdSA3DZ6UJ53GXm6DrWWI9A5s+gBv&#10;b2p6P2lxPI7jVHX4uyz+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E/VVkPXAAAACwEAAA8AAAAA&#10;AAAAAQAgAAAAIgAAAGRycy9kb3ducmV2LnhtbFBLAQIUABQAAAAIAIdO4kAINsaeTgIAAKUEAAAO&#10;AAAAAAAAAAEAIAAAACYBAABkcnMvZTJvRG9jLnhtbFBLBQYAAAAABgAGAFkBAADmBQAAAAA=&#10;" adj="15430,5400">
                <v:fill on="t" focussize="0,0"/>
                <v:stroke weight="2pt" color="#243F60" joinstyle="miter"/>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1800225</wp:posOffset>
                </wp:positionH>
                <wp:positionV relativeFrom="paragraph">
                  <wp:posOffset>146685</wp:posOffset>
                </wp:positionV>
                <wp:extent cx="1504950" cy="514350"/>
                <wp:effectExtent l="0" t="0" r="0" b="0"/>
                <wp:wrapNone/>
                <wp:docPr id="32" name="圆角矩形 1"/>
                <wp:cNvGraphicFramePr/>
                <a:graphic xmlns:a="http://schemas.openxmlformats.org/drawingml/2006/main">
                  <a:graphicData uri="http://schemas.microsoft.com/office/word/2010/wordprocessingShape">
                    <wps:wsp>
                      <wps:cNvSpPr/>
                      <wps:spPr>
                        <a:xfrm>
                          <a:off x="0" y="0"/>
                          <a:ext cx="1504950" cy="514350"/>
                        </a:xfrm>
                        <a:prstGeom prst="roundRect">
                          <a:avLst>
                            <a:gd name="adj" fmla="val 16666"/>
                          </a:avLst>
                        </a:prstGeom>
                        <a:solidFill>
                          <a:srgbClr val="FFFFFF"/>
                        </a:solidFill>
                        <a:ln w="25400" cap="flat" cmpd="sng">
                          <a:solidFill>
                            <a:srgbClr val="F79646"/>
                          </a:solidFill>
                          <a:prstDash val="solid"/>
                          <a:miter/>
                        </a:ln>
                      </wps:spPr>
                      <wps:txbx>
                        <w:txbxContent>
                          <w:p>
                            <w:pPr>
                              <w:jc w:val="center"/>
                              <w:rPr>
                                <w:rFonts w:ascii="黑体" w:eastAsia="黑体"/>
                                <w:sz w:val="32"/>
                                <w:szCs w:val="32"/>
                              </w:rPr>
                            </w:pPr>
                            <w:r>
                              <w:rPr>
                                <w:rFonts w:hint="eastAsia" w:ascii="黑体" w:eastAsia="黑体"/>
                                <w:sz w:val="32"/>
                                <w:szCs w:val="32"/>
                              </w:rPr>
                              <w:t>备案流程</w:t>
                            </w:r>
                          </w:p>
                        </w:txbxContent>
                      </wps:txbx>
                      <wps:bodyPr vert="horz" wrap="square" lIns="91440" tIns="45720" rIns="91440" bIns="45720" anchor="ctr" anchorCtr="0" upright="0">
                        <a:noAutofit/>
                      </wps:bodyPr>
                    </wps:wsp>
                  </a:graphicData>
                </a:graphic>
              </wp:anchor>
            </w:drawing>
          </mc:Choice>
          <mc:Fallback>
            <w:pict>
              <v:roundrect id="圆角矩形 1" o:spid="_x0000_s1026" o:spt="2" style="position:absolute;left:0pt;margin-left:141.75pt;margin-top:11.55pt;height:40.5pt;width:118.5pt;z-index:251659264;v-text-anchor:middle;mso-width-relative:page;mso-height-relative:page;" fillcolor="#FFFFFF" filled="t" stroked="t" coordsize="21600,21600" arcsize="0.166666666666667" o:gfxdata="UEsDBAoAAAAAAIdO4kAAAAAAAAAAAAAAAAAEAAAAZHJzL1BLAwQUAAAACACHTuJARzkabdUAAAAK&#10;AQAADwAAAGRycy9kb3ducmV2LnhtbE2PPU/DMBCGdyT+g3VIbNR2SqsoxKkQAkYkAgOjG7txSnyO&#10;bLdJ/z3HBNt9PHrvuXq3+JGdbUxDQAVyJYBZ7IIZsFfw+fFyVwJLWaPRY0Cr4GIT7Jrrq1pXJsz4&#10;bs9t7hmFYKq0ApfzVHGeOme9TqswWaTdIUSvM7Wx5ybqmcL9yAshttzrAemC05N9crb7bk9eQflq&#10;Cnf5muX2iM/tYwxLesNFqdsbKR6AZbvkPxh+9UkdGnLahxOaxEYFRbneEErFWgIjYFMIGuyJFPcS&#10;eFPz/y80P1BLAwQUAAAACACHTuJAr+QJ+U4CAACRBAAADgAAAGRycy9lMm9Eb2MueG1srVTNjtMw&#10;EL4j8Q6W72ySbtqlVdMV2moREoIVCw/gOk5j5D/GbtPyADwA55WQuCAegsdZwWMwdrI/XS57IId0&#10;JjPz+Ztvxp2f7rQiWwFeWlPR4iinRBhua2nWFf3w/vzZc0p8YKZmyhpR0b3w9HTx9Mm8czMxsq1V&#10;tQCCIMbPOlfRNgQ3yzLPW6GZP7JOGAw2FjQL6MI6q4F1iK5VNsrzSdZZqB1YLrzHr8s+SAdEeAyg&#10;bRrJxdLyjRYm9KggFAvYkm+l83SR2DaN4OFt03gRiKoodhrSGw9BexXf2WLOZmtgrpV8oMAeQ+FB&#10;T5pJg4feQi1ZYGQD8h8oLTlYb5twxK3O+kaSIthFkT/Q5rJlTqReUGrvbkX3/w+Wv9leAJF1RY9H&#10;lBimceLXV1/+/Pj6+9vP61/fSREl6pyfYealu4DB82jGfncN6PiLnZBdknV/K6vYBcLxYzHOy+kY&#10;FecYGxflMdoIk91VO/DhpbCaRKOiYDemfoezS5Ky7Wsfkrb1QJDVHylptMJJbZkixQSfAXFIRuwb&#10;zFjprZL1uVQqObBenSkgWFrR8/QMxQdpypCuoqNxmUfmDDe9wQ1DUztUy5t1IndQ4g+QT6aT8obW&#10;QVpktmS+7RmkUCTAZloGAb0yyqBAUfZe6GiF3Wo3qL+y9R7HhrcY1WotfKakwx1GWp82DAQl6pXB&#10;JZkWZRmXPjnl+GSEDtyPrO5HmOEIVVEegJLeOQv9Vdk4kOsWz8pT08a+2ATbyBC5Rmo9n8HBTU3D&#10;HW5VvAr3/ZR190+y+A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HORpt1QAAAAoBAAAPAAAAAAAA&#10;AAEAIAAAACIAAABkcnMvZG93bnJldi54bWxQSwECFAAUAAAACACHTuJAr+QJ+U4CAACRBAAADgAA&#10;AAAAAAABACAAAAAkAQAAZHJzL2Uyb0RvYy54bWxQSwUGAAAAAAYABgBZAQAA5AUAAAAA&#10;">
                <v:fill on="t" focussize="0,0"/>
                <v:stroke weight="2pt" color="#F79646" joinstyle="miter"/>
                <v:imagedata o:title=""/>
                <o:lock v:ext="edit" aspectratio="f"/>
                <v:textbox>
                  <w:txbxContent>
                    <w:p>
                      <w:pPr>
                        <w:jc w:val="center"/>
                        <w:rPr>
                          <w:rFonts w:ascii="黑体" w:eastAsia="黑体"/>
                          <w:sz w:val="32"/>
                          <w:szCs w:val="32"/>
                        </w:rPr>
                      </w:pPr>
                      <w:r>
                        <w:rPr>
                          <w:rFonts w:hint="eastAsia" w:ascii="黑体" w:eastAsia="黑体"/>
                          <w:sz w:val="32"/>
                          <w:szCs w:val="32"/>
                        </w:rPr>
                        <w:t>备案流程</w:t>
                      </w:r>
                    </w:p>
                  </w:txbxContent>
                </v:textbox>
              </v:roundrect>
            </w:pict>
          </mc:Fallback>
        </mc:AlternateContent>
      </w:r>
    </w:p>
    <w:p/>
    <w:p/>
    <w:p/>
    <w:p/>
    <w:p/>
    <w:p/>
    <w:p/>
    <w:p/>
    <w:p/>
    <w:p/>
    <w:p/>
    <w:p/>
    <w:p/>
    <w:p/>
    <w:p/>
    <w:p/>
    <w:p/>
    <w:p/>
    <w:p/>
    <w:p/>
    <w:p/>
    <w:p/>
    <w:p/>
    <w:p/>
    <w:p/>
    <w:p/>
    <w:p/>
    <w:p/>
    <w:p/>
    <w:p/>
    <w:p/>
    <w:p/>
    <w:p>
      <w:pPr>
        <w:jc w:val="center"/>
        <w:rPr>
          <w:rFonts w:ascii="方正小标宋简体" w:eastAsia="方正小标宋简体"/>
          <w:sz w:val="36"/>
          <w:szCs w:val="36"/>
        </w:rPr>
      </w:pPr>
      <w:r>
        <w:rPr>
          <w:rFonts w:hint="eastAsia" w:ascii="方正小标宋简体" w:eastAsia="方正小标宋简体"/>
          <w:sz w:val="36"/>
          <w:szCs w:val="36"/>
        </w:rPr>
        <w:t>辽宁省养老服务政策扶持清单</w:t>
      </w:r>
    </w:p>
    <w:p>
      <w:pPr>
        <w:rPr>
          <w:rFonts w:ascii="仿宋_GB2312" w:eastAsia="仿宋_GB2312"/>
          <w:sz w:val="32"/>
          <w:szCs w:val="32"/>
        </w:rPr>
      </w:pPr>
    </w:p>
    <w:p>
      <w:pPr>
        <w:rPr>
          <w:rFonts w:ascii="黑体" w:eastAsia="黑体"/>
          <w:sz w:val="32"/>
          <w:szCs w:val="32"/>
        </w:rPr>
      </w:pPr>
      <w:r>
        <w:rPr>
          <w:rFonts w:hint="eastAsia" w:ascii="黑体" w:eastAsia="黑体"/>
          <w:sz w:val="32"/>
          <w:szCs w:val="32"/>
          <w:highlight w:val="yellow"/>
        </w:rPr>
        <w:t>政策依据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1.辽宁省人民政府关于加快发展养老服务业的实施意见（辽政发〔2014〕4号）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2.辽宁省人民政府办公厅关于推进医疗卫生与养老服务结合发展的实施意见（辽政办发〔2016〕56号）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3.辽宁省人民政府办公厅关于印发加快养老服务业发展若干政策的通知（辽政办发〔2014〕46号）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4.辽宁省人民政府办公厅关于全面放开养老服务市场提升养老服务质量的实施意见(辽政办发〔2017〕94号)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5.辽宁省人民政府办公厅关于印发辽宁省进一步扩大旅游文化体育健康养老教育培训等领域消费实施方案的通知（辽政办发〔2017〕109号）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6.省民政厅、省发展改革委、省财政厅、省机关事务管理局关于印发辽宁省养老设施公建民营指导意见（试行）的通知（辽民发〔2017〕75号）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7.辽宁省人民政府办公厅关于制定和实施辽宁省老年人照顾服务项目的实施意见（辽政办发〔2018〕3号）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8.省民政厅 省教育厅 省财政厅 省人力资源和社会保障厅关于开展老年服务与管理类专业毕业生入职养老服务机构补助工作的通知（辽民发〔2018〕88号）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9.省民政厅、省财政厅《关于做好民办非营利性养老机构运营补贴工作的通知》(辽民发〔2018〕94号)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10.省民政厅、中国保监会辽宁监管局、中国保监会大连监管局、省老龄办《关于进一步做好养老机构责任保险工作的通知》(辽民发〔2018〕102号)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11.省民政厅、省财政厅《关于做好申报养老机构责任保险费补贴的通知》(辽民福函〔2018〕232号)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12.省民政厅、辽宁省市场监督管理局关于印发《辽宁省养老服务标准体系建设指南》的通知（辽民发〔2018〕143号）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13.省卫生健康委、省民政厅、省市场监管局关于做好医养结合机构审批登记工作的通知（辽卫发〔2020〕2号）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14.辽宁省人民政府办公厅关于推进养老服务发展的实施意见（辽政办发〔2020〕11号）</w:t>
      </w:r>
    </w:p>
    <w:p>
      <w:pPr>
        <w:spacing w:line="560" w:lineRule="exact"/>
        <w:ind w:firstLine="640" w:firstLineChars="200"/>
        <w:rPr>
          <w:rFonts w:ascii="黑体" w:eastAsia="黑体"/>
          <w:sz w:val="32"/>
          <w:szCs w:val="32"/>
          <w:highlight w:val="yellow"/>
        </w:rPr>
      </w:pPr>
    </w:p>
    <w:p>
      <w:pPr>
        <w:spacing w:line="560" w:lineRule="exact"/>
        <w:ind w:firstLine="640" w:firstLineChars="200"/>
        <w:rPr>
          <w:rFonts w:ascii="黑体" w:eastAsia="黑体"/>
          <w:sz w:val="32"/>
          <w:szCs w:val="32"/>
        </w:rPr>
      </w:pPr>
      <w:r>
        <w:rPr>
          <w:rFonts w:hint="eastAsia" w:ascii="黑体" w:eastAsia="黑体"/>
          <w:sz w:val="32"/>
          <w:szCs w:val="32"/>
          <w:highlight w:val="yellow"/>
        </w:rPr>
        <w:t>具体政策</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1.土地政策</w:t>
      </w:r>
    </w:p>
    <w:p>
      <w:pPr>
        <w:spacing w:line="560" w:lineRule="exact"/>
        <w:ind w:firstLine="643" w:firstLineChars="200"/>
        <w:rPr>
          <w:rFonts w:ascii="仿宋_GB2312" w:eastAsia="仿宋_GB2312"/>
          <w:b/>
          <w:sz w:val="32"/>
          <w:szCs w:val="32"/>
        </w:rPr>
      </w:pPr>
      <w:r>
        <w:rPr>
          <w:rFonts w:hint="eastAsia" w:ascii="楷体_GB2312" w:eastAsia="楷体_GB2312"/>
          <w:b/>
          <w:sz w:val="32"/>
          <w:szCs w:val="32"/>
        </w:rPr>
        <w:t>（1）</w:t>
      </w:r>
      <w:r>
        <w:rPr>
          <w:rFonts w:hint="eastAsia" w:ascii="仿宋_GB2312" w:eastAsia="仿宋_GB2312"/>
          <w:sz w:val="32"/>
          <w:szCs w:val="32"/>
        </w:rPr>
        <w:t>各级政府要将养老服务设施用地纳入年度建设用地供应计划。在制定城市总体规划、控制性详细规划时，必须严格执行人均用地不少于0.1平方米的标准，分区分级规划设置养老服务设施。城镇新建小区级以上规模的住宅项目应按套内建筑面积不低于项目总建筑面积的2‰的标准配建老年活动室、老年人日间照料中心、老年食堂等居家养老服务设施，并与住宅同步规划、同步建设、同步验收、同步无偿交付使用。</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（2）</w:t>
      </w:r>
      <w:r>
        <w:rPr>
          <w:rFonts w:hint="eastAsia" w:ascii="仿宋_GB2312" w:eastAsia="仿宋_GB2312"/>
          <w:sz w:val="32"/>
          <w:szCs w:val="32"/>
        </w:rPr>
        <w:t>民间资本举办的非营利性养老机构与政府举办的养老机构享有相同的土地使用政策，可以依法使用国有划拨土地或者农民集体所有的土地。对养老机构建设用地，用途确定为商服用地——其他商服用地的，采用招标拍卖挂牌出让（租赁）方式供地。原有通过有偿方式取得的养老机构用地，规划用途调整为商服用地——其他商服用地的，可以重新签订出让合同，调整土地出让金。涉及划拨建设用地使用权出让（租赁）或转让的，可办理协议出让或租赁手续，补缴土地出让金（租金）。</w:t>
      </w:r>
    </w:p>
    <w:p>
      <w:pPr>
        <w:spacing w:line="560" w:lineRule="exact"/>
        <w:ind w:firstLine="643" w:firstLineChars="200"/>
        <w:rPr>
          <w:rFonts w:ascii="楷体_GB2312" w:eastAsia="楷体_GB2312"/>
          <w:b/>
          <w:sz w:val="32"/>
          <w:szCs w:val="32"/>
        </w:rPr>
      </w:pPr>
      <w:r>
        <w:rPr>
          <w:rFonts w:hint="eastAsia" w:ascii="仿宋_GB2312" w:eastAsia="仿宋_GB2312"/>
          <w:b/>
          <w:sz w:val="32"/>
          <w:szCs w:val="32"/>
        </w:rPr>
        <w:t>（3）</w:t>
      </w:r>
      <w:r>
        <w:rPr>
          <w:rFonts w:hint="eastAsia" w:ascii="仿宋_GB2312" w:eastAsia="仿宋_GB2312"/>
          <w:sz w:val="32"/>
          <w:szCs w:val="32"/>
        </w:rPr>
        <w:t>鼓励社会力量对闲置医院、学校、企业厂房、商业设施、农村集体房屋及其他可利用的社会资源，进行整合改造后用于养老服务。在符合土地利用总体规划和相关城乡规划前提下，允许利用村集体建设用地建设农村养老机构。对利用集体所有的山坡荒地或其他不影响城乡规划的建设用地建设并用于民办非营利性养老机构的，应当优先办理土地审批手续。</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2.价格税费政策</w:t>
      </w:r>
    </w:p>
    <w:p>
      <w:pPr>
        <w:spacing w:line="560" w:lineRule="exact"/>
        <w:ind w:firstLine="643" w:firstLineChars="200"/>
        <w:rPr>
          <w:rFonts w:ascii="楷体_GB2312" w:eastAsia="楷体_GB2312"/>
          <w:b/>
          <w:sz w:val="32"/>
          <w:szCs w:val="32"/>
        </w:rPr>
      </w:pPr>
      <w:r>
        <w:rPr>
          <w:rFonts w:hint="eastAsia" w:ascii="仿宋_GB2312" w:eastAsia="仿宋_GB2312"/>
          <w:b/>
          <w:sz w:val="32"/>
          <w:szCs w:val="32"/>
        </w:rPr>
        <w:t>（1）</w:t>
      </w:r>
      <w:r>
        <w:rPr>
          <w:rFonts w:hint="eastAsia" w:ascii="仿宋_GB2312" w:eastAsia="仿宋_GB2312"/>
          <w:sz w:val="32"/>
          <w:szCs w:val="32"/>
        </w:rPr>
        <w:t>除对公办养老机构实行政府指导价，由市级价格主管部门会同同级民政部门管理外，其他养老机构根据市场需求自主制定价格。</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（2）</w:t>
      </w:r>
      <w:r>
        <w:rPr>
          <w:rFonts w:hint="eastAsia" w:ascii="仿宋_GB2312" w:eastAsia="仿宋_GB2312"/>
          <w:sz w:val="32"/>
          <w:szCs w:val="32"/>
        </w:rPr>
        <w:t>对养老机构提供的养护服务免征营业税，对非营利性养老服务机构的自用房产和土地免征房产税、城镇土地使用税，取得免税资格的养老服务机构符合税法规定条件的收入作为企业所得税免税收入。鼓励有条件的养老服务机构兼并重组、做大做强，对其在合并、分立、兼并等过程中发生实物资产以及与其相关联的债权、债务和劳动力一并转让涉及的不动产、土地使用权转移行为，不征收营业税。</w:t>
      </w:r>
    </w:p>
    <w:p>
      <w:pPr>
        <w:spacing w:line="560" w:lineRule="exact"/>
        <w:ind w:firstLine="643" w:firstLineChars="200"/>
        <w:rPr>
          <w:rFonts w:ascii="楷体_GB2312" w:eastAsia="楷体_GB2312"/>
          <w:b/>
          <w:sz w:val="32"/>
          <w:szCs w:val="32"/>
        </w:rPr>
      </w:pPr>
      <w:r>
        <w:rPr>
          <w:rFonts w:hint="eastAsia" w:ascii="仿宋_GB2312" w:eastAsia="仿宋_GB2312"/>
          <w:b/>
          <w:sz w:val="32"/>
          <w:szCs w:val="32"/>
        </w:rPr>
        <w:t>（3）</w:t>
      </w:r>
      <w:r>
        <w:rPr>
          <w:rFonts w:hint="eastAsia" w:ascii="仿宋_GB2312" w:eastAsia="仿宋_GB2312"/>
          <w:sz w:val="32"/>
          <w:szCs w:val="32"/>
        </w:rPr>
        <w:t xml:space="preserve">对符合条件的小微型养老服务企业，按照《财政部 国家税务总局关于小型微利企业所得税优惠政策有关问题的通知》（财税〔2014〕34号）、《国家税务总局关于扩大小型微利企业减半征收企业所得税范围有关问题的公告》（国家税务总局公告2014年第23号）、《财政部 国家税务总局关于暂免征收部分小微企业增值税和营业税的通知》（财税〔2013〕52号）和《国家税务总局关于暂免征收部分小微企业增值税和营业税有关问题的公告》（国家税务总局2013年第49号）规定，给予相应扶持。 </w:t>
      </w:r>
    </w:p>
    <w:p>
      <w:pPr>
        <w:spacing w:line="560" w:lineRule="exact"/>
        <w:ind w:firstLine="643" w:firstLineChars="200"/>
        <w:rPr>
          <w:rFonts w:ascii="楷体_GB2312" w:eastAsia="楷体_GB2312"/>
          <w:b/>
          <w:sz w:val="32"/>
          <w:szCs w:val="32"/>
        </w:rPr>
      </w:pPr>
      <w:r>
        <w:rPr>
          <w:rFonts w:hint="eastAsia" w:ascii="仿宋_GB2312" w:eastAsia="仿宋_GB2312"/>
          <w:b/>
          <w:sz w:val="32"/>
          <w:szCs w:val="32"/>
        </w:rPr>
        <w:t>（4）</w:t>
      </w:r>
      <w:r>
        <w:rPr>
          <w:rFonts w:hint="eastAsia" w:ascii="仿宋_GB2312" w:eastAsia="仿宋_GB2312"/>
          <w:sz w:val="32"/>
          <w:szCs w:val="32"/>
        </w:rPr>
        <w:t>对企事业单位、社会团体和个人向非营利性养老机构的捐赠，符合相关规定的，准予在计算其应纳税所得额时按税法规定比例扣除。</w:t>
      </w:r>
    </w:p>
    <w:p>
      <w:pPr>
        <w:spacing w:line="560" w:lineRule="exact"/>
        <w:ind w:firstLine="643" w:firstLineChars="200"/>
        <w:rPr>
          <w:rFonts w:ascii="楷体_GB2312" w:eastAsia="楷体_GB2312"/>
          <w:b/>
          <w:sz w:val="32"/>
          <w:szCs w:val="32"/>
        </w:rPr>
      </w:pPr>
      <w:r>
        <w:rPr>
          <w:rFonts w:hint="eastAsia" w:ascii="仿宋_GB2312" w:eastAsia="仿宋_GB2312"/>
          <w:b/>
          <w:sz w:val="32"/>
          <w:szCs w:val="32"/>
        </w:rPr>
        <w:t>（5）</w:t>
      </w:r>
      <w:r>
        <w:rPr>
          <w:rFonts w:hint="eastAsia" w:ascii="仿宋_GB2312" w:eastAsia="仿宋_GB2312"/>
          <w:sz w:val="32"/>
          <w:szCs w:val="32"/>
        </w:rPr>
        <w:t>对非营利性养老机构建设免征有关行政事业性收费；按照国家有关政策规定，对营利性养老机构建设减半征收有关行政事业性收费；对养老机构提供养老服务适当减免行政事业性收费。符合修建人防工程的养老服务建设项目应首先修建防空地下室，因地质地形等原因无法修建防空地下室的，建设单位可提出申请，经所在地人防主管部门审核，报省人防主管部门批准后，减半收取防空地下室易地建设费。</w:t>
      </w:r>
    </w:p>
    <w:p>
      <w:pPr>
        <w:spacing w:line="560" w:lineRule="exact"/>
        <w:ind w:firstLine="643" w:firstLineChars="200"/>
        <w:rPr>
          <w:rFonts w:ascii="楷体_GB2312" w:eastAsia="楷体_GB2312"/>
          <w:b/>
          <w:sz w:val="32"/>
          <w:szCs w:val="32"/>
        </w:rPr>
      </w:pPr>
      <w:r>
        <w:rPr>
          <w:rFonts w:hint="eastAsia" w:ascii="仿宋_GB2312" w:eastAsia="仿宋_GB2312"/>
          <w:b/>
          <w:sz w:val="32"/>
          <w:szCs w:val="32"/>
        </w:rPr>
        <w:t>（6）</w:t>
      </w:r>
      <w:r>
        <w:rPr>
          <w:rFonts w:hint="eastAsia" w:ascii="仿宋_GB2312" w:eastAsia="仿宋_GB2312"/>
          <w:sz w:val="32"/>
          <w:szCs w:val="32"/>
        </w:rPr>
        <w:t>养老机构和居家养老服务组织用水、用电、用气、用热按照居民缴费标准执行，用水、用气、用热免收相应的配套费。养老机构和居家养老服务组织在新建住宅供电工程统一收费区域内的，工程配套费按照《关于新建住宅供电工程建设收费标准的通知》（辽价发〔2009〕3号）中有关优惠政策执行。在新建住宅供电工程统一收费区域外的，按照国家有关规定，由用户自行委托持有政府有关部门颁发的电力工程施工资质的队伍，自行建设由公共电力设施至养老院的电力设施，电网企业不另行收取配套费。安装电话、有线（数字）电视、宽带互联网按照普通住宅用户收费标准执行。</w:t>
      </w:r>
    </w:p>
    <w:p>
      <w:pPr>
        <w:spacing w:line="560" w:lineRule="exact"/>
        <w:ind w:firstLine="643" w:firstLineChars="200"/>
        <w:rPr>
          <w:rFonts w:ascii="楷体_GB2312" w:eastAsia="楷体_GB2312"/>
          <w:b/>
          <w:sz w:val="32"/>
          <w:szCs w:val="32"/>
        </w:rPr>
      </w:pPr>
      <w:r>
        <w:rPr>
          <w:rFonts w:hint="eastAsia" w:ascii="仿宋_GB2312" w:eastAsia="仿宋_GB2312"/>
          <w:b/>
          <w:sz w:val="32"/>
          <w:szCs w:val="32"/>
        </w:rPr>
        <w:t>（7）</w:t>
      </w:r>
      <w:r>
        <w:rPr>
          <w:rFonts w:hint="eastAsia" w:ascii="仿宋_GB2312" w:eastAsia="仿宋_GB2312"/>
          <w:sz w:val="32"/>
          <w:szCs w:val="32"/>
        </w:rPr>
        <w:t>除法律法规明确的收费项目外，不得对民办养老机构另行收费。凡收费标准设置上、下限的，按有利于民办养老机构发展收取。</w:t>
      </w:r>
    </w:p>
    <w:p>
      <w:pPr>
        <w:spacing w:line="560" w:lineRule="exact"/>
        <w:ind w:firstLine="643" w:firstLineChars="200"/>
        <w:rPr>
          <w:rFonts w:ascii="楷体_GB2312" w:eastAsia="楷体_GB2312"/>
          <w:b/>
          <w:sz w:val="32"/>
          <w:szCs w:val="32"/>
        </w:rPr>
      </w:pPr>
      <w:r>
        <w:rPr>
          <w:rFonts w:hint="eastAsia" w:ascii="仿宋_GB2312" w:eastAsia="仿宋_GB2312"/>
          <w:b/>
          <w:sz w:val="32"/>
          <w:szCs w:val="32"/>
        </w:rPr>
        <w:t>（8）</w:t>
      </w:r>
      <w:r>
        <w:rPr>
          <w:rFonts w:hint="eastAsia" w:ascii="仿宋_GB2312" w:eastAsia="仿宋_GB2312"/>
          <w:sz w:val="32"/>
          <w:szCs w:val="32"/>
        </w:rPr>
        <w:t>居家养老服务企业、进行社区服务业登记或到社区备案的居家养老服务组织和机构，享受家庭服务业相关扶持优惠政策。</w:t>
      </w:r>
    </w:p>
    <w:p>
      <w:pPr>
        <w:spacing w:line="560" w:lineRule="exact"/>
        <w:ind w:firstLine="643" w:firstLineChars="200"/>
        <w:rPr>
          <w:rFonts w:ascii="楷体_GB2312" w:eastAsia="楷体_GB2312"/>
          <w:b/>
          <w:sz w:val="32"/>
          <w:szCs w:val="32"/>
        </w:rPr>
      </w:pPr>
      <w:r>
        <w:rPr>
          <w:rFonts w:hint="eastAsia" w:ascii="仿宋_GB2312" w:eastAsia="仿宋_GB2312"/>
          <w:b/>
          <w:sz w:val="32"/>
          <w:szCs w:val="32"/>
        </w:rPr>
        <w:t>（9）</w:t>
      </w:r>
      <w:r>
        <w:rPr>
          <w:rFonts w:hint="eastAsia" w:ascii="仿宋_GB2312" w:eastAsia="仿宋_GB2312"/>
          <w:sz w:val="32"/>
          <w:szCs w:val="32"/>
        </w:rPr>
        <w:t>海外资本在辽宁省境内以独资、合资、合作等方式举办养老服务机构，享有与国内资本举办养老服务机构相同的税收等优惠政策。</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3.财政政策</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（1）</w:t>
      </w:r>
      <w:r>
        <w:rPr>
          <w:rFonts w:hint="eastAsia" w:ascii="仿宋_GB2312" w:eastAsia="仿宋_GB2312"/>
          <w:sz w:val="32"/>
          <w:szCs w:val="32"/>
        </w:rPr>
        <w:t>省财政每年安排专项资金，按照每个项目统一标准，支持各地维修改造农村特困人员供养服务设施（敬老院）项目建设。</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（2）</w:t>
      </w:r>
      <w:r>
        <w:rPr>
          <w:rFonts w:hint="eastAsia" w:ascii="仿宋_GB2312" w:eastAsia="仿宋_GB2312"/>
          <w:sz w:val="32"/>
          <w:szCs w:val="32"/>
        </w:rPr>
        <w:t>全省实行民办非营利性养老机构运营补贴制度，各市结合实际确定对民办养老机构的具体补贴条件和补贴标准，省财政按照不高于各地实际补贴标准的80%的比例对各地财政给予补助（以各地资金拨付文件为准），最高不超过100元/床/月。</w:t>
      </w:r>
    </w:p>
    <w:p>
      <w:pPr>
        <w:spacing w:line="560" w:lineRule="exact"/>
        <w:ind w:firstLine="643" w:firstLineChars="200"/>
        <w:rPr>
          <w:rFonts w:ascii="楷体_GB2312" w:eastAsia="楷体_GB2312"/>
          <w:sz w:val="32"/>
          <w:szCs w:val="32"/>
        </w:rPr>
      </w:pPr>
      <w:r>
        <w:rPr>
          <w:rFonts w:hint="eastAsia" w:ascii="楷体_GB2312" w:eastAsia="楷体_GB2312"/>
          <w:b/>
          <w:sz w:val="32"/>
          <w:szCs w:val="32"/>
        </w:rPr>
        <w:t>（3）</w:t>
      </w:r>
      <w:r>
        <w:rPr>
          <w:rFonts w:hint="eastAsia" w:ascii="仿宋_GB2312" w:eastAsia="仿宋_GB2312"/>
          <w:sz w:val="32"/>
          <w:szCs w:val="32"/>
        </w:rPr>
        <w:t>全省实行养老机构责任保险费补贴制度，各市鼓励辖区各类养老机构购买机构责任保险，结合实际确定对养老机构购买保险支出费用进行补贴的具体标准，省财政按照各地财政实际支出的80%给予补助（以各地资金拨付文件为准），每床补助不超过60元。</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4.医养结合</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（1）</w:t>
      </w:r>
      <w:r>
        <w:rPr>
          <w:rFonts w:hint="eastAsia" w:ascii="仿宋_GB2312" w:eastAsia="仿宋_GB2312"/>
          <w:sz w:val="32"/>
          <w:szCs w:val="32"/>
        </w:rPr>
        <w:t>促进医疗卫生资源进入养老机构、社区和居民家庭。养老机构可依据服务需求和自身能力，按相关规定申请开办老年病医院、康复医院、护理院、中医医院、临终关怀机构。医疗机构要支持和发展养老服务，有条件的二级以上综合医院应当开设老年病科，增加老年病床数量，做好老年慢病防治和康复护理。支持二级以上综合医院与养老机构合作，创建医养结合型养老机构。</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（2）</w:t>
      </w:r>
      <w:r>
        <w:rPr>
          <w:rFonts w:hint="eastAsia" w:ascii="仿宋_GB2312" w:eastAsia="仿宋_GB2312"/>
          <w:sz w:val="32"/>
          <w:szCs w:val="32"/>
        </w:rPr>
        <w:t>具备法人资格的医疗机构可通过变更登记事项或经营范围开展养老服务，养老机构内设的医疗机构符合基本医疗保险定点条件的，可申请纳入定点范围，入住的参保老年人按规定享受相应待遇。</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5.公建民营</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（1）</w:t>
      </w:r>
      <w:r>
        <w:rPr>
          <w:rFonts w:hint="eastAsia" w:ascii="仿宋_GB2312" w:eastAsia="仿宋_GB2312"/>
          <w:sz w:val="32"/>
          <w:szCs w:val="32"/>
        </w:rPr>
        <w:t>积极推进公建民营，鼓励民间资本通过委托管理、合资合作等方式，运营公有产权的养老服务设施，并享有与公办养老机构同等的扶持政策。</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（2）</w:t>
      </w:r>
      <w:r>
        <w:rPr>
          <w:rFonts w:hint="eastAsia" w:ascii="仿宋_GB2312" w:eastAsia="仿宋_GB2312"/>
          <w:sz w:val="32"/>
          <w:szCs w:val="32"/>
        </w:rPr>
        <w:t>公建民营养老机构按规定享受政府制定的有关民办养老机构税费减免、运营补贴、政府购买服务、投融资、人才队伍保障等政策。</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（3）</w:t>
      </w:r>
      <w:r>
        <w:rPr>
          <w:rFonts w:hint="eastAsia" w:ascii="仿宋_GB2312" w:eastAsia="仿宋_GB2312"/>
          <w:sz w:val="32"/>
          <w:szCs w:val="32"/>
        </w:rPr>
        <w:t>公建民营养老机构收住特困人员的，当地财政应当将其供养经费转入接收机构，用于支付这些对象的生活、照护服务等所需费用。</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6.人才奖补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鼓励引导全日制高等院校、高等职业技术学校、中等职业技术学校老年服务与管理类专业毕业生到民办非营利性养老服务机构（包括养老机构、居家养老服务机构）就业，直接从事一线养老护理服务工作满5年并符合条件，各市自行确定一次性奖励补助标准，省财政按照各地实际入职补助标准给予补助，其中对本科及以上毕业生最高不超过6万元、专科（高职）毕业生最高不超过5万元、中等职业技术学校毕业生最高不超过4万元。有条件的地区，可适当扩大资助范围，提高补助标准。</w:t>
      </w:r>
    </w:p>
    <w:p/>
    <w:p/>
    <w:p/>
    <w:p>
      <w:pPr>
        <w:tabs>
          <w:tab w:val="left" w:pos="360"/>
        </w:tabs>
      </w:pPr>
      <w:r>
        <w:tab/>
      </w:r>
    </w:p>
    <w:bookmarkEnd w:id="0"/>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altName w:val="黑体"/>
    <w:panose1 w:val="03000509000000000000"/>
    <w:charset w:val="86"/>
    <w:family w:val="script"/>
    <w:pitch w:val="default"/>
    <w:sig w:usb0="00000000" w:usb1="00000000" w:usb2="0000001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9</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rsids>
    <w:rsidRoot w:val="00000000"/>
    <w:rsid w:val="182B4E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6">
    <w:name w:val="Default Paragraph Font"/>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uiPriority w:val="0"/>
    <w:pPr>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ITSK.com</Company>
  <Pages>9</Pages>
  <Words>3878</Words>
  <Characters>4040</Characters>
  <Lines>224</Lines>
  <Paragraphs>53</Paragraphs>
  <TotalTime>44</TotalTime>
  <ScaleCrop>false</ScaleCrop>
  <LinksUpToDate>false</LinksUpToDate>
  <CharactersWithSpaces>4051</CharactersWithSpaces>
  <Application>WPS Office_11.1.0.11115_F1E327BC-269C-435d-A152-05C5408002CA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2021-02-07T09:44:00Z</dcterms:created>
  <dc:creator>单军</dc:creator>
  <cp:lastModifiedBy>Administrator</cp:lastModifiedBy>
  <cp:lastPrinted>2021-02-07T10:08:00Z</cp:lastPrinted>
  <dcterms:modified xsi:type="dcterms:W3CDTF">2021-12-09T03:03:59Z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73CDF55C9A684A3D9EF7C1089B17A612</vt:lpwstr>
  </property>
</Properties>
</file>