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rFonts w:asciiTheme="majorEastAsia" w:hAnsiTheme="majorEastAsia" w:eastAsiaTheme="majorEastAsia"/>
          <w:b/>
          <w:sz w:val="44"/>
          <w:szCs w:val="44"/>
        </w:rPr>
      </w:pPr>
    </w:p>
    <w:p>
      <w:pPr>
        <w:spacing w:line="600" w:lineRule="exact"/>
        <w:jc w:val="left"/>
        <w:rPr>
          <w:rFonts w:asciiTheme="majorEastAsia" w:hAnsiTheme="majorEastAsia" w:eastAsiaTheme="majorEastAsia"/>
          <w:b/>
          <w:sz w:val="44"/>
          <w:szCs w:val="44"/>
        </w:rPr>
      </w:pPr>
    </w:p>
    <w:p>
      <w:pPr>
        <w:spacing w:line="600" w:lineRule="exact"/>
        <w:jc w:val="left"/>
        <w:rPr>
          <w:rFonts w:asciiTheme="majorEastAsia" w:hAnsiTheme="majorEastAsia" w:eastAsiaTheme="majorEastAsia"/>
          <w:b/>
          <w:sz w:val="44"/>
          <w:szCs w:val="44"/>
        </w:rPr>
      </w:pPr>
    </w:p>
    <w:p>
      <w:pPr>
        <w:jc w:val="center"/>
        <w:rPr>
          <w:rFonts w:ascii="楷体" w:hAnsi="楷体" w:eastAsia="楷体"/>
          <w:b/>
          <w:sz w:val="72"/>
          <w:szCs w:val="72"/>
        </w:rPr>
      </w:pPr>
      <w:r>
        <w:rPr>
          <w:rFonts w:hint="eastAsia" w:ascii="楷体" w:hAnsi="楷体" w:eastAsia="楷体"/>
          <w:b/>
          <w:sz w:val="72"/>
          <w:szCs w:val="72"/>
        </w:rPr>
        <w:t>中共朝阳市龙城区委机构</w:t>
      </w:r>
    </w:p>
    <w:p>
      <w:pPr>
        <w:jc w:val="center"/>
        <w:rPr>
          <w:rFonts w:ascii="楷体" w:hAnsi="楷体" w:eastAsia="楷体"/>
          <w:b/>
          <w:sz w:val="72"/>
          <w:szCs w:val="72"/>
        </w:rPr>
      </w:pPr>
      <w:r>
        <w:rPr>
          <w:rFonts w:hint="eastAsia" w:ascii="楷体" w:hAnsi="楷体" w:eastAsia="楷体"/>
          <w:b/>
          <w:sz w:val="72"/>
          <w:szCs w:val="72"/>
        </w:rPr>
        <w:t>编制委员会办公室</w:t>
      </w:r>
    </w:p>
    <w:p>
      <w:pPr>
        <w:jc w:val="center"/>
        <w:rPr>
          <w:rFonts w:ascii="楷体" w:hAnsi="楷体" w:eastAsia="楷体"/>
          <w:b/>
          <w:sz w:val="72"/>
          <w:szCs w:val="72"/>
        </w:rPr>
      </w:pPr>
      <w:r>
        <w:rPr>
          <w:rFonts w:hint="eastAsia" w:ascii="楷体" w:hAnsi="楷体" w:eastAsia="楷体"/>
          <w:b/>
          <w:sz w:val="72"/>
          <w:szCs w:val="72"/>
        </w:rPr>
        <w:t>部门预算</w:t>
      </w:r>
    </w:p>
    <w:p>
      <w:pPr>
        <w:jc w:val="center"/>
        <w:rPr>
          <w:rFonts w:ascii="楷体" w:hAnsi="楷体" w:eastAsia="楷体"/>
          <w:b/>
          <w:sz w:val="72"/>
          <w:szCs w:val="72"/>
        </w:rPr>
      </w:pPr>
      <w:r>
        <w:rPr>
          <w:rFonts w:hint="eastAsia" w:ascii="楷体" w:hAnsi="楷体" w:eastAsia="楷体"/>
          <w:b/>
          <w:sz w:val="72"/>
          <w:szCs w:val="72"/>
        </w:rPr>
        <w:t>（2022年）</w:t>
      </w:r>
    </w:p>
    <w:p>
      <w:pPr>
        <w:jc w:val="center"/>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widowControl/>
        <w:spacing w:line="600" w:lineRule="exact"/>
        <w:outlineLvl w:val="0"/>
        <w:rPr>
          <w:rFonts w:cs="宋体" w:asciiTheme="majorEastAsia" w:hAnsiTheme="majorEastAsia" w:eastAsiaTheme="majorEastAsia"/>
          <w:b/>
          <w:bCs/>
          <w:color w:val="333333"/>
          <w:kern w:val="36"/>
          <w:sz w:val="44"/>
          <w:szCs w:val="44"/>
        </w:rPr>
        <w:sectPr>
          <w:pgSz w:w="11906" w:h="16838"/>
          <w:pgMar w:top="1701" w:right="1418" w:bottom="1701" w:left="1701" w:header="851" w:footer="992" w:gutter="0"/>
          <w:cols w:space="425" w:num="1"/>
          <w:docGrid w:type="lines" w:linePitch="312" w:charSpace="0"/>
        </w:sectPr>
      </w:pPr>
    </w:p>
    <w:p>
      <w:pPr>
        <w:widowControl/>
        <w:spacing w:line="600" w:lineRule="exact"/>
        <w:jc w:val="center"/>
        <w:outlineLvl w:val="0"/>
        <w:rPr>
          <w:rFonts w:ascii="宋体" w:hAnsi="宋体" w:eastAsia="宋体" w:cs="宋体"/>
          <w:b/>
          <w:bCs/>
          <w:sz w:val="44"/>
          <w:szCs w:val="44"/>
        </w:rPr>
      </w:pPr>
      <w:r>
        <w:rPr>
          <w:rFonts w:hint="eastAsia" w:ascii="宋体" w:hAnsi="宋体" w:eastAsia="宋体" w:cs="宋体"/>
          <w:b/>
          <w:bCs/>
          <w:color w:val="333333"/>
          <w:kern w:val="36"/>
          <w:sz w:val="44"/>
          <w:szCs w:val="44"/>
        </w:rPr>
        <w:t>2022年龙城区</w:t>
      </w:r>
      <w:r>
        <w:rPr>
          <w:rFonts w:hint="eastAsia" w:ascii="宋体" w:hAnsi="宋体" w:eastAsia="宋体" w:cs="宋体"/>
          <w:b/>
          <w:bCs/>
          <w:sz w:val="44"/>
          <w:szCs w:val="44"/>
        </w:rPr>
        <w:t>委机构编制委员会办公室</w:t>
      </w:r>
    </w:p>
    <w:p>
      <w:pPr>
        <w:widowControl/>
        <w:spacing w:line="600" w:lineRule="exact"/>
        <w:jc w:val="center"/>
        <w:outlineLvl w:val="0"/>
        <w:rPr>
          <w:rFonts w:ascii="宋体" w:hAnsi="宋体" w:eastAsia="宋体" w:cs="宋体"/>
          <w:b/>
          <w:bCs/>
          <w:color w:val="333333"/>
          <w:kern w:val="36"/>
          <w:sz w:val="44"/>
          <w:szCs w:val="44"/>
        </w:rPr>
      </w:pPr>
      <w:r>
        <w:rPr>
          <w:rFonts w:hint="eastAsia" w:ascii="宋体" w:hAnsi="宋体" w:eastAsia="宋体" w:cs="宋体"/>
          <w:b/>
          <w:bCs/>
          <w:color w:val="333333"/>
          <w:kern w:val="36"/>
          <w:sz w:val="44"/>
          <w:szCs w:val="44"/>
        </w:rPr>
        <w:t>部门预算</w:t>
      </w:r>
    </w:p>
    <w:p>
      <w:pPr>
        <w:widowControl/>
        <w:spacing w:line="300" w:lineRule="exact"/>
        <w:jc w:val="center"/>
        <w:outlineLvl w:val="0"/>
        <w:rPr>
          <w:rFonts w:cs="宋体" w:asciiTheme="majorEastAsia" w:hAnsiTheme="majorEastAsia" w:eastAsiaTheme="majorEastAsia"/>
          <w:b/>
          <w:bCs/>
          <w:color w:val="333333"/>
          <w:kern w:val="36"/>
          <w:sz w:val="44"/>
          <w:szCs w:val="44"/>
        </w:rPr>
      </w:pPr>
    </w:p>
    <w:p>
      <w:pPr>
        <w:widowControl/>
        <w:spacing w:line="600" w:lineRule="exact"/>
        <w:jc w:val="center"/>
        <w:rPr>
          <w:rFonts w:cs="宋体" w:asciiTheme="majorEastAsia" w:hAnsiTheme="majorEastAsia" w:eastAsiaTheme="majorEastAsia"/>
          <w:b/>
          <w:bCs/>
          <w:color w:val="333333"/>
          <w:kern w:val="0"/>
          <w:sz w:val="36"/>
          <w:szCs w:val="36"/>
        </w:rPr>
      </w:pPr>
      <w:r>
        <w:rPr>
          <w:rFonts w:hint="eastAsia" w:cs="宋体" w:asciiTheme="majorEastAsia" w:hAnsiTheme="majorEastAsia" w:eastAsiaTheme="majorEastAsia"/>
          <w:b/>
          <w:bCs/>
          <w:color w:val="333333"/>
          <w:kern w:val="0"/>
          <w:sz w:val="36"/>
          <w:szCs w:val="36"/>
        </w:rPr>
        <w:t>目    录</w:t>
      </w:r>
    </w:p>
    <w:p>
      <w:pPr>
        <w:widowControl/>
        <w:spacing w:line="300" w:lineRule="exact"/>
        <w:jc w:val="center"/>
        <w:rPr>
          <w:rFonts w:cs="宋体" w:asciiTheme="majorEastAsia" w:hAnsiTheme="majorEastAsia" w:eastAsiaTheme="majorEastAsia"/>
          <w:b/>
          <w:bCs/>
          <w:color w:val="333333"/>
          <w:kern w:val="0"/>
          <w:sz w:val="36"/>
          <w:szCs w:val="36"/>
        </w:rPr>
      </w:pPr>
    </w:p>
    <w:p>
      <w:pPr>
        <w:widowControl/>
        <w:spacing w:line="500" w:lineRule="exact"/>
        <w:jc w:val="left"/>
        <w:rPr>
          <w:rFonts w:ascii="黑体" w:hAnsi="黑体" w:eastAsia="黑体" w:cs="黑体"/>
          <w:bCs/>
          <w:color w:val="333333"/>
          <w:kern w:val="0"/>
          <w:sz w:val="32"/>
          <w:szCs w:val="32"/>
          <w:shd w:val="clear" w:color="auto" w:fill="FFFFFF"/>
        </w:rPr>
      </w:pPr>
      <w:r>
        <w:rPr>
          <w:rFonts w:hint="eastAsia" w:ascii="黑体" w:hAnsi="黑体" w:eastAsia="黑体" w:cs="黑体"/>
          <w:bCs/>
          <w:color w:val="333333"/>
          <w:kern w:val="0"/>
          <w:sz w:val="32"/>
          <w:szCs w:val="32"/>
          <w:shd w:val="clear" w:color="auto" w:fill="FFFFFF"/>
        </w:rPr>
        <w:t>第一部分   龙城</w:t>
      </w:r>
      <w:r>
        <w:rPr>
          <w:rFonts w:hint="eastAsia" w:ascii="黑体" w:hAnsi="黑体" w:eastAsia="黑体" w:cs="黑体"/>
          <w:bCs/>
          <w:sz w:val="32"/>
          <w:szCs w:val="32"/>
        </w:rPr>
        <w:t>区委机构编制委员会办公室</w:t>
      </w:r>
      <w:r>
        <w:rPr>
          <w:rFonts w:hint="eastAsia" w:ascii="黑体" w:hAnsi="黑体" w:eastAsia="黑体" w:cs="黑体"/>
          <w:bCs/>
          <w:color w:val="333333"/>
          <w:kern w:val="0"/>
          <w:sz w:val="32"/>
          <w:szCs w:val="32"/>
          <w:shd w:val="clear" w:color="auto" w:fill="FFFFFF"/>
        </w:rPr>
        <w:t>概况</w:t>
      </w:r>
    </w:p>
    <w:p>
      <w:pPr>
        <w:widowControl/>
        <w:spacing w:line="500" w:lineRule="exact"/>
        <w:ind w:firstLine="640" w:firstLineChars="200"/>
        <w:jc w:val="left"/>
        <w:rPr>
          <w:rFonts w:ascii="宋体" w:hAnsi="宋体" w:eastAsia="宋体" w:cs="宋体"/>
          <w:bCs/>
          <w:color w:val="333333"/>
          <w:kern w:val="0"/>
          <w:sz w:val="32"/>
          <w:szCs w:val="32"/>
          <w:shd w:val="clear" w:color="auto" w:fill="FFFFFF"/>
        </w:rPr>
      </w:pPr>
      <w:r>
        <w:rPr>
          <w:rFonts w:hint="eastAsia" w:ascii="宋体" w:hAnsi="宋体" w:eastAsia="宋体" w:cs="宋体"/>
          <w:bCs/>
          <w:color w:val="333333"/>
          <w:kern w:val="0"/>
          <w:sz w:val="32"/>
          <w:szCs w:val="32"/>
          <w:shd w:val="clear" w:color="auto" w:fill="FFFFFF"/>
        </w:rPr>
        <w:t>一、主要职责</w:t>
      </w:r>
    </w:p>
    <w:p>
      <w:pPr>
        <w:widowControl/>
        <w:spacing w:line="500" w:lineRule="exact"/>
        <w:ind w:firstLine="640" w:firstLineChars="200"/>
        <w:jc w:val="left"/>
        <w:rPr>
          <w:rFonts w:ascii="宋体" w:hAnsi="宋体" w:eastAsia="宋体" w:cs="宋体"/>
          <w:bCs/>
          <w:color w:val="333333"/>
          <w:kern w:val="0"/>
          <w:sz w:val="32"/>
          <w:szCs w:val="32"/>
          <w:shd w:val="clear" w:color="auto" w:fill="FFFFFF"/>
        </w:rPr>
      </w:pPr>
      <w:r>
        <w:rPr>
          <w:rFonts w:hint="eastAsia" w:ascii="宋体" w:hAnsi="宋体" w:eastAsia="宋体" w:cs="宋体"/>
          <w:bCs/>
          <w:color w:val="333333"/>
          <w:kern w:val="0"/>
          <w:sz w:val="32"/>
          <w:szCs w:val="32"/>
          <w:shd w:val="clear" w:color="auto" w:fill="FFFFFF"/>
        </w:rPr>
        <w:t>二、部门预算单位构成</w:t>
      </w:r>
    </w:p>
    <w:p>
      <w:pPr>
        <w:widowControl/>
        <w:spacing w:line="500" w:lineRule="exact"/>
        <w:jc w:val="left"/>
        <w:rPr>
          <w:rFonts w:ascii="黑体" w:hAnsi="黑体" w:eastAsia="黑体" w:cs="宋体"/>
          <w:bCs/>
          <w:color w:val="333333"/>
          <w:kern w:val="0"/>
          <w:sz w:val="32"/>
          <w:szCs w:val="32"/>
        </w:rPr>
      </w:pPr>
      <w:r>
        <w:rPr>
          <w:rFonts w:hint="eastAsia" w:ascii="黑体" w:hAnsi="黑体" w:eastAsia="黑体" w:cs="黑体"/>
          <w:bCs/>
          <w:color w:val="333333"/>
          <w:kern w:val="0"/>
          <w:sz w:val="32"/>
          <w:szCs w:val="32"/>
          <w:shd w:val="clear" w:color="auto" w:fill="FFFFFF"/>
        </w:rPr>
        <w:t>第二部分    龙城区</w:t>
      </w:r>
      <w:r>
        <w:rPr>
          <w:rFonts w:hint="eastAsia" w:ascii="黑体" w:hAnsi="黑体" w:eastAsia="黑体" w:cs="黑体"/>
          <w:bCs/>
          <w:sz w:val="32"/>
          <w:szCs w:val="32"/>
        </w:rPr>
        <w:t>委机构编制委员会办公室</w:t>
      </w:r>
      <w:r>
        <w:rPr>
          <w:rFonts w:hint="eastAsia" w:ascii="黑体" w:hAnsi="黑体" w:eastAsia="黑体" w:cs="黑体"/>
          <w:bCs/>
          <w:color w:val="333333"/>
          <w:kern w:val="0"/>
          <w:sz w:val="32"/>
          <w:szCs w:val="32"/>
          <w:shd w:val="clear" w:color="auto" w:fill="FFFFFF"/>
        </w:rPr>
        <w:t>2022年部门预算</w:t>
      </w:r>
      <w:r>
        <w:rPr>
          <w:rFonts w:hint="eastAsia" w:ascii="黑体" w:hAnsi="黑体" w:eastAsia="黑体" w:cs="宋体"/>
          <w:bCs/>
          <w:color w:val="333333"/>
          <w:kern w:val="0"/>
          <w:sz w:val="32"/>
          <w:szCs w:val="32"/>
          <w:shd w:val="clear" w:color="auto" w:fill="FFFFFF"/>
        </w:rPr>
        <w:t>情况说明</w:t>
      </w:r>
    </w:p>
    <w:p>
      <w:pPr>
        <w:widowControl/>
        <w:spacing w:line="500" w:lineRule="exact"/>
        <w:jc w:val="left"/>
        <w:rPr>
          <w:rFonts w:ascii="黑体" w:hAnsi="黑体" w:eastAsia="黑体" w:cs="宋体"/>
          <w:bCs/>
          <w:color w:val="333333"/>
          <w:kern w:val="0"/>
          <w:sz w:val="32"/>
          <w:szCs w:val="32"/>
          <w:shd w:val="clear" w:color="auto" w:fill="FFFFFF"/>
        </w:rPr>
      </w:pPr>
      <w:r>
        <w:rPr>
          <w:rFonts w:hint="eastAsia" w:ascii="黑体" w:hAnsi="黑体" w:eastAsia="黑体" w:cs="宋体"/>
          <w:bCs/>
          <w:color w:val="333333"/>
          <w:kern w:val="0"/>
          <w:sz w:val="32"/>
          <w:szCs w:val="32"/>
          <w:shd w:val="clear" w:color="auto" w:fill="FFFFFF"/>
        </w:rPr>
        <w:t>第三部分    名词解释</w:t>
      </w:r>
    </w:p>
    <w:p>
      <w:pPr>
        <w:widowControl/>
        <w:spacing w:line="500" w:lineRule="exact"/>
        <w:jc w:val="left"/>
        <w:rPr>
          <w:rFonts w:ascii="黑体" w:hAnsi="黑体" w:eastAsia="黑体" w:cs="宋体"/>
          <w:bCs/>
          <w:color w:val="333333"/>
          <w:kern w:val="0"/>
          <w:sz w:val="32"/>
          <w:szCs w:val="32"/>
        </w:rPr>
      </w:pPr>
      <w:r>
        <w:rPr>
          <w:rFonts w:hint="eastAsia" w:ascii="黑体" w:hAnsi="黑体" w:eastAsia="黑体" w:cs="宋体"/>
          <w:bCs/>
          <w:color w:val="333333"/>
          <w:kern w:val="0"/>
          <w:sz w:val="32"/>
          <w:szCs w:val="32"/>
          <w:shd w:val="clear" w:color="auto" w:fill="FFFFFF"/>
        </w:rPr>
        <w:t xml:space="preserve">第四部分    </w:t>
      </w:r>
      <w:r>
        <w:rPr>
          <w:rFonts w:hint="eastAsia" w:ascii="黑体" w:hAnsi="黑体" w:eastAsia="黑体" w:cs="宋体"/>
          <w:bCs/>
          <w:color w:val="333333"/>
          <w:kern w:val="0"/>
          <w:sz w:val="32"/>
          <w:szCs w:val="32"/>
        </w:rPr>
        <w:t>2022年龙城</w:t>
      </w:r>
      <w:r>
        <w:rPr>
          <w:rFonts w:hint="eastAsia" w:ascii="黑体" w:hAnsi="黑体" w:eastAsia="黑体" w:cs="黑体"/>
          <w:sz w:val="32"/>
          <w:szCs w:val="32"/>
        </w:rPr>
        <w:t>区委机构编制委员会办公室</w:t>
      </w:r>
      <w:r>
        <w:rPr>
          <w:rFonts w:hint="eastAsia" w:ascii="黑体" w:hAnsi="黑体" w:eastAsia="黑体" w:cs="宋体"/>
          <w:bCs/>
          <w:color w:val="333333"/>
          <w:kern w:val="0"/>
          <w:sz w:val="32"/>
          <w:szCs w:val="32"/>
        </w:rPr>
        <w:t>部门预算批复表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一、收支预算总表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二、收入预算总表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三、支出预算总表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四、财政拨款收支预算总表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五、一般公共预算支出表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六、一般公共预算基本支出表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七、一般公共预算“三公”经费支出表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八、政府性基金预算支出表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九、项目支出预算表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十、支出功能分类预算表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十一、支出经济分类预算表（政府预算）</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十二、支出经济分类预算表（部门预算）</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十三、债务支出预算表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十四、政府采购支出预算表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十五、政府购买服务支出预算表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十六、部门（单位）整体绩效目标表</w:t>
      </w:r>
    </w:p>
    <w:p>
      <w:pPr>
        <w:widowControl/>
        <w:spacing w:line="500" w:lineRule="exact"/>
        <w:ind w:firstLine="640" w:firstLineChars="200"/>
        <w:jc w:val="left"/>
        <w:rPr>
          <w:rFonts w:ascii="宋体" w:hAnsi="宋体" w:eastAsia="宋体" w:cs="宋体"/>
          <w:color w:val="333333"/>
          <w:kern w:val="0"/>
          <w:sz w:val="32"/>
          <w:szCs w:val="32"/>
          <w:shd w:val="clear" w:color="auto" w:fill="FFFFFF"/>
        </w:rPr>
      </w:pPr>
      <w:r>
        <w:rPr>
          <w:rFonts w:hint="eastAsia" w:ascii="宋体" w:hAnsi="宋体" w:eastAsia="宋体" w:cs="宋体"/>
          <w:color w:val="333333"/>
          <w:kern w:val="0"/>
          <w:sz w:val="32"/>
          <w:szCs w:val="32"/>
        </w:rPr>
        <w:t>十七、部门预算项目（政策）绩效目标表</w:t>
      </w:r>
    </w:p>
    <w:p>
      <w:pPr>
        <w:widowControl/>
        <w:spacing w:line="600" w:lineRule="exact"/>
        <w:jc w:val="center"/>
        <w:rPr>
          <w:rFonts w:ascii="黑体" w:hAnsi="黑体" w:eastAsia="黑体" w:cs="黑体"/>
          <w:color w:val="333333"/>
          <w:kern w:val="0"/>
          <w:sz w:val="36"/>
          <w:szCs w:val="36"/>
        </w:rPr>
      </w:pPr>
    </w:p>
    <w:p>
      <w:pPr>
        <w:widowControl/>
        <w:spacing w:line="600" w:lineRule="exact"/>
        <w:jc w:val="center"/>
        <w:rPr>
          <w:rFonts w:ascii="黑体" w:hAnsi="黑体" w:eastAsia="黑体" w:cs="黑体"/>
          <w:color w:val="333333"/>
          <w:kern w:val="0"/>
          <w:sz w:val="36"/>
          <w:szCs w:val="36"/>
        </w:rPr>
      </w:pPr>
      <w:r>
        <w:rPr>
          <w:rFonts w:hint="eastAsia" w:ascii="黑体" w:hAnsi="黑体" w:eastAsia="黑体" w:cs="黑体"/>
          <w:color w:val="333333"/>
          <w:kern w:val="0"/>
          <w:sz w:val="36"/>
          <w:szCs w:val="36"/>
        </w:rPr>
        <w:t xml:space="preserve">第一部分 </w:t>
      </w:r>
      <w:r>
        <w:rPr>
          <w:rFonts w:hint="eastAsia" w:ascii="黑体" w:hAnsi="黑体" w:eastAsia="黑体" w:cs="黑体"/>
          <w:sz w:val="36"/>
          <w:szCs w:val="36"/>
        </w:rPr>
        <w:t>龙城区委机构编制委员会办公室</w:t>
      </w:r>
      <w:r>
        <w:rPr>
          <w:rFonts w:hint="eastAsia" w:ascii="黑体" w:hAnsi="黑体" w:eastAsia="黑体" w:cs="黑体"/>
          <w:color w:val="333333"/>
          <w:kern w:val="0"/>
          <w:sz w:val="36"/>
          <w:szCs w:val="36"/>
        </w:rPr>
        <w:t>概况</w:t>
      </w:r>
    </w:p>
    <w:p>
      <w:pPr>
        <w:spacing w:line="620" w:lineRule="exact"/>
        <w:ind w:firstLine="643" w:firstLineChars="200"/>
        <w:rPr>
          <w:rFonts w:ascii="楷体_GB2312" w:hAnsi="楷体_GB2312" w:eastAsia="楷体_GB2312" w:cs="楷体_GB2312"/>
          <w:b/>
          <w:color w:val="333333"/>
          <w:kern w:val="0"/>
          <w:sz w:val="32"/>
          <w:szCs w:val="32"/>
          <w:shd w:val="clear" w:color="auto" w:fill="FFFFFF"/>
        </w:rPr>
      </w:pPr>
    </w:p>
    <w:p>
      <w:pPr>
        <w:spacing w:line="620" w:lineRule="exact"/>
        <w:ind w:firstLine="643" w:firstLineChars="200"/>
        <w:rPr>
          <w:rFonts w:ascii="宋体" w:hAnsi="宋体"/>
          <w:sz w:val="32"/>
          <w:szCs w:val="32"/>
        </w:rPr>
      </w:pPr>
      <w:r>
        <w:rPr>
          <w:rFonts w:hint="eastAsia" w:ascii="楷体_GB2312" w:hAnsi="楷体_GB2312" w:eastAsia="楷体_GB2312" w:cs="楷体_GB2312"/>
          <w:b/>
          <w:color w:val="333333"/>
          <w:kern w:val="0"/>
          <w:sz w:val="32"/>
          <w:szCs w:val="32"/>
          <w:shd w:val="clear" w:color="auto" w:fill="FFFFFF"/>
        </w:rPr>
        <w:t>一、主要职责</w:t>
      </w:r>
    </w:p>
    <w:p>
      <w:pPr>
        <w:spacing w:line="620" w:lineRule="exact"/>
        <w:ind w:firstLine="480" w:firstLineChars="150"/>
        <w:rPr>
          <w:rFonts w:ascii="仿宋" w:hAnsi="仿宋" w:eastAsia="仿宋" w:cs="仿宋"/>
          <w:sz w:val="32"/>
          <w:szCs w:val="32"/>
        </w:rPr>
      </w:pPr>
      <w:r>
        <w:rPr>
          <w:rFonts w:hint="eastAsia" w:ascii="仿宋" w:hAnsi="仿宋" w:eastAsia="仿宋" w:cs="仿宋"/>
          <w:sz w:val="32"/>
          <w:szCs w:val="32"/>
        </w:rPr>
        <w:t>（一）审核区委、区政府工作部门及部门管理机构的设立、增加、减少、合并及名称变更；审定全区党政群机关内设机构的设立、增加、减少、合并及名称变更。</w:t>
      </w:r>
    </w:p>
    <w:p>
      <w:pPr>
        <w:spacing w:line="620" w:lineRule="exact"/>
        <w:ind w:firstLine="480" w:firstLineChars="150"/>
        <w:rPr>
          <w:rFonts w:ascii="仿宋" w:hAnsi="仿宋" w:eastAsia="仿宋" w:cs="仿宋"/>
          <w:sz w:val="32"/>
          <w:szCs w:val="32"/>
        </w:rPr>
      </w:pPr>
      <w:r>
        <w:rPr>
          <w:rFonts w:hint="eastAsia" w:ascii="仿宋" w:hAnsi="仿宋" w:eastAsia="仿宋" w:cs="仿宋"/>
          <w:sz w:val="32"/>
          <w:szCs w:val="32"/>
        </w:rPr>
        <w:t>（二）审核全区党政工作部门所属事业单位的设立、增加、减少、合并及名称变更。</w:t>
      </w:r>
    </w:p>
    <w:p>
      <w:pPr>
        <w:spacing w:line="620" w:lineRule="exact"/>
        <w:ind w:firstLine="480" w:firstLineChars="150"/>
        <w:rPr>
          <w:rFonts w:ascii="仿宋" w:hAnsi="仿宋" w:eastAsia="仿宋" w:cs="仿宋"/>
          <w:sz w:val="32"/>
          <w:szCs w:val="32"/>
        </w:rPr>
      </w:pPr>
      <w:r>
        <w:rPr>
          <w:rFonts w:hint="eastAsia" w:ascii="仿宋" w:hAnsi="仿宋" w:eastAsia="仿宋" w:cs="仿宋"/>
          <w:sz w:val="32"/>
          <w:szCs w:val="32"/>
        </w:rPr>
        <w:t>（三）研究拟订乡（镇）和区党政群机关部门职能的划分和调整。</w:t>
      </w:r>
    </w:p>
    <w:p>
      <w:pPr>
        <w:spacing w:line="620" w:lineRule="exact"/>
        <w:ind w:firstLine="480" w:firstLineChars="150"/>
        <w:rPr>
          <w:rFonts w:ascii="仿宋" w:hAnsi="仿宋" w:eastAsia="仿宋" w:cs="仿宋"/>
          <w:sz w:val="32"/>
          <w:szCs w:val="32"/>
        </w:rPr>
      </w:pPr>
      <w:r>
        <w:rPr>
          <w:rFonts w:hint="eastAsia" w:ascii="仿宋" w:hAnsi="仿宋" w:eastAsia="仿宋" w:cs="仿宋"/>
          <w:sz w:val="32"/>
          <w:szCs w:val="32"/>
        </w:rPr>
        <w:t>（四）审核全区党政群机关各部门人员编制及编制调整，审核全区财政全部补助、部分补助事业单位编制增减；审核全区事业单位编制总量及调整；审定全区部门所属事业单位之间编制的调整；审定全区经费自理事业单位编制增减与调整。</w:t>
      </w:r>
    </w:p>
    <w:p>
      <w:pPr>
        <w:spacing w:line="620" w:lineRule="exact"/>
        <w:ind w:firstLine="480" w:firstLineChars="150"/>
        <w:rPr>
          <w:rFonts w:ascii="仿宋" w:hAnsi="仿宋" w:eastAsia="仿宋" w:cs="仿宋"/>
          <w:sz w:val="32"/>
          <w:szCs w:val="32"/>
        </w:rPr>
      </w:pPr>
      <w:r>
        <w:rPr>
          <w:rFonts w:hint="eastAsia" w:ascii="仿宋" w:hAnsi="仿宋" w:eastAsia="仿宋" w:cs="仿宋"/>
          <w:sz w:val="32"/>
          <w:szCs w:val="32"/>
        </w:rPr>
        <w:t>（五）审核全区党政群机关及事业单位副科级以上领导职数的配备和调整；审定全区党政群机关及事业单位股级领导职数配备和调整、内设机构名称及变更。</w:t>
      </w:r>
    </w:p>
    <w:p>
      <w:pPr>
        <w:spacing w:line="620" w:lineRule="exact"/>
        <w:ind w:firstLine="480" w:firstLineChars="150"/>
        <w:rPr>
          <w:rFonts w:ascii="仿宋" w:hAnsi="仿宋" w:eastAsia="仿宋" w:cs="仿宋"/>
          <w:sz w:val="32"/>
          <w:szCs w:val="32"/>
        </w:rPr>
      </w:pPr>
      <w:r>
        <w:rPr>
          <w:rFonts w:hint="eastAsia" w:ascii="仿宋" w:hAnsi="仿宋" w:eastAsia="仿宋" w:cs="仿宋"/>
          <w:sz w:val="32"/>
          <w:szCs w:val="32"/>
        </w:rPr>
        <w:t>（六）负责全区事业单位登记管理工作。</w:t>
      </w:r>
    </w:p>
    <w:p>
      <w:pPr>
        <w:spacing w:line="620" w:lineRule="exact"/>
        <w:ind w:firstLine="480" w:firstLineChars="150"/>
        <w:rPr>
          <w:rFonts w:ascii="仿宋" w:hAnsi="仿宋" w:eastAsia="仿宋" w:cs="仿宋"/>
          <w:sz w:val="32"/>
          <w:szCs w:val="32"/>
        </w:rPr>
      </w:pPr>
      <w:r>
        <w:rPr>
          <w:rFonts w:hint="eastAsia" w:ascii="仿宋" w:hAnsi="仿宋" w:eastAsia="仿宋" w:cs="仿宋"/>
          <w:sz w:val="32"/>
          <w:szCs w:val="32"/>
        </w:rPr>
        <w:t>（七）拟订全区机构编制管理的规定和办法。</w:t>
      </w:r>
    </w:p>
    <w:p>
      <w:pPr>
        <w:spacing w:line="620" w:lineRule="exact"/>
        <w:ind w:firstLine="480" w:firstLineChars="150"/>
        <w:rPr>
          <w:rFonts w:ascii="仿宋" w:hAnsi="仿宋" w:eastAsia="仿宋" w:cs="仿宋"/>
          <w:sz w:val="32"/>
          <w:szCs w:val="32"/>
        </w:rPr>
      </w:pPr>
      <w:r>
        <w:rPr>
          <w:rFonts w:hint="eastAsia" w:ascii="仿宋" w:hAnsi="仿宋" w:eastAsia="仿宋" w:cs="仿宋"/>
          <w:sz w:val="32"/>
          <w:szCs w:val="32"/>
        </w:rPr>
        <w:t>（八）拟订全区党委、人大、政协、法院、检察院及群团机关机构改革方案。</w:t>
      </w:r>
    </w:p>
    <w:p>
      <w:pPr>
        <w:spacing w:line="620" w:lineRule="exact"/>
        <w:ind w:firstLine="480" w:firstLineChars="150"/>
        <w:rPr>
          <w:rFonts w:ascii="仿宋" w:hAnsi="仿宋" w:eastAsia="仿宋" w:cs="仿宋"/>
          <w:sz w:val="32"/>
          <w:szCs w:val="32"/>
        </w:rPr>
      </w:pPr>
      <w:r>
        <w:rPr>
          <w:rFonts w:hint="eastAsia" w:ascii="仿宋" w:hAnsi="仿宋" w:eastAsia="仿宋" w:cs="仿宋"/>
          <w:sz w:val="32"/>
          <w:szCs w:val="32"/>
        </w:rPr>
        <w:t>（九）拟订全区行政管理体制改革和政府机构改革方案、事业单位机构改革方案、有审批事项的行政机关和事业单位的审批制度改革方案。</w:t>
      </w:r>
    </w:p>
    <w:p>
      <w:pPr>
        <w:spacing w:line="620" w:lineRule="exact"/>
        <w:ind w:firstLine="480" w:firstLineChars="150"/>
        <w:rPr>
          <w:rFonts w:ascii="仿宋" w:hAnsi="仿宋" w:eastAsia="仿宋" w:cs="仿宋"/>
          <w:sz w:val="32"/>
          <w:szCs w:val="32"/>
        </w:rPr>
      </w:pPr>
      <w:r>
        <w:rPr>
          <w:rFonts w:hint="eastAsia" w:ascii="仿宋" w:hAnsi="仿宋" w:eastAsia="仿宋" w:cs="仿宋"/>
          <w:sz w:val="32"/>
          <w:szCs w:val="32"/>
        </w:rPr>
        <w:t>（十）审核全区党政机构改革方案和全区各部门“三定”规定（方案）。</w:t>
      </w:r>
    </w:p>
    <w:p>
      <w:pPr>
        <w:spacing w:line="620" w:lineRule="exact"/>
        <w:ind w:firstLine="480" w:firstLineChars="150"/>
        <w:rPr>
          <w:rFonts w:ascii="仿宋" w:hAnsi="仿宋" w:eastAsia="仿宋" w:cs="仿宋"/>
          <w:sz w:val="32"/>
          <w:szCs w:val="32"/>
        </w:rPr>
      </w:pPr>
      <w:r>
        <w:rPr>
          <w:rFonts w:hint="eastAsia" w:ascii="仿宋" w:hAnsi="仿宋" w:eastAsia="仿宋" w:cs="仿宋"/>
          <w:sz w:val="32"/>
          <w:szCs w:val="32"/>
        </w:rPr>
        <w:t>（十一）监督检查全区行政管理体制改革和机构改革方案的实施情况。</w:t>
      </w:r>
    </w:p>
    <w:p>
      <w:pPr>
        <w:spacing w:line="620" w:lineRule="exact"/>
        <w:ind w:firstLine="480" w:firstLineChars="150"/>
        <w:rPr>
          <w:rFonts w:ascii="仿宋" w:hAnsi="仿宋" w:eastAsia="仿宋" w:cs="仿宋"/>
          <w:sz w:val="32"/>
          <w:szCs w:val="32"/>
        </w:rPr>
      </w:pPr>
      <w:r>
        <w:rPr>
          <w:rFonts w:hint="eastAsia" w:ascii="仿宋" w:hAnsi="仿宋" w:eastAsia="仿宋" w:cs="仿宋"/>
          <w:sz w:val="32"/>
          <w:szCs w:val="32"/>
        </w:rPr>
        <w:t>（十二）监督检查全区机关、事业单位机构编制执行情况。</w:t>
      </w:r>
    </w:p>
    <w:p>
      <w:pPr>
        <w:spacing w:line="620" w:lineRule="exact"/>
        <w:ind w:firstLine="480" w:firstLineChars="150"/>
        <w:rPr>
          <w:rFonts w:ascii="仿宋" w:hAnsi="仿宋" w:eastAsia="仿宋" w:cs="仿宋"/>
          <w:sz w:val="32"/>
          <w:szCs w:val="32"/>
        </w:rPr>
      </w:pPr>
      <w:r>
        <w:rPr>
          <w:rFonts w:hint="eastAsia" w:ascii="仿宋" w:hAnsi="仿宋" w:eastAsia="仿宋" w:cs="仿宋"/>
          <w:sz w:val="32"/>
          <w:szCs w:val="32"/>
        </w:rPr>
        <w:t>（十三）承办区委、区政府及区机构编制委员会交办的其他事项。</w:t>
      </w:r>
    </w:p>
    <w:p>
      <w:pPr>
        <w:widowControl/>
        <w:spacing w:line="560" w:lineRule="exact"/>
        <w:jc w:val="left"/>
        <w:rPr>
          <w:rFonts w:ascii="仿宋_GB2312" w:hAnsi="仿宋_GB2312" w:eastAsia="仿宋_GB2312" w:cs="仿宋_GB2312"/>
          <w:color w:val="333333"/>
          <w:kern w:val="0"/>
          <w:sz w:val="32"/>
          <w:szCs w:val="32"/>
          <w:shd w:val="clear" w:color="auto" w:fill="FFFFFF"/>
        </w:rPr>
      </w:pPr>
    </w:p>
    <w:p>
      <w:pPr>
        <w:widowControl/>
        <w:spacing w:line="560" w:lineRule="exact"/>
        <w:jc w:val="left"/>
        <w:rPr>
          <w:rFonts w:ascii="仿宋_GB2312" w:hAnsi="宋体" w:eastAsia="仿宋_GB2312" w:cs="宋体"/>
          <w:bCs/>
          <w:color w:val="333333"/>
          <w:kern w:val="0"/>
          <w:sz w:val="32"/>
          <w:szCs w:val="32"/>
          <w:shd w:val="clear" w:color="auto" w:fill="FFFFFF"/>
        </w:rPr>
      </w:pPr>
      <w:r>
        <w:rPr>
          <w:rFonts w:hint="eastAsia" w:ascii="楷体_GB2312" w:hAnsi="楷体_GB2312" w:eastAsia="楷体_GB2312" w:cs="楷体_GB2312"/>
          <w:b/>
          <w:color w:val="333333"/>
          <w:kern w:val="0"/>
          <w:sz w:val="32"/>
          <w:szCs w:val="32"/>
          <w:shd w:val="clear" w:color="auto" w:fill="FFFFFF"/>
        </w:rPr>
        <w:t xml:space="preserve">    二、部门预算单位构成</w:t>
      </w:r>
      <w:r>
        <w:rPr>
          <w:rFonts w:hint="eastAsia" w:ascii="宋体" w:hAnsi="宋体" w:eastAsia="宋体" w:cs="宋体"/>
          <w:color w:val="333333"/>
          <w:kern w:val="0"/>
          <w:sz w:val="32"/>
          <w:szCs w:val="32"/>
        </w:rPr>
        <w:br w:type="textWrapping"/>
      </w:r>
      <w:r>
        <w:rPr>
          <w:rFonts w:hint="eastAsia" w:ascii="仿宋_GB2312" w:hAnsi="宋体" w:eastAsia="仿宋_GB2312" w:cs="宋体"/>
          <w:bCs/>
          <w:color w:val="333333"/>
          <w:kern w:val="0"/>
          <w:sz w:val="32"/>
          <w:szCs w:val="32"/>
          <w:shd w:val="clear" w:color="auto" w:fill="FFFFFF"/>
        </w:rPr>
        <w:t xml:space="preserve">    纳入2022年部门预算编制范围的预算单位包括：</w:t>
      </w:r>
    </w:p>
    <w:p>
      <w:pPr>
        <w:widowControl/>
        <w:spacing w:line="560" w:lineRule="exact"/>
        <w:ind w:firstLine="640" w:firstLineChars="200"/>
        <w:jc w:val="left"/>
        <w:rPr>
          <w:rFonts w:ascii="仿宋" w:hAnsi="仿宋" w:eastAsia="仿宋" w:cs="仿宋"/>
          <w:bCs/>
          <w:kern w:val="0"/>
          <w:sz w:val="32"/>
          <w:szCs w:val="32"/>
          <w:shd w:val="clear" w:color="auto" w:fill="FFFFFF"/>
        </w:rPr>
      </w:pPr>
      <w:r>
        <w:rPr>
          <w:rFonts w:hint="eastAsia" w:ascii="仿宋" w:hAnsi="仿宋" w:eastAsia="仿宋" w:cs="仿宋"/>
          <w:bCs/>
          <w:kern w:val="0"/>
          <w:sz w:val="32"/>
          <w:szCs w:val="32"/>
          <w:shd w:val="clear" w:color="auto" w:fill="FFFFFF"/>
        </w:rPr>
        <w:t>1、龙城区</w:t>
      </w:r>
      <w:r>
        <w:rPr>
          <w:rFonts w:hint="eastAsia" w:ascii="仿宋" w:hAnsi="仿宋" w:eastAsia="仿宋" w:cs="仿宋"/>
          <w:sz w:val="32"/>
          <w:szCs w:val="32"/>
        </w:rPr>
        <w:t>委机构编制委员会办公室</w:t>
      </w:r>
      <w:r>
        <w:rPr>
          <w:rFonts w:hint="eastAsia" w:ascii="仿宋" w:hAnsi="仿宋" w:eastAsia="仿宋" w:cs="仿宋"/>
          <w:bCs/>
          <w:kern w:val="0"/>
          <w:sz w:val="32"/>
          <w:szCs w:val="32"/>
          <w:shd w:val="clear" w:color="auto" w:fill="FFFFFF"/>
        </w:rPr>
        <w:t>本级</w:t>
      </w: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center"/>
        <w:rPr>
          <w:rFonts w:ascii="黑体" w:hAnsi="黑体" w:eastAsia="黑体" w:cs="黑体"/>
          <w:color w:val="333333"/>
          <w:kern w:val="0"/>
          <w:sz w:val="36"/>
          <w:szCs w:val="36"/>
        </w:rPr>
      </w:pPr>
      <w:r>
        <w:rPr>
          <w:rFonts w:hint="eastAsia" w:ascii="黑体" w:hAnsi="黑体" w:eastAsia="黑体" w:cs="黑体"/>
          <w:color w:val="333333"/>
          <w:kern w:val="0"/>
          <w:sz w:val="36"/>
          <w:szCs w:val="36"/>
        </w:rPr>
        <w:t>第二部分 龙城</w:t>
      </w:r>
      <w:r>
        <w:rPr>
          <w:rFonts w:hint="eastAsia" w:ascii="黑体" w:hAnsi="黑体" w:eastAsia="黑体" w:cs="黑体"/>
          <w:bCs/>
          <w:color w:val="333333"/>
          <w:kern w:val="0"/>
          <w:sz w:val="36"/>
          <w:szCs w:val="36"/>
          <w:shd w:val="clear" w:color="auto" w:fill="FFFFFF"/>
        </w:rPr>
        <w:t>区</w:t>
      </w:r>
      <w:r>
        <w:rPr>
          <w:rFonts w:hint="eastAsia" w:ascii="黑体" w:hAnsi="黑体" w:eastAsia="黑体" w:cs="黑体"/>
          <w:sz w:val="36"/>
          <w:szCs w:val="36"/>
        </w:rPr>
        <w:t>委机构编制委员会办公室</w:t>
      </w:r>
      <w:r>
        <w:rPr>
          <w:rFonts w:hint="eastAsia" w:ascii="黑体" w:hAnsi="黑体" w:eastAsia="黑体" w:cs="黑体"/>
          <w:color w:val="333333"/>
          <w:kern w:val="0"/>
          <w:sz w:val="36"/>
          <w:szCs w:val="36"/>
        </w:rPr>
        <w:t>2022年</w:t>
      </w:r>
    </w:p>
    <w:p>
      <w:pPr>
        <w:widowControl/>
        <w:spacing w:line="600" w:lineRule="exact"/>
        <w:jc w:val="center"/>
        <w:rPr>
          <w:rFonts w:ascii="黑体" w:hAnsi="黑体" w:eastAsia="黑体" w:cs="黑体"/>
          <w:color w:val="333333"/>
          <w:kern w:val="0"/>
          <w:sz w:val="36"/>
          <w:szCs w:val="36"/>
        </w:rPr>
      </w:pPr>
      <w:r>
        <w:rPr>
          <w:rFonts w:hint="eastAsia" w:ascii="黑体" w:hAnsi="黑体" w:eastAsia="黑体" w:cs="黑体"/>
          <w:color w:val="333333"/>
          <w:kern w:val="0"/>
          <w:sz w:val="36"/>
          <w:szCs w:val="36"/>
        </w:rPr>
        <w:t>部门预算情况说明</w:t>
      </w:r>
    </w:p>
    <w:p>
      <w:pPr>
        <w:widowControl/>
        <w:spacing w:line="560" w:lineRule="exact"/>
        <w:ind w:firstLine="720" w:firstLineChars="200"/>
        <w:jc w:val="left"/>
        <w:rPr>
          <w:rFonts w:ascii="宋体" w:hAnsi="宋体" w:eastAsia="宋体" w:cs="宋体"/>
          <w:color w:val="333333"/>
          <w:kern w:val="0"/>
          <w:sz w:val="36"/>
          <w:szCs w:val="36"/>
        </w:rPr>
      </w:pPr>
    </w:p>
    <w:p>
      <w:pPr>
        <w:widowControl/>
        <w:spacing w:line="600" w:lineRule="exact"/>
        <w:jc w:val="left"/>
        <w:rPr>
          <w:rFonts w:ascii="宋体" w:hAnsi="宋体" w:eastAsia="宋体" w:cs="宋体"/>
          <w:color w:val="333333"/>
          <w:kern w:val="0"/>
          <w:sz w:val="32"/>
          <w:szCs w:val="32"/>
        </w:rPr>
      </w:pPr>
      <w:r>
        <w:rPr>
          <w:rFonts w:hint="eastAsia" w:ascii="楷体_GB2312" w:hAnsi="楷体_GB2312" w:eastAsia="楷体_GB2312" w:cs="楷体_GB2312"/>
          <w:b/>
          <w:bCs/>
          <w:color w:val="333333"/>
          <w:kern w:val="0"/>
          <w:sz w:val="32"/>
          <w:szCs w:val="32"/>
        </w:rPr>
        <w:t xml:space="preserve">    一、收支预算的总体情况</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按照综合预算的原则，2022 年所有收入和支出均纳入部门预算管理。其中：</w:t>
      </w:r>
    </w:p>
    <w:p>
      <w:pPr>
        <w:widowControl/>
        <w:spacing w:line="60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（一）收入预算</w:t>
      </w:r>
      <w:r>
        <w:rPr>
          <w:rFonts w:hint="eastAsia" w:ascii="仿宋_GB2312" w:hAnsi="仿宋_GB2312" w:eastAsia="仿宋_GB2312" w:cs="仿宋_GB2312"/>
          <w:color w:val="333333"/>
          <w:kern w:val="0"/>
          <w:sz w:val="32"/>
          <w:szCs w:val="32"/>
          <w:highlight w:val="none"/>
          <w:lang w:val="en-US" w:eastAsia="zh-CN"/>
        </w:rPr>
        <w:t>90.34</w:t>
      </w:r>
      <w:r>
        <w:rPr>
          <w:rFonts w:hint="eastAsia" w:ascii="仿宋_GB2312" w:hAnsi="仿宋_GB2312" w:eastAsia="仿宋_GB2312" w:cs="仿宋_GB2312"/>
          <w:color w:val="333333"/>
          <w:kern w:val="0"/>
          <w:sz w:val="32"/>
          <w:szCs w:val="32"/>
          <w:highlight w:val="none"/>
        </w:rPr>
        <w:t>万元，包括：</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1.一般公共预算拨款收入90.34万元；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2.政府性基金预算拨款收入0万元；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3.国有资本经营预算拨款收入0万元；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4.财政专户管理资金收入0万元；</w:t>
      </w:r>
      <w:bookmarkStart w:id="0" w:name="_GoBack"/>
      <w:bookmarkEnd w:id="0"/>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5.单位资金收入0万元；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6.上年结转结余0万元。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（二）支出预算90.34万元，包括：</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1.基本支出87.34万元；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2.项目支出3.00万元。</w:t>
      </w:r>
    </w:p>
    <w:p>
      <w:pPr>
        <w:widowControl/>
        <w:spacing w:line="60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在支出预算90.34万元中，债务支出0万元，政府采购支出0万元，政府购买服务支出0万元。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2022年预算收支比 2021年增加10.92万元。</w:t>
      </w:r>
    </w:p>
    <w:p>
      <w:pPr>
        <w:widowControl/>
        <w:spacing w:line="60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二、机关运行经费安排情况</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2022年机关运行经费预算为</w:t>
      </w:r>
      <w:r>
        <w:rPr>
          <w:rFonts w:hint="eastAsia" w:ascii="仿宋_GB2312" w:hAnsi="仿宋_GB2312" w:eastAsia="仿宋_GB2312" w:cs="仿宋_GB2312"/>
          <w:kern w:val="0"/>
          <w:sz w:val="32"/>
          <w:szCs w:val="32"/>
        </w:rPr>
        <w:t>4.50</w:t>
      </w:r>
      <w:r>
        <w:rPr>
          <w:rFonts w:hint="eastAsia" w:ascii="仿宋_GB2312" w:hAnsi="仿宋_GB2312" w:eastAsia="仿宋_GB2312" w:cs="仿宋_GB2312"/>
          <w:color w:val="333333"/>
          <w:kern w:val="0"/>
          <w:sz w:val="32"/>
          <w:szCs w:val="32"/>
        </w:rPr>
        <w:t>万元。主要包括办公费、印刷费、邮电费、差旅费、会议费、水电费、公务用车运行维护费等。</w:t>
      </w:r>
    </w:p>
    <w:p>
      <w:pPr>
        <w:widowControl/>
        <w:spacing w:line="54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三、政府采购情况</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2022年预算无政府采购项目。</w:t>
      </w:r>
    </w:p>
    <w:p>
      <w:pPr>
        <w:widowControl/>
        <w:spacing w:line="54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四、 “三公”经费预算情况</w:t>
      </w:r>
    </w:p>
    <w:p>
      <w:pPr>
        <w:widowControl/>
        <w:spacing w:line="540" w:lineRule="exact"/>
        <w:jc w:val="left"/>
        <w:rPr>
          <w:rFonts w:ascii="仿宋_GB2312" w:hAnsi="仿宋_GB2312" w:eastAsia="仿宋_GB2312" w:cs="仿宋_GB2312"/>
          <w:kern w:val="0"/>
          <w:sz w:val="32"/>
          <w:szCs w:val="32"/>
        </w:rPr>
      </w:pPr>
      <w:r>
        <w:rPr>
          <w:rFonts w:hint="eastAsia" w:ascii="仿宋_GB2312" w:hAnsi="仿宋_GB2312" w:eastAsia="仿宋_GB2312" w:cs="仿宋_GB2312"/>
          <w:color w:val="333333"/>
          <w:kern w:val="0"/>
          <w:sz w:val="32"/>
          <w:szCs w:val="32"/>
        </w:rPr>
        <w:t>按照中央及省委、省政府关于厉行节约、改进工作作风、密切联系群众“八项规定”等有关要求，严格控制“三公”经费支出，压减公务接待费和公务用车购置及运行费。一般公共预算</w:t>
      </w:r>
      <w:r>
        <w:rPr>
          <w:rFonts w:hint="eastAsia" w:ascii="仿宋_GB2312" w:hAnsi="仿宋_GB2312" w:eastAsia="仿宋_GB2312" w:cs="仿宋_GB2312"/>
          <w:kern w:val="0"/>
          <w:sz w:val="32"/>
          <w:szCs w:val="32"/>
        </w:rPr>
        <w:t>安排的“三公”经费预算数0万元，与上年持平。</w:t>
      </w:r>
    </w:p>
    <w:p>
      <w:pPr>
        <w:widowControl/>
        <w:spacing w:line="54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其中：</w:t>
      </w:r>
    </w:p>
    <w:p>
      <w:pPr>
        <w:widowControl/>
        <w:spacing w:line="54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因公出国（境）费0万元，与上年持平。</w:t>
      </w:r>
    </w:p>
    <w:p>
      <w:pPr>
        <w:widowControl/>
        <w:spacing w:line="54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公务接待费0万元，与上年持平；</w:t>
      </w:r>
    </w:p>
    <w:p>
      <w:pPr>
        <w:widowControl/>
        <w:spacing w:line="54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公务用车运行费0万元，与上年持平。</w:t>
      </w:r>
    </w:p>
    <w:p>
      <w:pPr>
        <w:widowControl/>
        <w:spacing w:line="540" w:lineRule="exact"/>
        <w:ind w:firstLine="643" w:firstLineChars="200"/>
        <w:jc w:val="left"/>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五、国有资产占用情况</w:t>
      </w:r>
    </w:p>
    <w:p>
      <w:pPr>
        <w:widowControl/>
        <w:spacing w:line="54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2022年年初预算购置车辆 0台，金额 0万元，单位价值 50 万元以上的通用设备0 台，单位价值 100万元以上的专用设备 0台。</w:t>
      </w:r>
    </w:p>
    <w:p>
      <w:pPr>
        <w:widowControl/>
        <w:spacing w:line="540" w:lineRule="exact"/>
        <w:ind w:firstLine="643" w:firstLineChars="200"/>
        <w:jc w:val="left"/>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六、预算绩效目标情况</w:t>
      </w:r>
    </w:p>
    <w:p>
      <w:pPr>
        <w:widowControl/>
        <w:spacing w:line="54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根据预算绩效管理要求，2022年应编制部门（单位）整体绩效目标共1个，实际编制部门（单位）整体绩效目标共1个，编制部门（单位）整体绩效目标覆盖率（实际编制绩效目标的数量/应编制绩效目标的数量）为100%。应编制绩效目标的特定目标类项目共0个，实际编制绩效目标的特定目标类项目共0个,涉及资金0万元，编制特定目标的项目覆盖率（实际编制绩效目标的数量/应编制绩效目标的数量）为100%。</w:t>
      </w:r>
    </w:p>
    <w:p>
      <w:pPr>
        <w:widowControl/>
        <w:spacing w:line="600" w:lineRule="exact"/>
        <w:jc w:val="center"/>
        <w:rPr>
          <w:rFonts w:ascii="黑体" w:hAnsi="黑体" w:eastAsia="黑体" w:cs="黑体"/>
          <w:color w:val="333333"/>
          <w:kern w:val="0"/>
          <w:sz w:val="36"/>
          <w:szCs w:val="36"/>
        </w:rPr>
      </w:pPr>
    </w:p>
    <w:p>
      <w:pPr>
        <w:widowControl/>
        <w:spacing w:line="600" w:lineRule="exact"/>
        <w:jc w:val="center"/>
        <w:rPr>
          <w:rFonts w:ascii="黑体" w:hAnsi="黑体" w:eastAsia="黑体" w:cs="黑体"/>
          <w:color w:val="333333"/>
          <w:kern w:val="0"/>
          <w:sz w:val="36"/>
          <w:szCs w:val="36"/>
        </w:rPr>
      </w:pPr>
    </w:p>
    <w:p>
      <w:pPr>
        <w:widowControl/>
        <w:spacing w:line="600" w:lineRule="exact"/>
        <w:jc w:val="center"/>
        <w:rPr>
          <w:rFonts w:ascii="黑体" w:hAnsi="黑体" w:eastAsia="黑体" w:cs="黑体"/>
          <w:color w:val="333333"/>
          <w:kern w:val="0"/>
          <w:sz w:val="36"/>
          <w:szCs w:val="36"/>
        </w:rPr>
      </w:pPr>
    </w:p>
    <w:p>
      <w:pPr>
        <w:widowControl/>
        <w:spacing w:line="600" w:lineRule="exact"/>
        <w:jc w:val="center"/>
        <w:rPr>
          <w:rFonts w:ascii="黑体" w:hAnsi="黑体" w:eastAsia="黑体" w:cs="黑体"/>
          <w:color w:val="333333"/>
          <w:kern w:val="0"/>
          <w:sz w:val="36"/>
          <w:szCs w:val="36"/>
        </w:rPr>
      </w:pPr>
    </w:p>
    <w:p>
      <w:pPr>
        <w:widowControl/>
        <w:spacing w:line="600" w:lineRule="exact"/>
        <w:jc w:val="center"/>
        <w:rPr>
          <w:rFonts w:ascii="黑体" w:hAnsi="黑体" w:eastAsia="黑体" w:cs="黑体"/>
          <w:color w:val="333333"/>
          <w:kern w:val="0"/>
          <w:sz w:val="36"/>
          <w:szCs w:val="36"/>
        </w:rPr>
      </w:pPr>
    </w:p>
    <w:p>
      <w:pPr>
        <w:widowControl/>
        <w:spacing w:line="600" w:lineRule="exact"/>
        <w:jc w:val="center"/>
        <w:rPr>
          <w:rFonts w:ascii="黑体" w:hAnsi="黑体" w:eastAsia="黑体" w:cs="黑体"/>
          <w:color w:val="333333"/>
          <w:kern w:val="0"/>
          <w:sz w:val="36"/>
          <w:szCs w:val="36"/>
        </w:rPr>
      </w:pPr>
    </w:p>
    <w:p>
      <w:pPr>
        <w:widowControl/>
        <w:spacing w:line="600" w:lineRule="exact"/>
        <w:jc w:val="center"/>
        <w:rPr>
          <w:rFonts w:ascii="黑体" w:hAnsi="黑体" w:eastAsia="黑体" w:cs="黑体"/>
          <w:color w:val="333333"/>
          <w:kern w:val="0"/>
          <w:sz w:val="36"/>
          <w:szCs w:val="36"/>
        </w:rPr>
      </w:pPr>
    </w:p>
    <w:p>
      <w:pPr>
        <w:widowControl/>
        <w:spacing w:line="600" w:lineRule="exact"/>
        <w:jc w:val="center"/>
        <w:rPr>
          <w:rFonts w:ascii="黑体" w:hAnsi="黑体" w:eastAsia="黑体" w:cs="黑体"/>
          <w:color w:val="333333"/>
          <w:kern w:val="0"/>
          <w:sz w:val="36"/>
          <w:szCs w:val="36"/>
        </w:rPr>
      </w:pPr>
    </w:p>
    <w:p>
      <w:pPr>
        <w:widowControl/>
        <w:spacing w:line="600" w:lineRule="exact"/>
        <w:jc w:val="center"/>
        <w:rPr>
          <w:rFonts w:ascii="黑体" w:hAnsi="黑体" w:eastAsia="黑体" w:cs="黑体"/>
          <w:color w:val="333333"/>
          <w:kern w:val="0"/>
          <w:sz w:val="36"/>
          <w:szCs w:val="36"/>
        </w:rPr>
      </w:pPr>
    </w:p>
    <w:p>
      <w:pPr>
        <w:widowControl/>
        <w:spacing w:line="600" w:lineRule="exact"/>
        <w:jc w:val="center"/>
        <w:rPr>
          <w:rFonts w:ascii="黑体" w:hAnsi="黑体" w:eastAsia="黑体" w:cs="黑体"/>
          <w:color w:val="333333"/>
          <w:kern w:val="0"/>
          <w:sz w:val="36"/>
          <w:szCs w:val="36"/>
        </w:rPr>
      </w:pPr>
    </w:p>
    <w:p>
      <w:pPr>
        <w:widowControl/>
        <w:spacing w:line="600" w:lineRule="exact"/>
        <w:jc w:val="center"/>
        <w:rPr>
          <w:rFonts w:ascii="黑体" w:hAnsi="黑体" w:eastAsia="黑体" w:cs="黑体"/>
          <w:color w:val="333333"/>
          <w:kern w:val="0"/>
          <w:sz w:val="36"/>
          <w:szCs w:val="36"/>
        </w:rPr>
      </w:pPr>
    </w:p>
    <w:p>
      <w:pPr>
        <w:widowControl/>
        <w:spacing w:line="600" w:lineRule="exact"/>
        <w:jc w:val="center"/>
        <w:rPr>
          <w:rFonts w:ascii="黑体" w:hAnsi="黑体" w:eastAsia="黑体" w:cs="黑体"/>
          <w:color w:val="333333"/>
          <w:kern w:val="0"/>
          <w:sz w:val="36"/>
          <w:szCs w:val="36"/>
        </w:rPr>
      </w:pPr>
    </w:p>
    <w:p>
      <w:pPr>
        <w:widowControl/>
        <w:spacing w:line="600" w:lineRule="exact"/>
        <w:jc w:val="center"/>
        <w:rPr>
          <w:rFonts w:ascii="黑体" w:hAnsi="黑体" w:eastAsia="黑体" w:cs="黑体"/>
          <w:color w:val="333333"/>
          <w:kern w:val="0"/>
          <w:sz w:val="36"/>
          <w:szCs w:val="36"/>
        </w:rPr>
      </w:pPr>
    </w:p>
    <w:p>
      <w:pPr>
        <w:widowControl/>
        <w:spacing w:line="600" w:lineRule="exact"/>
        <w:jc w:val="center"/>
        <w:rPr>
          <w:rFonts w:ascii="黑体" w:hAnsi="黑体" w:eastAsia="黑体" w:cs="黑体"/>
          <w:color w:val="333333"/>
          <w:kern w:val="0"/>
          <w:sz w:val="36"/>
          <w:szCs w:val="36"/>
        </w:rPr>
      </w:pPr>
    </w:p>
    <w:p>
      <w:pPr>
        <w:widowControl/>
        <w:spacing w:line="600" w:lineRule="exact"/>
        <w:jc w:val="center"/>
        <w:rPr>
          <w:rFonts w:ascii="黑体" w:hAnsi="黑体" w:eastAsia="黑体" w:cs="黑体"/>
          <w:color w:val="333333"/>
          <w:kern w:val="0"/>
          <w:sz w:val="36"/>
          <w:szCs w:val="36"/>
        </w:rPr>
      </w:pPr>
    </w:p>
    <w:p>
      <w:pPr>
        <w:widowControl/>
        <w:spacing w:line="600" w:lineRule="exact"/>
        <w:jc w:val="center"/>
        <w:rPr>
          <w:rFonts w:ascii="黑体" w:hAnsi="黑体" w:eastAsia="黑体" w:cs="黑体"/>
          <w:color w:val="333333"/>
          <w:kern w:val="0"/>
          <w:sz w:val="36"/>
          <w:szCs w:val="36"/>
        </w:rPr>
      </w:pPr>
    </w:p>
    <w:p>
      <w:pPr>
        <w:widowControl/>
        <w:spacing w:line="600" w:lineRule="exact"/>
        <w:jc w:val="center"/>
        <w:rPr>
          <w:rFonts w:ascii="黑体" w:hAnsi="黑体" w:eastAsia="黑体" w:cs="黑体"/>
          <w:color w:val="333333"/>
          <w:kern w:val="0"/>
          <w:sz w:val="36"/>
          <w:szCs w:val="36"/>
        </w:rPr>
      </w:pPr>
    </w:p>
    <w:p>
      <w:pPr>
        <w:widowControl/>
        <w:spacing w:line="600" w:lineRule="exact"/>
        <w:jc w:val="center"/>
        <w:rPr>
          <w:rFonts w:ascii="黑体" w:hAnsi="黑体" w:eastAsia="黑体" w:cs="黑体"/>
          <w:color w:val="333333"/>
          <w:kern w:val="0"/>
          <w:sz w:val="36"/>
          <w:szCs w:val="36"/>
        </w:rPr>
      </w:pPr>
    </w:p>
    <w:p>
      <w:pPr>
        <w:widowControl/>
        <w:spacing w:line="600" w:lineRule="exact"/>
        <w:jc w:val="center"/>
        <w:rPr>
          <w:rFonts w:ascii="黑体" w:hAnsi="黑体" w:eastAsia="黑体" w:cs="黑体"/>
          <w:color w:val="333333"/>
          <w:kern w:val="0"/>
          <w:sz w:val="36"/>
          <w:szCs w:val="36"/>
        </w:rPr>
      </w:pPr>
    </w:p>
    <w:p>
      <w:pPr>
        <w:widowControl/>
        <w:spacing w:line="600" w:lineRule="exact"/>
        <w:jc w:val="center"/>
        <w:rPr>
          <w:rFonts w:ascii="黑体" w:hAnsi="黑体" w:eastAsia="黑体" w:cs="黑体"/>
          <w:color w:val="333333"/>
          <w:kern w:val="0"/>
          <w:sz w:val="36"/>
          <w:szCs w:val="36"/>
        </w:rPr>
      </w:pPr>
    </w:p>
    <w:p>
      <w:pPr>
        <w:widowControl/>
        <w:spacing w:line="600" w:lineRule="exact"/>
        <w:jc w:val="center"/>
        <w:rPr>
          <w:rFonts w:ascii="黑体" w:hAnsi="黑体" w:eastAsia="黑体" w:cs="黑体"/>
          <w:color w:val="333333"/>
          <w:kern w:val="0"/>
          <w:sz w:val="36"/>
          <w:szCs w:val="36"/>
        </w:rPr>
      </w:pPr>
      <w:r>
        <w:rPr>
          <w:rFonts w:hint="eastAsia" w:ascii="黑体" w:hAnsi="黑体" w:eastAsia="黑体" w:cs="黑体"/>
          <w:color w:val="333333"/>
          <w:kern w:val="0"/>
          <w:sz w:val="36"/>
          <w:szCs w:val="36"/>
        </w:rPr>
        <w:t>第三部分 名词解释</w:t>
      </w:r>
    </w:p>
    <w:p>
      <w:pPr>
        <w:widowControl/>
        <w:spacing w:line="600" w:lineRule="exact"/>
        <w:jc w:val="center"/>
        <w:rPr>
          <w:rFonts w:ascii="宋体" w:hAnsi="宋体" w:eastAsia="宋体" w:cs="宋体"/>
          <w:color w:val="333333"/>
          <w:kern w:val="0"/>
          <w:sz w:val="36"/>
          <w:szCs w:val="36"/>
        </w:rPr>
      </w:pP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1.一般公共预算拨款收入：</w:t>
      </w:r>
      <w:r>
        <w:rPr>
          <w:rFonts w:hint="eastAsia" w:ascii="仿宋_GB2312" w:hAnsi="仿宋_GB2312" w:eastAsia="仿宋_GB2312" w:cs="仿宋_GB2312"/>
          <w:color w:val="333333"/>
          <w:kern w:val="0"/>
          <w:sz w:val="32"/>
          <w:szCs w:val="32"/>
          <w:shd w:val="clear" w:color="auto" w:fill="FFFFFF"/>
        </w:rPr>
        <w:t>指区级财政当年拨付的资金。</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2.基本支出：</w:t>
      </w:r>
      <w:r>
        <w:rPr>
          <w:rFonts w:hint="eastAsia" w:ascii="仿宋_GB2312" w:hAnsi="仿宋_GB2312" w:eastAsia="仿宋_GB2312" w:cs="仿宋_GB2312"/>
          <w:color w:val="333333"/>
          <w:kern w:val="0"/>
          <w:sz w:val="32"/>
          <w:szCs w:val="32"/>
          <w:shd w:val="clear" w:color="auto" w:fill="FFFFFF"/>
        </w:rPr>
        <w:t>指保障机构正常运转、完成日常工作任务而发生的人员经费和公用经费。</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3.项目支出：</w:t>
      </w:r>
      <w:r>
        <w:rPr>
          <w:rFonts w:hint="eastAsia" w:ascii="仿宋_GB2312" w:hAnsi="仿宋_GB2312" w:eastAsia="仿宋_GB2312" w:cs="仿宋_GB2312"/>
          <w:color w:val="333333"/>
          <w:kern w:val="0"/>
          <w:sz w:val="32"/>
          <w:szCs w:val="32"/>
          <w:shd w:val="clear" w:color="auto" w:fill="FFFFFF"/>
        </w:rPr>
        <w:t>指在基本支出之外为完成特定工作任务和事业发展目标所发生的支出。</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4.“三公”经费：</w:t>
      </w:r>
      <w:r>
        <w:rPr>
          <w:rFonts w:hint="eastAsia" w:ascii="仿宋_GB2312" w:hAnsi="仿宋_GB2312" w:eastAsia="仿宋_GB2312" w:cs="仿宋_GB2312"/>
          <w:color w:val="333333"/>
          <w:kern w:val="0"/>
          <w:sz w:val="32"/>
          <w:szCs w:val="32"/>
          <w:shd w:val="clear" w:color="auto" w:fill="FFFFFF"/>
        </w:rPr>
        <w:t>指用一般公共预算拨款安排的因公出国（境）费、公务用车购置及运行费和公务接待费。其中，因公出国（境）费反应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5.一般公共服务（类）党委办公厅（室）及相关机构事务（款）行政运行（项）：</w:t>
      </w:r>
      <w:r>
        <w:rPr>
          <w:rFonts w:hint="eastAsia" w:ascii="仿宋_GB2312" w:hAnsi="仿宋_GB2312" w:eastAsia="仿宋_GB2312" w:cs="仿宋_GB2312"/>
          <w:color w:val="333333"/>
          <w:kern w:val="0"/>
          <w:sz w:val="32"/>
          <w:szCs w:val="32"/>
          <w:shd w:val="clear" w:color="auto" w:fill="FFFFFF"/>
        </w:rPr>
        <w:t>反映行政单位（包括实行公务员管理的事业单位）的基本支出。</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6.社会保障和就业（类）行政事业单位养老（款）机关事业单位基本养老保险缴费（项）：</w:t>
      </w:r>
      <w:r>
        <w:rPr>
          <w:rFonts w:hint="eastAsia" w:ascii="仿宋_GB2312" w:hAnsi="仿宋_GB2312" w:eastAsia="仿宋_GB2312" w:cs="仿宋_GB2312"/>
          <w:color w:val="333333"/>
          <w:kern w:val="0"/>
          <w:sz w:val="32"/>
          <w:szCs w:val="32"/>
          <w:shd w:val="clear" w:color="auto" w:fill="FFFFFF"/>
        </w:rPr>
        <w:t>反映机关事业单位实施养老保险制度由单位缴纳的基本养老保险费支出。</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7.卫生健康（类）行政事业单位医疗（款）行政单位医疗（项）：</w:t>
      </w:r>
      <w:r>
        <w:rPr>
          <w:rFonts w:hint="eastAsia" w:ascii="仿宋_GB2312" w:hAnsi="仿宋_GB2312" w:eastAsia="仿宋_GB2312" w:cs="仿宋_GB2312"/>
          <w:color w:val="333333"/>
          <w:kern w:val="0"/>
          <w:sz w:val="32"/>
          <w:szCs w:val="32"/>
          <w:shd w:val="clear" w:color="auto" w:fill="FFFFFF"/>
        </w:rPr>
        <w:t>反映财政部门安排的行政单位（包括实行公务员管理的事业单位）基本医疗保险缴费经费，未参加医疗保险的行政单位的公费医疗经费，按国家规定享受离退休人员、红军老战士待遇人员的医疗经费。</w:t>
      </w:r>
    </w:p>
    <w:p>
      <w:pPr>
        <w:spacing w:line="620" w:lineRule="exact"/>
        <w:ind w:left="638" w:leftChars="304"/>
        <w:jc w:val="left"/>
        <w:rPr>
          <w:rFonts w:ascii="仿宋_GB2312" w:hAnsi="仿宋_GB2312" w:eastAsia="仿宋_GB2312" w:cs="仿宋_GB2312"/>
          <w:b/>
          <w:bCs/>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8.住房保障（类）住房改革支出（款）住房公积金（项）：</w:t>
      </w:r>
    </w:p>
    <w:p>
      <w:pPr>
        <w:spacing w:line="620" w:lineRule="exact"/>
        <w:ind w:firstLine="640" w:firstLineChars="200"/>
        <w:jc w:val="left"/>
        <w:rPr>
          <w:rFonts w:ascii="仿宋_GB2312" w:hAnsi="仿宋_GB2312" w:eastAsia="仿宋_GB2312" w:cs="仿宋_GB2312"/>
          <w:color w:val="333333"/>
          <w:kern w:val="0"/>
          <w:sz w:val="32"/>
          <w:szCs w:val="32"/>
          <w:highlight w:val="yellow"/>
          <w:shd w:val="clear" w:color="auto" w:fill="FFFFFF"/>
        </w:rPr>
      </w:pPr>
      <w:r>
        <w:rPr>
          <w:rFonts w:hint="eastAsia" w:ascii="仿宋_GB2312" w:hAnsi="仿宋_GB2312" w:eastAsia="仿宋_GB2312" w:cs="仿宋_GB2312"/>
          <w:color w:val="333333"/>
          <w:kern w:val="0"/>
          <w:sz w:val="32"/>
          <w:szCs w:val="32"/>
          <w:shd w:val="clear" w:color="auto" w:fill="FFFFFF"/>
        </w:rPr>
        <w:t>反映行政事业单位按人力资源和社会保障部、财政部规定的基本工资和津贴补贴以及规定比例为职工缴纳的住房公积金。</w:t>
      </w: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center"/>
        <w:rPr>
          <w:rFonts w:ascii="黑体" w:hAnsi="黑体" w:eastAsia="黑体" w:cs="宋体"/>
          <w:color w:val="333333"/>
          <w:kern w:val="0"/>
          <w:sz w:val="36"/>
          <w:szCs w:val="36"/>
        </w:rPr>
      </w:pPr>
    </w:p>
    <w:p>
      <w:pPr>
        <w:widowControl/>
        <w:spacing w:line="600" w:lineRule="exact"/>
        <w:jc w:val="center"/>
        <w:rPr>
          <w:rFonts w:ascii="黑体" w:hAnsi="黑体" w:eastAsia="黑体" w:cs="宋体"/>
          <w:color w:val="333333"/>
          <w:kern w:val="0"/>
          <w:sz w:val="36"/>
          <w:szCs w:val="36"/>
        </w:rPr>
      </w:pPr>
    </w:p>
    <w:p>
      <w:pPr>
        <w:widowControl/>
        <w:spacing w:line="600" w:lineRule="exact"/>
        <w:jc w:val="center"/>
        <w:rPr>
          <w:rFonts w:ascii="黑体" w:hAnsi="黑体" w:eastAsia="黑体" w:cs="黑体"/>
          <w:sz w:val="36"/>
          <w:szCs w:val="36"/>
        </w:rPr>
      </w:pPr>
      <w:r>
        <w:rPr>
          <w:rFonts w:hint="eastAsia" w:ascii="黑体" w:hAnsi="黑体" w:eastAsia="黑体" w:cs="宋体"/>
          <w:color w:val="333333"/>
          <w:kern w:val="0"/>
          <w:sz w:val="36"/>
          <w:szCs w:val="36"/>
        </w:rPr>
        <w:t>第四部分 2022年</w:t>
      </w:r>
      <w:r>
        <w:rPr>
          <w:rFonts w:hint="eastAsia" w:ascii="黑体" w:hAnsi="黑体" w:eastAsia="黑体" w:cs="黑体"/>
          <w:color w:val="333333"/>
          <w:kern w:val="0"/>
          <w:sz w:val="36"/>
          <w:szCs w:val="36"/>
        </w:rPr>
        <w:t>龙城</w:t>
      </w:r>
      <w:r>
        <w:rPr>
          <w:rFonts w:hint="eastAsia" w:ascii="黑体" w:hAnsi="黑体" w:eastAsia="黑体" w:cs="黑体"/>
          <w:bCs/>
          <w:color w:val="333333"/>
          <w:kern w:val="0"/>
          <w:sz w:val="36"/>
          <w:szCs w:val="36"/>
          <w:shd w:val="clear" w:color="auto" w:fill="FFFFFF"/>
        </w:rPr>
        <w:t>区</w:t>
      </w:r>
      <w:r>
        <w:rPr>
          <w:rFonts w:hint="eastAsia" w:ascii="黑体" w:hAnsi="黑体" w:eastAsia="黑体" w:cs="黑体"/>
          <w:sz w:val="36"/>
          <w:szCs w:val="36"/>
        </w:rPr>
        <w:t>委机构编制委员会办公室</w:t>
      </w:r>
    </w:p>
    <w:p>
      <w:pPr>
        <w:widowControl/>
        <w:spacing w:line="600" w:lineRule="exact"/>
        <w:jc w:val="center"/>
        <w:rPr>
          <w:rFonts w:ascii="黑体" w:hAnsi="黑体" w:eastAsia="黑体" w:cs="宋体"/>
          <w:color w:val="333333"/>
          <w:kern w:val="0"/>
          <w:sz w:val="36"/>
          <w:szCs w:val="36"/>
        </w:rPr>
      </w:pPr>
      <w:r>
        <w:rPr>
          <w:rFonts w:hint="eastAsia" w:ascii="黑体" w:hAnsi="黑体" w:eastAsia="黑体" w:cs="宋体"/>
          <w:color w:val="333333"/>
          <w:kern w:val="0"/>
          <w:sz w:val="36"/>
          <w:szCs w:val="36"/>
        </w:rPr>
        <w:t>部门预算批复表</w:t>
      </w:r>
    </w:p>
    <w:p>
      <w:pPr>
        <w:widowControl/>
        <w:spacing w:line="600" w:lineRule="exact"/>
        <w:jc w:val="left"/>
        <w:rPr>
          <w:rFonts w:ascii="仿宋_GB2312" w:hAnsi="宋体" w:eastAsia="仿宋_GB2312" w:cs="宋体"/>
          <w:color w:val="333333"/>
          <w:kern w:val="0"/>
          <w:sz w:val="36"/>
          <w:szCs w:val="36"/>
          <w:shd w:val="clear" w:color="auto" w:fill="FFFFFF"/>
        </w:rPr>
      </w:pPr>
    </w:p>
    <w:p>
      <w:pPr>
        <w:widowControl/>
        <w:spacing w:line="600" w:lineRule="exact"/>
        <w:ind w:firstLine="640" w:firstLineChars="200"/>
        <w:jc w:val="left"/>
        <w:rPr>
          <w:rFonts w:ascii="仿宋_GB2312" w:hAnsi="宋体" w:eastAsia="仿宋_GB2312" w:cs="宋体"/>
          <w:kern w:val="0"/>
          <w:sz w:val="36"/>
          <w:szCs w:val="36"/>
        </w:rPr>
      </w:pPr>
      <w:r>
        <w:rPr>
          <w:rFonts w:hint="eastAsia" w:ascii="仿宋_GB2312" w:hAnsi="宋体" w:eastAsia="仿宋_GB2312" w:cs="宋体"/>
          <w:color w:val="333333"/>
          <w:kern w:val="0"/>
          <w:sz w:val="32"/>
          <w:szCs w:val="32"/>
          <w:shd w:val="clear" w:color="auto" w:fill="FFFFFF"/>
        </w:rPr>
        <w:t>详见附表：</w:t>
      </w:r>
      <w:r>
        <w:rPr>
          <w:rFonts w:hint="eastAsia" w:ascii="仿宋_GB2312" w:hAnsi="宋体" w:eastAsia="仿宋_GB2312" w:cs="宋体"/>
          <w:color w:val="333333"/>
          <w:kern w:val="0"/>
          <w:sz w:val="32"/>
          <w:szCs w:val="32"/>
        </w:rPr>
        <w:t>2022年龙城区委机构编制委员会办公室部门预算批复表</w:t>
      </w:r>
    </w:p>
    <w:p>
      <w:pPr>
        <w:spacing w:line="600" w:lineRule="exact"/>
        <w:jc w:val="left"/>
        <w:rPr>
          <w:rFonts w:ascii="仿宋_GB2312" w:eastAsia="仿宋_GB2312"/>
          <w:sz w:val="36"/>
          <w:szCs w:val="36"/>
          <w:highlight w:val="yellow"/>
        </w:rPr>
      </w:pPr>
    </w:p>
    <w:p/>
    <w:sectPr>
      <w:footerReference r:id="rId3" w:type="default"/>
      <w:pgSz w:w="11906" w:h="16838"/>
      <w:pgMar w:top="1701" w:right="1418" w:bottom="1701" w:left="1701"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path/>
          <v:fill on="f" focussize="0,0"/>
          <v:stroke on="f" joinstyle="miter"/>
          <v:imagedata o:title=""/>
          <o:lock v:ext="edit"/>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3DDB7983"/>
    <w:rsid w:val="00584F79"/>
    <w:rsid w:val="007144F2"/>
    <w:rsid w:val="00A82774"/>
    <w:rsid w:val="063A199E"/>
    <w:rsid w:val="1ABB7E40"/>
    <w:rsid w:val="336D4581"/>
    <w:rsid w:val="3DDB7983"/>
    <w:rsid w:val="69A10754"/>
    <w:rsid w:val="6A3059E6"/>
    <w:rsid w:val="6E8C4A78"/>
    <w:rsid w:val="71AE10C1"/>
    <w:rsid w:val="78070F43"/>
    <w:rsid w:val="7FB0127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408</Words>
  <Characters>2330</Characters>
  <Lines>19</Lines>
  <Paragraphs>5</Paragraphs>
  <TotalTime>18</TotalTime>
  <ScaleCrop>false</ScaleCrop>
  <LinksUpToDate>false</LinksUpToDate>
  <CharactersWithSpaces>2733</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2022-01-10T01:51:00Z</dcterms:created>
  <dc:creator>Administrator</dc:creator>
  <cp:lastModifiedBy>Administrator</cp:lastModifiedBy>
  <dcterms:modified xsi:type="dcterms:W3CDTF">2022-01-11T02:34:41Z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B573E0F60A6E40319D1FF8DBB3FCBE85</vt:lpwstr>
  </property>
</Properties>
</file>