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龙城区</w:t>
      </w:r>
      <w:r>
        <w:rPr>
          <w:rFonts w:hint="eastAsia" w:asciiTheme="majorEastAsia" w:hAnsiTheme="majorEastAsia" w:eastAsiaTheme="majorEastAsia"/>
          <w:b/>
          <w:sz w:val="52"/>
          <w:szCs w:val="52"/>
          <w:highlight w:val="none"/>
          <w:lang w:eastAsia="zh-CN"/>
        </w:rPr>
        <w:t>武装部</w:t>
      </w:r>
      <w:r>
        <w:rPr>
          <w:rFonts w:hint="eastAsia" w:asciiTheme="majorEastAsia" w:hAnsiTheme="majorEastAsia" w:eastAsiaTheme="majorEastAsia"/>
          <w:b/>
          <w:sz w:val="52"/>
          <w:szCs w:val="52"/>
          <w:highlight w:val="none"/>
        </w:rPr>
        <w:t>预算</w:t>
      </w: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（2022年）</w:t>
      </w:r>
    </w:p>
    <w:p>
      <w:pPr>
        <w:spacing w:line="600" w:lineRule="exact"/>
        <w:jc w:val="left"/>
        <w:rPr>
          <w:rFonts w:ascii="Times New Roman" w:hAnsi="Times New Roman" w:eastAsia="宋体"/>
          <w:b/>
          <w:sz w:val="52"/>
          <w:szCs w:val="52"/>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widowControl/>
        <w:spacing w:line="600" w:lineRule="exact"/>
        <w:outlineLvl w:val="0"/>
        <w:rPr>
          <w:rFonts w:cs="宋体" w:asciiTheme="majorEastAsia" w:hAnsiTheme="majorEastAsia" w:eastAsiaTheme="majorEastAsia"/>
          <w:b/>
          <w:bCs/>
          <w:color w:val="333333"/>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highlight w:val="none"/>
        </w:rPr>
      </w:pPr>
      <w:r>
        <w:rPr>
          <w:rFonts w:hint="eastAsia" w:cs="宋体" w:asciiTheme="majorEastAsia" w:hAnsiTheme="majorEastAsia" w:eastAsiaTheme="majorEastAsia"/>
          <w:b/>
          <w:bCs/>
          <w:color w:val="333333"/>
          <w:kern w:val="36"/>
          <w:sz w:val="44"/>
          <w:szCs w:val="44"/>
          <w:highlight w:val="none"/>
        </w:rPr>
        <w:t>2022年龙城区</w:t>
      </w:r>
      <w:r>
        <w:rPr>
          <w:rFonts w:hint="eastAsia" w:cs="宋体" w:asciiTheme="majorEastAsia" w:hAnsiTheme="majorEastAsia" w:eastAsiaTheme="majorEastAsia"/>
          <w:b/>
          <w:bCs/>
          <w:color w:val="333333"/>
          <w:kern w:val="36"/>
          <w:sz w:val="44"/>
          <w:szCs w:val="44"/>
          <w:highlight w:val="none"/>
          <w:lang w:eastAsia="zh-CN"/>
        </w:rPr>
        <w:t>武装部</w:t>
      </w:r>
      <w:r>
        <w:rPr>
          <w:rFonts w:hint="eastAsia" w:cs="宋体" w:asciiTheme="majorEastAsia" w:hAnsiTheme="majorEastAsia" w:eastAsiaTheme="majorEastAsia"/>
          <w:b/>
          <w:bCs/>
          <w:color w:val="333333"/>
          <w:kern w:val="36"/>
          <w:sz w:val="44"/>
          <w:szCs w:val="44"/>
          <w:highlight w:val="none"/>
        </w:rPr>
        <w:t>预算</w:t>
      </w:r>
    </w:p>
    <w:p>
      <w:pPr>
        <w:widowControl/>
        <w:spacing w:line="300" w:lineRule="exact"/>
        <w:jc w:val="center"/>
        <w:outlineLvl w:val="0"/>
        <w:rPr>
          <w:rFonts w:cs="宋体" w:asciiTheme="majorEastAsia" w:hAnsiTheme="majorEastAsia" w:eastAsiaTheme="majorEastAsia"/>
          <w:b/>
          <w:bCs/>
          <w:color w:val="333333"/>
          <w:kern w:val="36"/>
          <w:sz w:val="44"/>
          <w:szCs w:val="44"/>
          <w:highlight w:val="none"/>
        </w:rPr>
      </w:pPr>
    </w:p>
    <w:p>
      <w:pPr>
        <w:widowControl/>
        <w:spacing w:line="600" w:lineRule="exact"/>
        <w:jc w:val="center"/>
        <w:rPr>
          <w:rFonts w:cs="宋体" w:asciiTheme="majorEastAsia" w:hAnsiTheme="majorEastAsia" w:eastAsiaTheme="majorEastAsia"/>
          <w:b/>
          <w:bCs/>
          <w:color w:val="333333"/>
          <w:kern w:val="0"/>
          <w:sz w:val="36"/>
          <w:szCs w:val="36"/>
          <w:highlight w:val="none"/>
        </w:rPr>
      </w:pPr>
      <w:r>
        <w:rPr>
          <w:rFonts w:hint="eastAsia" w:cs="宋体" w:asciiTheme="majorEastAsia" w:hAnsiTheme="majorEastAsia" w:eastAsiaTheme="majorEastAsia"/>
          <w:b/>
          <w:bCs/>
          <w:color w:val="333333"/>
          <w:kern w:val="0"/>
          <w:sz w:val="36"/>
          <w:szCs w:val="36"/>
          <w:highlight w:val="none"/>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w:t>
      </w:r>
      <w:r>
        <w:rPr>
          <w:rFonts w:hint="eastAsia" w:ascii="黑体" w:hAnsi="黑体" w:eastAsia="黑体" w:cs="宋体"/>
          <w:bCs/>
          <w:color w:val="333333"/>
          <w:kern w:val="0"/>
          <w:sz w:val="32"/>
          <w:szCs w:val="32"/>
          <w:highlight w:val="none"/>
          <w:shd w:val="clear" w:color="auto" w:fill="FFFFFF"/>
          <w:lang w:eastAsia="zh-CN"/>
        </w:rPr>
        <w:t>武装部</w:t>
      </w:r>
      <w:r>
        <w:rPr>
          <w:rFonts w:hint="eastAsia" w:ascii="黑体" w:hAnsi="黑体" w:eastAsia="黑体" w:cs="宋体"/>
          <w:bCs/>
          <w:color w:val="333333"/>
          <w:kern w:val="0"/>
          <w:sz w:val="32"/>
          <w:szCs w:val="32"/>
          <w:highlight w:val="none"/>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w:t>
      </w:r>
      <w:r>
        <w:rPr>
          <w:rFonts w:hint="eastAsia" w:ascii="黑体" w:hAnsi="黑体" w:eastAsia="黑体" w:cs="宋体"/>
          <w:bCs/>
          <w:color w:val="333333"/>
          <w:kern w:val="0"/>
          <w:sz w:val="32"/>
          <w:szCs w:val="32"/>
          <w:highlight w:val="none"/>
          <w:shd w:val="clear" w:color="auto" w:fill="FFFFFF"/>
          <w:lang w:eastAsia="zh-CN"/>
        </w:rPr>
        <w:t>武装部</w:t>
      </w:r>
      <w:r>
        <w:rPr>
          <w:rFonts w:hint="eastAsia" w:ascii="黑体" w:hAnsi="黑体" w:eastAsia="黑体" w:cs="宋体"/>
          <w:bCs/>
          <w:color w:val="333333"/>
          <w:kern w:val="0"/>
          <w:sz w:val="32"/>
          <w:szCs w:val="32"/>
          <w:highlight w:val="none"/>
          <w:shd w:val="clear" w:color="auto" w:fill="FFFFFF"/>
        </w:rPr>
        <w:t>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shd w:val="clear" w:color="auto" w:fill="FFFFFF"/>
          <w:lang w:eastAsia="zh-CN"/>
        </w:rPr>
        <w:t>武装部</w:t>
      </w:r>
      <w:r>
        <w:rPr>
          <w:rFonts w:hint="eastAsia" w:ascii="黑体" w:hAnsi="黑体" w:eastAsia="黑体" w:cs="宋体"/>
          <w:bCs/>
          <w:color w:val="333333"/>
          <w:kern w:val="0"/>
          <w:sz w:val="32"/>
          <w:szCs w:val="32"/>
          <w:highlight w:val="none"/>
        </w:rPr>
        <w:t>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二、收入预算总表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三、支出预算总表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九、项目支出预算表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highlight w:val="none"/>
          <w:shd w:val="clear" w:color="auto" w:fill="FFFFFF"/>
        </w:rPr>
      </w:pPr>
      <w:r>
        <w:rPr>
          <w:rFonts w:hint="eastAsia" w:ascii="宋体" w:hAnsi="宋体" w:eastAsia="宋体" w:cs="宋体"/>
          <w:color w:val="333333"/>
          <w:kern w:val="0"/>
          <w:sz w:val="32"/>
          <w:szCs w:val="32"/>
          <w:highlight w:val="none"/>
        </w:rPr>
        <w:t>十七、部门预算项目（政策）绩效目标表</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第一部分 龙城区</w:t>
      </w:r>
      <w:r>
        <w:rPr>
          <w:rFonts w:hint="eastAsia" w:ascii="黑体" w:hAnsi="黑体" w:eastAsia="黑体" w:cs="黑体"/>
          <w:color w:val="333333"/>
          <w:kern w:val="0"/>
          <w:sz w:val="36"/>
          <w:szCs w:val="36"/>
          <w:highlight w:val="none"/>
          <w:lang w:eastAsia="zh-CN"/>
        </w:rPr>
        <w:t>武装部</w:t>
      </w:r>
      <w:r>
        <w:rPr>
          <w:rFonts w:hint="eastAsia" w:ascii="黑体" w:hAnsi="黑体" w:eastAsia="黑体" w:cs="黑体"/>
          <w:color w:val="333333"/>
          <w:kern w:val="0"/>
          <w:sz w:val="36"/>
          <w:szCs w:val="36"/>
          <w:highlight w:val="none"/>
        </w:rPr>
        <w:t>概况</w:t>
      </w:r>
    </w:p>
    <w:p>
      <w:pPr>
        <w:widowControl/>
        <w:spacing w:line="600" w:lineRule="exact"/>
        <w:jc w:val="center"/>
        <w:rPr>
          <w:rFonts w:ascii="宋体" w:hAnsi="宋体" w:eastAsia="宋体" w:cs="宋体"/>
          <w:color w:val="333333"/>
          <w:kern w:val="0"/>
          <w:sz w:val="32"/>
          <w:szCs w:val="32"/>
          <w:highlight w:val="none"/>
        </w:rPr>
      </w:pPr>
    </w:p>
    <w:p>
      <w:pPr>
        <w:widowControl/>
        <w:spacing w:line="560" w:lineRule="exact"/>
        <w:jc w:val="left"/>
        <w:rPr>
          <w:rFonts w:ascii="仿宋_GB2312" w:hAnsi="仿宋_GB2312" w:eastAsia="仿宋_GB2312" w:cs="仿宋_GB2312"/>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一、主要职责</w:t>
      </w:r>
      <w:r>
        <w:rPr>
          <w:rFonts w:hint="eastAsia" w:ascii="仿宋_GB2312" w:hAnsi="宋体" w:eastAsia="仿宋_GB2312" w:cs="宋体"/>
          <w:b/>
          <w:color w:val="333333"/>
          <w:kern w:val="0"/>
          <w:sz w:val="32"/>
          <w:szCs w:val="32"/>
          <w:highlight w:val="none"/>
        </w:rPr>
        <w:br w:type="textWrapping"/>
      </w:r>
      <w:r>
        <w:rPr>
          <w:rFonts w:hint="eastAsia" w:ascii="仿宋_GB2312" w:hAnsi="仿宋_GB2312" w:eastAsia="仿宋_GB2312" w:cs="仿宋_GB2312"/>
          <w:color w:val="333333"/>
          <w:kern w:val="0"/>
          <w:sz w:val="32"/>
          <w:szCs w:val="32"/>
          <w:highlight w:val="none"/>
          <w:shd w:val="clear" w:color="auto" w:fill="FFFFFF"/>
        </w:rPr>
        <w:t xml:space="preserve">    </w:t>
      </w:r>
      <w:r>
        <w:rPr>
          <w:rFonts w:hint="eastAsia" w:ascii="仿宋_GB2312" w:hAnsi="仿宋_GB2312" w:eastAsia="仿宋_GB2312" w:cs="仿宋_GB2312"/>
          <w:color w:val="333333"/>
          <w:kern w:val="0"/>
          <w:sz w:val="32"/>
          <w:szCs w:val="32"/>
          <w:highlight w:val="none"/>
          <w:shd w:val="clear" w:color="auto" w:fill="FFFFFF"/>
        </w:rPr>
        <w:t>（一）龙城区人民武装部是本地区的军事指挥机构，是区委的军事部，区政府的兵役机关。负责民兵组织建设、军事训练和政治教育；带领民兵完成战备执勤任务和参加地方经济建设。</w:t>
      </w:r>
    </w:p>
    <w:p>
      <w:pPr>
        <w:widowControl/>
        <w:spacing w:line="560" w:lineRule="exact"/>
        <w:ind w:firstLine="640"/>
        <w:jc w:val="left"/>
        <w:rPr>
          <w:rFonts w:hint="eastAsia"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（二）负责征兵工作；负责民兵、预备役人员的登记、统计工作。</w:t>
      </w:r>
    </w:p>
    <w:p>
      <w:pPr>
        <w:widowControl/>
        <w:spacing w:line="560" w:lineRule="exact"/>
        <w:ind w:firstLine="64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color w:val="333333"/>
          <w:kern w:val="0"/>
          <w:sz w:val="32"/>
          <w:szCs w:val="32"/>
          <w:highlight w:val="none"/>
          <w:shd w:val="clear" w:color="auto" w:fill="FFFFFF"/>
          <w:lang w:eastAsia="zh-CN"/>
        </w:rPr>
        <w:t>（三）负责本地区战时动员任务；战时负责组织实施兵员动员和带领民兵参军、参战，支援前线保卫后方等各项任务。</w:t>
      </w:r>
    </w:p>
    <w:p>
      <w:pPr>
        <w:widowControl/>
        <w:spacing w:line="560" w:lineRule="exact"/>
        <w:ind w:firstLine="64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color w:val="333333"/>
          <w:kern w:val="0"/>
          <w:sz w:val="32"/>
          <w:szCs w:val="32"/>
          <w:highlight w:val="none"/>
          <w:shd w:val="clear" w:color="auto" w:fill="FFFFFF"/>
          <w:lang w:eastAsia="zh-CN"/>
        </w:rPr>
        <w:t>（四）协同教育部门做好学生军训工作；协同有关部门做好人民防控、交通战备工作；协同做好退役军人安置和烈军属的优抚工作。</w:t>
      </w:r>
    </w:p>
    <w:p>
      <w:pPr>
        <w:widowControl/>
        <w:spacing w:line="560" w:lineRule="exact"/>
        <w:ind w:firstLine="64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color w:val="333333"/>
          <w:kern w:val="0"/>
          <w:sz w:val="32"/>
          <w:szCs w:val="32"/>
          <w:highlight w:val="none"/>
          <w:shd w:val="clear" w:color="auto" w:fill="FFFFFF"/>
          <w:lang w:eastAsia="zh-CN"/>
        </w:rPr>
        <w:t>（五）负责对专职人民武装干部的管理。</w:t>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楷体_GB2312" w:hAnsi="楷体_GB2312" w:eastAsia="楷体_GB2312" w:cs="楷体_GB2312"/>
          <w:b/>
          <w:color w:val="333333"/>
          <w:kern w:val="0"/>
          <w:sz w:val="32"/>
          <w:szCs w:val="32"/>
          <w:highlight w:val="none"/>
          <w:shd w:val="clear" w:color="auto" w:fill="FFFFFF"/>
        </w:rPr>
        <w:t xml:space="preserve">    二、部门预算单位构成</w:t>
      </w:r>
      <w:r>
        <w:rPr>
          <w:rFonts w:hint="eastAsia" w:ascii="宋体" w:hAnsi="宋体" w:eastAsia="宋体" w:cs="宋体"/>
          <w:color w:val="333333"/>
          <w:kern w:val="0"/>
          <w:sz w:val="32"/>
          <w:szCs w:val="32"/>
          <w:highlight w:val="none"/>
        </w:rPr>
        <w:br w:type="textWrapping"/>
      </w:r>
      <w:r>
        <w:rPr>
          <w:rFonts w:hint="eastAsia" w:ascii="仿宋_GB2312" w:hAnsi="宋体" w:eastAsia="仿宋_GB2312" w:cs="宋体"/>
          <w:bCs/>
          <w:color w:val="333333"/>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hint="eastAsia" w:ascii="仿宋_GB2312" w:hAnsi="宋体" w:eastAsia="仿宋_GB2312" w:cs="宋体"/>
          <w:bCs/>
          <w:color w:val="333333"/>
          <w:kern w:val="0"/>
          <w:sz w:val="32"/>
          <w:szCs w:val="32"/>
          <w:highlight w:val="none"/>
          <w:shd w:val="clear" w:color="auto" w:fill="FFFFFF"/>
          <w:lang w:eastAsia="zh-CN"/>
        </w:rPr>
      </w:pPr>
      <w:r>
        <w:rPr>
          <w:rFonts w:hint="eastAsia" w:ascii="仿宋_GB2312" w:hAnsi="宋体" w:eastAsia="仿宋_GB2312" w:cs="宋体"/>
          <w:bCs/>
          <w:color w:val="333333"/>
          <w:kern w:val="0"/>
          <w:sz w:val="32"/>
          <w:szCs w:val="32"/>
          <w:highlight w:val="none"/>
          <w:shd w:val="clear" w:color="auto" w:fill="FFFFFF"/>
        </w:rPr>
        <w:t>1、龙城区</w:t>
      </w:r>
      <w:r>
        <w:rPr>
          <w:rFonts w:hint="eastAsia" w:ascii="仿宋_GB2312" w:hAnsi="宋体" w:eastAsia="仿宋_GB2312" w:cs="宋体"/>
          <w:bCs/>
          <w:color w:val="333333"/>
          <w:kern w:val="0"/>
          <w:sz w:val="32"/>
          <w:szCs w:val="32"/>
          <w:highlight w:val="none"/>
          <w:shd w:val="clear" w:color="auto" w:fill="FFFFFF"/>
          <w:lang w:eastAsia="zh-CN"/>
        </w:rPr>
        <w:t>武装部</w:t>
      </w:r>
      <w:r>
        <w:rPr>
          <w:rFonts w:hint="eastAsia" w:ascii="仿宋_GB2312" w:hAnsi="宋体" w:eastAsia="仿宋_GB2312" w:cs="宋体"/>
          <w:bCs/>
          <w:color w:val="333333"/>
          <w:kern w:val="0"/>
          <w:sz w:val="32"/>
          <w:szCs w:val="32"/>
          <w:highlight w:val="none"/>
          <w:shd w:val="clear" w:color="auto" w:fill="FFFFFF"/>
        </w:rPr>
        <w:t>本级</w:t>
      </w:r>
      <w:r>
        <w:rPr>
          <w:rFonts w:hint="eastAsia" w:ascii="仿宋_GB2312" w:hAnsi="宋体" w:eastAsia="仿宋_GB2312" w:cs="宋体"/>
          <w:bCs/>
          <w:color w:val="333333"/>
          <w:kern w:val="0"/>
          <w:sz w:val="32"/>
          <w:szCs w:val="32"/>
          <w:highlight w:val="none"/>
          <w:shd w:val="clear" w:color="auto" w:fill="FFFFFF"/>
          <w:lang w:eastAsia="zh-CN"/>
        </w:rPr>
        <w:t>。</w:t>
      </w:r>
    </w:p>
    <w:p>
      <w:pPr>
        <w:widowControl/>
        <w:spacing w:line="560" w:lineRule="exact"/>
        <w:jc w:val="left"/>
        <w:rPr>
          <w:rFonts w:ascii="仿宋_GB2312" w:hAnsi="宋体" w:eastAsia="仿宋_GB2312" w:cs="宋体"/>
          <w:bCs/>
          <w:color w:val="333333"/>
          <w:kern w:val="0"/>
          <w:sz w:val="32"/>
          <w:szCs w:val="32"/>
          <w:highlight w:val="none"/>
          <w:shd w:val="clear" w:color="auto" w:fill="FFFFFF"/>
        </w:rPr>
      </w:pPr>
      <w:r>
        <w:rPr>
          <w:rFonts w:hint="eastAsia" w:ascii="仿宋_GB2312" w:hAnsi="宋体" w:eastAsia="仿宋_GB2312" w:cs="宋体"/>
          <w:bCs/>
          <w:color w:val="333333"/>
          <w:kern w:val="0"/>
          <w:sz w:val="32"/>
          <w:szCs w:val="32"/>
          <w:highlight w:val="none"/>
          <w:shd w:val="clear" w:color="auto" w:fill="FFFFFF"/>
        </w:rPr>
        <w:t xml:space="preserve">    </w:t>
      </w: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left"/>
        <w:rPr>
          <w:rFonts w:ascii="宋体" w:hAnsi="宋体" w:eastAsia="宋体" w:cs="宋体"/>
          <w:color w:val="333333"/>
          <w:kern w:val="0"/>
          <w:sz w:val="36"/>
          <w:szCs w:val="36"/>
          <w:highlight w:val="none"/>
          <w:shd w:val="clear" w:color="auto" w:fill="FFFFFF"/>
        </w:rPr>
      </w:pP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第二部分 龙城区</w:t>
      </w:r>
      <w:r>
        <w:rPr>
          <w:rFonts w:hint="eastAsia" w:ascii="黑体" w:hAnsi="黑体" w:eastAsia="黑体" w:cs="黑体"/>
          <w:color w:val="333333"/>
          <w:kern w:val="0"/>
          <w:sz w:val="36"/>
          <w:szCs w:val="36"/>
          <w:highlight w:val="none"/>
          <w:lang w:eastAsia="zh-CN"/>
        </w:rPr>
        <w:t>武装部</w:t>
      </w:r>
      <w:r>
        <w:rPr>
          <w:rFonts w:hint="eastAsia" w:ascii="黑体" w:hAnsi="黑体" w:eastAsia="黑体" w:cs="黑体"/>
          <w:color w:val="333333"/>
          <w:kern w:val="0"/>
          <w:sz w:val="36"/>
          <w:szCs w:val="36"/>
          <w:highlight w:val="none"/>
        </w:rPr>
        <w:t>2022年部门预算情况说明</w:t>
      </w:r>
    </w:p>
    <w:p>
      <w:pPr>
        <w:widowControl/>
        <w:spacing w:line="560" w:lineRule="exact"/>
        <w:ind w:firstLine="720" w:firstLineChars="200"/>
        <w:jc w:val="left"/>
        <w:rPr>
          <w:rFonts w:ascii="宋体" w:hAnsi="宋体" w:eastAsia="宋体" w:cs="宋体"/>
          <w:color w:val="333333"/>
          <w:kern w:val="0"/>
          <w:sz w:val="36"/>
          <w:szCs w:val="36"/>
          <w:highlight w:val="none"/>
        </w:rPr>
      </w:pPr>
    </w:p>
    <w:p>
      <w:pPr>
        <w:widowControl/>
        <w:spacing w:line="600" w:lineRule="exact"/>
        <w:jc w:val="left"/>
        <w:rPr>
          <w:rFonts w:ascii="宋体" w:hAnsi="宋体" w:eastAsia="宋体" w:cs="宋体"/>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（一）收入预算</w:t>
      </w:r>
      <w:r>
        <w:rPr>
          <w:rFonts w:hint="eastAsia" w:ascii="仿宋_GB2312" w:hAnsi="仿宋_GB2312" w:eastAsia="仿宋_GB2312" w:cs="仿宋_GB2312"/>
          <w:color w:val="333333"/>
          <w:kern w:val="0"/>
          <w:sz w:val="32"/>
          <w:szCs w:val="32"/>
          <w:highlight w:val="none"/>
          <w:lang w:val="en-US" w:eastAsia="zh-CN"/>
        </w:rPr>
        <w:t>62.65</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1.一般公共预算拨款收入</w:t>
      </w:r>
      <w:r>
        <w:rPr>
          <w:rFonts w:hint="eastAsia" w:ascii="仿宋_GB2312" w:hAnsi="仿宋_GB2312" w:eastAsia="仿宋_GB2312" w:cs="仿宋_GB2312"/>
          <w:color w:val="333333"/>
          <w:kern w:val="0"/>
          <w:sz w:val="32"/>
          <w:szCs w:val="32"/>
          <w:highlight w:val="none"/>
          <w:lang w:val="en-US" w:eastAsia="zh-CN"/>
        </w:rPr>
        <w:t>62.65</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4.财政专户管理资金收入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5.单位资金收入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（二）支出预算</w:t>
      </w:r>
      <w:r>
        <w:rPr>
          <w:rFonts w:hint="eastAsia" w:ascii="仿宋_GB2312" w:hAnsi="仿宋_GB2312" w:eastAsia="仿宋_GB2312" w:cs="仿宋_GB2312"/>
          <w:color w:val="333333"/>
          <w:kern w:val="0"/>
          <w:sz w:val="32"/>
          <w:szCs w:val="32"/>
          <w:highlight w:val="none"/>
          <w:lang w:val="en-US" w:eastAsia="zh-CN"/>
        </w:rPr>
        <w:t>62.65</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w:t>
      </w:r>
      <w:r>
        <w:rPr>
          <w:rFonts w:hint="eastAsia" w:ascii="仿宋_GB2312" w:hAnsi="仿宋_GB2312" w:eastAsia="仿宋_GB2312" w:cs="仿宋_GB2312"/>
          <w:color w:val="333333"/>
          <w:kern w:val="0"/>
          <w:sz w:val="32"/>
          <w:szCs w:val="32"/>
          <w:highlight w:val="none"/>
          <w:lang w:val="en-US" w:eastAsia="zh-CN"/>
        </w:rPr>
        <w:t>62.65</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w:t>
      </w:r>
      <w:r>
        <w:rPr>
          <w:rFonts w:hint="eastAsia" w:ascii="仿宋_GB2312" w:hAnsi="仿宋_GB2312" w:eastAsia="仿宋_GB2312" w:cs="仿宋_GB2312"/>
          <w:color w:val="333333"/>
          <w:kern w:val="0"/>
          <w:sz w:val="32"/>
          <w:szCs w:val="32"/>
          <w:highlight w:val="none"/>
          <w:lang w:val="en-US" w:eastAsia="zh-CN"/>
        </w:rPr>
        <w:t>62.65</w:t>
      </w:r>
      <w:r>
        <w:rPr>
          <w:rFonts w:hint="eastAsia" w:ascii="仿宋_GB2312" w:hAnsi="仿宋_GB2312" w:eastAsia="仿宋_GB2312" w:cs="仿宋_GB2312"/>
          <w:color w:val="333333"/>
          <w:kern w:val="0"/>
          <w:sz w:val="32"/>
          <w:szCs w:val="32"/>
          <w:highlight w:val="none"/>
        </w:rPr>
        <w:t>万元中，债务支出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万元，政府采购支出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万元，政府购买服务支出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2022年预算收支比 2021 年增加</w:t>
      </w:r>
      <w:r>
        <w:rPr>
          <w:rFonts w:hint="eastAsia" w:ascii="仿宋_GB2312" w:hAnsi="仿宋_GB2312" w:eastAsia="仿宋_GB2312" w:cs="仿宋_GB2312"/>
          <w:color w:val="333333"/>
          <w:kern w:val="0"/>
          <w:sz w:val="32"/>
          <w:szCs w:val="32"/>
          <w:highlight w:val="none"/>
          <w:lang w:val="en-US" w:eastAsia="zh-CN"/>
        </w:rPr>
        <w:t>0.7</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2022年机关运行经费预算为</w:t>
      </w:r>
      <w:r>
        <w:rPr>
          <w:rFonts w:hint="eastAsia" w:ascii="仿宋_GB2312" w:hAnsi="仿宋_GB2312" w:eastAsia="仿宋_GB2312" w:cs="仿宋_GB2312"/>
          <w:color w:val="333333"/>
          <w:kern w:val="0"/>
          <w:sz w:val="32"/>
          <w:szCs w:val="32"/>
          <w:highlight w:val="none"/>
          <w:lang w:val="en-US" w:eastAsia="zh-CN"/>
        </w:rPr>
        <w:t>2.83</w:t>
      </w:r>
      <w:r>
        <w:rPr>
          <w:rFonts w:hint="eastAsia" w:ascii="仿宋_GB2312" w:hAnsi="仿宋_GB2312" w:eastAsia="仿宋_GB2312" w:cs="仿宋_GB2312"/>
          <w:color w:val="333333"/>
          <w:kern w:val="0"/>
          <w:sz w:val="32"/>
          <w:szCs w:val="32"/>
          <w:highlight w:val="none"/>
        </w:rPr>
        <w:t>万元。主要包括</w:t>
      </w:r>
      <w:r>
        <w:rPr>
          <w:rFonts w:hint="eastAsia" w:ascii="仿宋_GB2312" w:hAnsi="仿宋_GB2312" w:eastAsia="仿宋_GB2312" w:cs="仿宋_GB2312"/>
          <w:color w:val="333333"/>
          <w:kern w:val="0"/>
          <w:sz w:val="32"/>
          <w:szCs w:val="32"/>
          <w:highlight w:val="none"/>
        </w:rPr>
        <w:t>办公费、</w:t>
      </w:r>
      <w:r>
        <w:rPr>
          <w:rFonts w:hint="eastAsia" w:ascii="仿宋_GB2312" w:hAnsi="仿宋_GB2312" w:eastAsia="仿宋_GB2312" w:cs="仿宋_GB2312"/>
          <w:color w:val="333333"/>
          <w:kern w:val="0"/>
          <w:sz w:val="32"/>
          <w:szCs w:val="32"/>
          <w:highlight w:val="none"/>
          <w:lang w:eastAsia="zh-CN"/>
        </w:rPr>
        <w:t>公会经费、其他商品和服务支出</w:t>
      </w:r>
      <w:r>
        <w:rPr>
          <w:rFonts w:hint="eastAsia" w:ascii="仿宋_GB2312" w:hAnsi="仿宋_GB2312" w:eastAsia="仿宋_GB2312" w:cs="仿宋_GB2312"/>
          <w:color w:val="333333"/>
          <w:kern w:val="0"/>
          <w:sz w:val="32"/>
          <w:szCs w:val="32"/>
          <w:highlight w:val="none"/>
        </w:rPr>
        <w:t>等。</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万元，比上年</w:t>
      </w:r>
      <w:r>
        <w:rPr>
          <w:rFonts w:hint="eastAsia" w:ascii="仿宋_GB2312" w:hAnsi="仿宋_GB2312" w:eastAsia="仿宋_GB2312" w:cs="仿宋_GB2312"/>
          <w:color w:val="333333"/>
          <w:kern w:val="0"/>
          <w:sz w:val="32"/>
          <w:szCs w:val="32"/>
          <w:highlight w:val="none"/>
          <w:lang w:eastAsia="zh-CN"/>
        </w:rPr>
        <w:t>持平</w:t>
      </w:r>
      <w:r>
        <w:rPr>
          <w:rFonts w:hint="eastAsia" w:ascii="仿宋_GB2312" w:hAnsi="仿宋_GB2312" w:eastAsia="仿宋_GB2312" w:cs="仿宋_GB2312"/>
          <w:color w:val="333333"/>
          <w:kern w:val="0"/>
          <w:sz w:val="32"/>
          <w:szCs w:val="32"/>
          <w:highlight w:val="none"/>
        </w:rPr>
        <w:t>。</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2022年年初预算购置车辆</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台，金额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万元，单位价值 50 万元以上的通用设备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 台，单位价值 100万元以上的专用设备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个，实际编制部门（单位）整体绩效目标共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个，实际编制绩效目标的特定目标类项目共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个,涉及资金</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万元，编制特定目标的项目覆盖率（实际编制绩效目标的数量/应编制绩效目标的数量）为100%。</w:t>
      </w:r>
    </w:p>
    <w:p>
      <w:pPr>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br w:type="page"/>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第三部分 名词解释</w:t>
      </w:r>
    </w:p>
    <w:p>
      <w:pPr>
        <w:widowControl/>
        <w:spacing w:line="600" w:lineRule="exact"/>
        <w:jc w:val="center"/>
        <w:rPr>
          <w:rFonts w:ascii="宋体" w:hAnsi="宋体" w:eastAsia="宋体" w:cs="宋体"/>
          <w:color w:val="333333"/>
          <w:kern w:val="0"/>
          <w:sz w:val="36"/>
          <w:szCs w:val="36"/>
          <w:highlight w:val="none"/>
        </w:rPr>
      </w:pP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1.一般公共预算拨款收入：</w:t>
      </w:r>
      <w:r>
        <w:rPr>
          <w:rFonts w:hint="eastAsia" w:ascii="仿宋_GB2312" w:hAnsi="仿宋_GB2312" w:eastAsia="仿宋_GB2312" w:cs="仿宋_GB2312"/>
          <w:color w:val="333333"/>
          <w:kern w:val="0"/>
          <w:sz w:val="32"/>
          <w:szCs w:val="32"/>
          <w:highlight w:val="none"/>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2.基本支出：</w:t>
      </w:r>
      <w:r>
        <w:rPr>
          <w:rFonts w:hint="eastAsia" w:ascii="仿宋_GB2312" w:hAnsi="仿宋_GB2312" w:eastAsia="仿宋_GB2312" w:cs="仿宋_GB2312"/>
          <w:color w:val="333333"/>
          <w:kern w:val="0"/>
          <w:sz w:val="32"/>
          <w:szCs w:val="32"/>
          <w:highlight w:val="none"/>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3.项目支出：</w:t>
      </w:r>
      <w:r>
        <w:rPr>
          <w:rFonts w:hint="eastAsia" w:ascii="仿宋_GB2312" w:hAnsi="仿宋_GB2312" w:eastAsia="仿宋_GB2312" w:cs="仿宋_GB2312"/>
          <w:color w:val="333333"/>
          <w:kern w:val="0"/>
          <w:sz w:val="32"/>
          <w:szCs w:val="32"/>
          <w:highlight w:val="none"/>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4.“三公”经费：</w:t>
      </w:r>
      <w:r>
        <w:rPr>
          <w:rFonts w:hint="eastAsia" w:ascii="仿宋_GB2312" w:hAnsi="仿宋_GB2312" w:eastAsia="仿宋_GB2312" w:cs="仿宋_GB2312"/>
          <w:color w:val="333333"/>
          <w:kern w:val="0"/>
          <w:sz w:val="32"/>
          <w:szCs w:val="32"/>
          <w:highlight w:val="none"/>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rPr>
        <w:t>5.一般公共服务（类）</w:t>
      </w:r>
      <w:r>
        <w:rPr>
          <w:rFonts w:hint="eastAsia" w:ascii="仿宋_GB2312" w:hAnsi="仿宋_GB2312" w:eastAsia="仿宋_GB2312" w:cs="仿宋_GB2312"/>
          <w:b/>
          <w:bCs/>
          <w:color w:val="333333"/>
          <w:kern w:val="0"/>
          <w:sz w:val="32"/>
          <w:szCs w:val="32"/>
          <w:highlight w:val="none"/>
          <w:shd w:val="clear" w:color="auto" w:fill="FFFFFF"/>
        </w:rPr>
        <w:t>政府办公厅（室）及相关机构事务</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rPr>
        <w:t>事业运行</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反映事业单位的基本支出，不包括行政单位（包括实行公务员管理的事业单位）后勤服务中心、医务室等附属事业单位。</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6.社会保障和就业（类）</w:t>
      </w:r>
      <w:r>
        <w:rPr>
          <w:rFonts w:hint="eastAsia" w:ascii="仿宋_GB2312" w:hAnsi="仿宋_GB2312" w:eastAsia="仿宋_GB2312" w:cs="仿宋_GB2312"/>
          <w:b/>
          <w:bCs/>
          <w:color w:val="333333"/>
          <w:kern w:val="0"/>
          <w:sz w:val="32"/>
          <w:szCs w:val="32"/>
          <w:highlight w:val="none"/>
          <w:shd w:val="clear" w:color="auto" w:fill="FFFFFF"/>
          <w:lang w:eastAsia="zh-CN"/>
        </w:rPr>
        <w:t>行政事业单位养老</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事业单位离退休</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反映事业单位开支的离退休经费。</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rPr>
        <w:t>7.社会保障和就业（类）</w:t>
      </w:r>
      <w:r>
        <w:rPr>
          <w:rFonts w:hint="eastAsia" w:ascii="仿宋_GB2312" w:hAnsi="仿宋_GB2312" w:eastAsia="仿宋_GB2312" w:cs="仿宋_GB2312"/>
          <w:b/>
          <w:bCs/>
          <w:color w:val="333333"/>
          <w:kern w:val="0"/>
          <w:sz w:val="32"/>
          <w:szCs w:val="32"/>
          <w:highlight w:val="none"/>
          <w:shd w:val="clear" w:color="auto" w:fill="FFFFFF"/>
          <w:lang w:eastAsia="zh-CN"/>
        </w:rPr>
        <w:t>行政事业单位养老</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 xml:space="preserve"> 机关事业单位基本养老保险缴费</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8</w:t>
      </w:r>
      <w:r>
        <w:rPr>
          <w:rFonts w:hint="eastAsia" w:ascii="仿宋_GB2312" w:hAnsi="仿宋_GB2312" w:eastAsia="仿宋_GB2312" w:cs="仿宋_GB2312"/>
          <w:b/>
          <w:bCs/>
          <w:color w:val="333333"/>
          <w:kern w:val="0"/>
          <w:sz w:val="32"/>
          <w:szCs w:val="32"/>
          <w:highlight w:val="none"/>
          <w:shd w:val="clear" w:color="auto" w:fill="FFFFFF"/>
        </w:rPr>
        <w:t>.</w:t>
      </w:r>
      <w:r>
        <w:rPr>
          <w:rFonts w:hint="eastAsia" w:ascii="仿宋_GB2312" w:hAnsi="仿宋_GB2312" w:eastAsia="仿宋_GB2312" w:cs="仿宋_GB2312"/>
          <w:b/>
          <w:bCs/>
          <w:color w:val="333333"/>
          <w:kern w:val="0"/>
          <w:sz w:val="32"/>
          <w:szCs w:val="32"/>
          <w:highlight w:val="none"/>
          <w:shd w:val="clear" w:color="auto" w:fill="FFFFFF"/>
        </w:rPr>
        <w:t>住房保障（类）住房改革（款）住房公积金（项）：</w:t>
      </w:r>
      <w:r>
        <w:rPr>
          <w:rFonts w:hint="eastAsia" w:ascii="仿宋_GB2312" w:hAnsi="仿宋_GB2312" w:eastAsia="仿宋_GB2312" w:cs="仿宋_GB2312"/>
          <w:color w:val="333333"/>
          <w:kern w:val="0"/>
          <w:sz w:val="32"/>
          <w:szCs w:val="32"/>
          <w:highlight w:val="none"/>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spacing w:line="600" w:lineRule="exact"/>
        <w:jc w:val="left"/>
        <w:rPr>
          <w:rFonts w:ascii="宋体" w:hAnsi="宋体" w:eastAsia="宋体" w:cs="宋体"/>
          <w:color w:val="333333"/>
          <w:kern w:val="0"/>
          <w:sz w:val="36"/>
          <w:szCs w:val="36"/>
          <w:highlight w:val="none"/>
          <w:shd w:val="clear" w:color="auto" w:fill="FFFFFF"/>
        </w:rPr>
      </w:pPr>
    </w:p>
    <w:p>
      <w:pPr>
        <w:rPr>
          <w:rFonts w:hint="eastAsia"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br w:type="page"/>
      </w:r>
    </w:p>
    <w:p>
      <w:pPr>
        <w:widowControl/>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t>第四部分 2022年</w:t>
      </w:r>
      <w:r>
        <w:rPr>
          <w:rFonts w:hint="eastAsia" w:ascii="黑体" w:hAnsi="黑体" w:eastAsia="黑体" w:cs="宋体"/>
          <w:color w:val="333333"/>
          <w:kern w:val="0"/>
          <w:sz w:val="36"/>
          <w:szCs w:val="36"/>
          <w:highlight w:val="none"/>
        </w:rPr>
        <w:t>龙城区</w:t>
      </w:r>
      <w:r>
        <w:rPr>
          <w:rFonts w:hint="eastAsia" w:ascii="黑体" w:hAnsi="黑体" w:eastAsia="黑体" w:cs="宋体"/>
          <w:color w:val="333333"/>
          <w:kern w:val="0"/>
          <w:sz w:val="36"/>
          <w:szCs w:val="36"/>
          <w:highlight w:val="none"/>
          <w:lang w:eastAsia="zh-CN"/>
        </w:rPr>
        <w:t>武装部</w:t>
      </w:r>
      <w:r>
        <w:rPr>
          <w:rFonts w:hint="eastAsia" w:ascii="黑体" w:hAnsi="黑体" w:eastAsia="黑体" w:cs="宋体"/>
          <w:color w:val="333333"/>
          <w:kern w:val="0"/>
          <w:sz w:val="36"/>
          <w:szCs w:val="36"/>
          <w:highlight w:val="none"/>
        </w:rPr>
        <w:t>部</w:t>
      </w:r>
      <w:r>
        <w:rPr>
          <w:rFonts w:hint="eastAsia" w:ascii="黑体" w:hAnsi="黑体" w:eastAsia="黑体" w:cs="宋体"/>
          <w:color w:val="333333"/>
          <w:kern w:val="0"/>
          <w:sz w:val="36"/>
          <w:szCs w:val="36"/>
          <w:highlight w:val="none"/>
        </w:rPr>
        <w:t>门预算批复表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w:t>
      </w:r>
      <w:r>
        <w:rPr>
          <w:rFonts w:hint="eastAsia" w:ascii="仿宋_GB2312" w:hAnsi="宋体" w:eastAsia="仿宋_GB2312" w:cs="宋体"/>
          <w:color w:val="333333"/>
          <w:kern w:val="0"/>
          <w:sz w:val="32"/>
          <w:szCs w:val="32"/>
          <w:highlight w:val="none"/>
        </w:rPr>
        <w:t>城区</w:t>
      </w:r>
      <w:bookmarkStart w:id="0" w:name="_GoBack"/>
      <w:bookmarkEnd w:id="0"/>
      <w:r>
        <w:rPr>
          <w:rFonts w:hint="eastAsia" w:ascii="仿宋_GB2312" w:hAnsi="宋体" w:eastAsia="仿宋_GB2312" w:cs="宋体"/>
          <w:color w:val="333333"/>
          <w:kern w:val="0"/>
          <w:sz w:val="32"/>
          <w:szCs w:val="32"/>
          <w:highlight w:val="none"/>
          <w:lang w:eastAsia="zh-CN"/>
        </w:rPr>
        <w:t>武装部</w:t>
      </w:r>
      <w:r>
        <w:rPr>
          <w:rFonts w:hint="eastAsia" w:ascii="仿宋_GB2312" w:hAnsi="宋体" w:eastAsia="仿宋_GB2312" w:cs="宋体"/>
          <w:color w:val="333333"/>
          <w:kern w:val="0"/>
          <w:sz w:val="32"/>
          <w:szCs w:val="32"/>
          <w:highlight w:val="none"/>
        </w:rPr>
        <w:t>部</w:t>
      </w:r>
      <w:r>
        <w:rPr>
          <w:rFonts w:hint="eastAsia" w:ascii="仿宋_GB2312" w:hAnsi="宋体" w:eastAsia="仿宋_GB2312" w:cs="宋体"/>
          <w:color w:val="333333"/>
          <w:kern w:val="0"/>
          <w:sz w:val="32"/>
          <w:szCs w:val="32"/>
          <w:highlight w:val="none"/>
        </w:rPr>
        <w:t>门预算批复表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12DD"/>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2463"/>
    <w:rsid w:val="00773D18"/>
    <w:rsid w:val="0077615C"/>
    <w:rsid w:val="00796FF7"/>
    <w:rsid w:val="007C744B"/>
    <w:rsid w:val="00800800"/>
    <w:rsid w:val="00872639"/>
    <w:rsid w:val="008735FF"/>
    <w:rsid w:val="00883567"/>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AD5506"/>
    <w:rsid w:val="00B22BC7"/>
    <w:rsid w:val="00B22C4A"/>
    <w:rsid w:val="00B757C5"/>
    <w:rsid w:val="00B77772"/>
    <w:rsid w:val="00B8047F"/>
    <w:rsid w:val="00B92519"/>
    <w:rsid w:val="00BD1227"/>
    <w:rsid w:val="00C1756C"/>
    <w:rsid w:val="00C176CA"/>
    <w:rsid w:val="00C21B8F"/>
    <w:rsid w:val="00C24DC5"/>
    <w:rsid w:val="00C31141"/>
    <w:rsid w:val="00C61021"/>
    <w:rsid w:val="00C97B24"/>
    <w:rsid w:val="00CD0239"/>
    <w:rsid w:val="00D31DCF"/>
    <w:rsid w:val="00D36C0C"/>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5645DD5"/>
    <w:rsid w:val="0FF03899"/>
    <w:rsid w:val="1D11562F"/>
    <w:rsid w:val="23446E27"/>
    <w:rsid w:val="2EF55474"/>
    <w:rsid w:val="3C6077A7"/>
    <w:rsid w:val="3E616ED9"/>
    <w:rsid w:val="604B01CA"/>
    <w:rsid w:val="65C63716"/>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1729</Words>
  <Characters>467</Characters>
  <Lines>3</Lines>
  <Paragraphs>4</Paragraphs>
  <TotalTime>6</TotalTime>
  <ScaleCrop>false</ScaleCrop>
  <LinksUpToDate>false</LinksUpToDate>
  <CharactersWithSpaces>2192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那一世繁华</cp:lastModifiedBy>
  <cp:lastPrinted>2022-01-06T02:11:00Z</cp:lastPrinted>
  <dcterms:modified xsi:type="dcterms:W3CDTF">2022-01-11T11:23:52Z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0A46C5CB5A25427DA26057A03F87D632</vt:lpwstr>
  </property>
</Properties>
</file>