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rFonts w:asciiTheme="majorEastAsia" w:eastAsiaTheme="majorEastAsia" w:hAnsiTheme="majorEastAsia"/>
          <w:b/>
          <w:sz w:val="44"/>
          <w:szCs w:val="44"/>
        </w:rPr>
      </w:pPr>
    </w:p>
    <w:p w:rsidR="00CC6ED0" w:rsidRDefault="00CC6ED0">
      <w:pPr>
        <w:spacing w:line="600" w:lineRule="exact"/>
        <w:jc w:val="left"/>
        <w:rPr>
          <w:rFonts w:asciiTheme="majorEastAsia" w:eastAsiaTheme="majorEastAsia" w:hAnsiTheme="majorEastAsia"/>
          <w:b/>
          <w:sz w:val="44"/>
          <w:szCs w:val="44"/>
        </w:rPr>
      </w:pPr>
    </w:p>
    <w:p w:rsidR="00CC6ED0" w:rsidRDefault="00CC6ED0">
      <w:pPr>
        <w:spacing w:line="600" w:lineRule="exact"/>
        <w:jc w:val="left"/>
        <w:rPr>
          <w:rFonts w:asciiTheme="majorEastAsia" w:eastAsiaTheme="majorEastAsia" w:hAnsiTheme="majorEastAsia"/>
          <w:b/>
          <w:sz w:val="44"/>
          <w:szCs w:val="44"/>
        </w:rPr>
      </w:pPr>
    </w:p>
    <w:p w:rsidR="00CC6ED0" w:rsidRDefault="00CC6ED0">
      <w:pPr>
        <w:spacing w:line="600" w:lineRule="exact"/>
        <w:jc w:val="left"/>
        <w:rPr>
          <w:rFonts w:asciiTheme="majorEastAsia" w:eastAsiaTheme="majorEastAsia" w:hAnsiTheme="majorEastAsia"/>
          <w:b/>
          <w:sz w:val="44"/>
          <w:szCs w:val="44"/>
        </w:rPr>
      </w:pPr>
    </w:p>
    <w:p w:rsidR="00CC6ED0" w:rsidRDefault="001D536C">
      <w:pPr>
        <w:spacing w:line="700" w:lineRule="exact"/>
        <w:ind w:firstLineChars="100" w:firstLine="522"/>
        <w:rPr>
          <w:rFonts w:asciiTheme="majorEastAsia" w:eastAsiaTheme="majorEastAsia" w:hAnsiTheme="majorEastAsia"/>
          <w:b/>
          <w:sz w:val="52"/>
          <w:szCs w:val="52"/>
        </w:rPr>
      </w:pPr>
      <w:r>
        <w:rPr>
          <w:rFonts w:asciiTheme="majorEastAsia" w:eastAsiaTheme="majorEastAsia" w:hAnsiTheme="majorEastAsia" w:hint="eastAsia"/>
          <w:b/>
          <w:sz w:val="52"/>
          <w:szCs w:val="52"/>
        </w:rPr>
        <w:t>龙城区社会治安综合治理中心部门</w:t>
      </w:r>
    </w:p>
    <w:p w:rsidR="00CC6ED0" w:rsidRDefault="001D536C">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预算</w:t>
      </w:r>
    </w:p>
    <w:p w:rsidR="00CC6ED0" w:rsidRDefault="001D536C">
      <w:pPr>
        <w:spacing w:line="700" w:lineRule="exact"/>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（2022年）</w:t>
      </w: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spacing w:line="600" w:lineRule="exact"/>
        <w:jc w:val="left"/>
        <w:rPr>
          <w:b/>
          <w:sz w:val="44"/>
          <w:szCs w:val="44"/>
          <w:u w:val="single"/>
        </w:rPr>
      </w:pPr>
    </w:p>
    <w:p w:rsidR="00CC6ED0" w:rsidRDefault="00CC6ED0">
      <w:pPr>
        <w:widowControl/>
        <w:spacing w:line="600" w:lineRule="exact"/>
        <w:outlineLvl w:val="0"/>
        <w:rPr>
          <w:rFonts w:asciiTheme="majorEastAsia" w:eastAsiaTheme="majorEastAsia" w:hAnsiTheme="majorEastAsia" w:cs="宋体"/>
          <w:b/>
          <w:bCs/>
          <w:color w:val="333333"/>
          <w:kern w:val="36"/>
          <w:sz w:val="44"/>
          <w:szCs w:val="44"/>
        </w:rPr>
        <w:sectPr w:rsidR="00CC6ED0">
          <w:pgSz w:w="11906" w:h="16838"/>
          <w:pgMar w:top="1701" w:right="1418" w:bottom="1701" w:left="1701" w:header="851" w:footer="992" w:gutter="0"/>
          <w:cols w:space="425"/>
          <w:docGrid w:type="lines" w:linePitch="312"/>
        </w:sectPr>
      </w:pPr>
    </w:p>
    <w:p w:rsidR="00CC6ED0" w:rsidRDefault="001D536C">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lastRenderedPageBreak/>
        <w:t>2022年龙城区社会治安综合治理中心</w:t>
      </w:r>
    </w:p>
    <w:p w:rsidR="00CC6ED0" w:rsidRDefault="001D536C">
      <w:pPr>
        <w:widowControl/>
        <w:spacing w:line="600" w:lineRule="exact"/>
        <w:jc w:val="center"/>
        <w:outlineLvl w:val="0"/>
        <w:rPr>
          <w:rFonts w:asciiTheme="majorEastAsia" w:eastAsiaTheme="majorEastAsia" w:hAnsiTheme="majorEastAsia" w:cs="宋体"/>
          <w:b/>
          <w:bCs/>
          <w:color w:val="333333"/>
          <w:kern w:val="36"/>
          <w:sz w:val="44"/>
          <w:szCs w:val="44"/>
        </w:rPr>
      </w:pPr>
      <w:r>
        <w:rPr>
          <w:rFonts w:asciiTheme="majorEastAsia" w:eastAsiaTheme="majorEastAsia" w:hAnsiTheme="majorEastAsia" w:cs="宋体" w:hint="eastAsia"/>
          <w:b/>
          <w:bCs/>
          <w:color w:val="333333"/>
          <w:kern w:val="36"/>
          <w:sz w:val="44"/>
          <w:szCs w:val="44"/>
        </w:rPr>
        <w:t>部门预算</w:t>
      </w:r>
    </w:p>
    <w:p w:rsidR="00CC6ED0" w:rsidRDefault="00CC6ED0">
      <w:pPr>
        <w:widowControl/>
        <w:spacing w:line="300" w:lineRule="exact"/>
        <w:jc w:val="center"/>
        <w:outlineLvl w:val="0"/>
        <w:rPr>
          <w:rFonts w:asciiTheme="majorEastAsia" w:eastAsiaTheme="majorEastAsia" w:hAnsiTheme="majorEastAsia" w:cs="宋体"/>
          <w:b/>
          <w:bCs/>
          <w:color w:val="333333"/>
          <w:kern w:val="36"/>
          <w:sz w:val="44"/>
          <w:szCs w:val="44"/>
        </w:rPr>
      </w:pPr>
    </w:p>
    <w:p w:rsidR="00CC6ED0" w:rsidRDefault="001D536C">
      <w:pPr>
        <w:widowControl/>
        <w:spacing w:line="600" w:lineRule="exact"/>
        <w:jc w:val="center"/>
        <w:rPr>
          <w:rFonts w:asciiTheme="majorEastAsia" w:eastAsiaTheme="majorEastAsia" w:hAnsiTheme="majorEastAsia" w:cs="宋体"/>
          <w:b/>
          <w:bCs/>
          <w:color w:val="333333"/>
          <w:kern w:val="0"/>
          <w:sz w:val="36"/>
          <w:szCs w:val="36"/>
        </w:rPr>
      </w:pPr>
      <w:r>
        <w:rPr>
          <w:rFonts w:asciiTheme="majorEastAsia" w:eastAsiaTheme="majorEastAsia" w:hAnsiTheme="majorEastAsia" w:cs="宋体" w:hint="eastAsia"/>
          <w:b/>
          <w:bCs/>
          <w:color w:val="333333"/>
          <w:kern w:val="0"/>
          <w:sz w:val="36"/>
          <w:szCs w:val="36"/>
        </w:rPr>
        <w:t>目    录</w:t>
      </w:r>
    </w:p>
    <w:p w:rsidR="00CC6ED0" w:rsidRDefault="00CC6ED0">
      <w:pPr>
        <w:widowControl/>
        <w:spacing w:line="300" w:lineRule="exact"/>
        <w:jc w:val="center"/>
        <w:rPr>
          <w:rFonts w:asciiTheme="majorEastAsia" w:eastAsiaTheme="majorEastAsia" w:hAnsiTheme="majorEastAsia" w:cs="宋体"/>
          <w:b/>
          <w:bCs/>
          <w:color w:val="333333"/>
          <w:kern w:val="0"/>
          <w:sz w:val="36"/>
          <w:szCs w:val="36"/>
        </w:rPr>
      </w:pPr>
    </w:p>
    <w:p w:rsidR="00CC6ED0" w:rsidRDefault="001D536C">
      <w:pPr>
        <w:widowControl/>
        <w:spacing w:line="500" w:lineRule="exact"/>
        <w:jc w:val="left"/>
        <w:rPr>
          <w:rFonts w:ascii="宋体" w:eastAsia="宋体" w:hAnsi="宋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第一部分   龙城区社会治安综合治理中心概况</w:t>
      </w:r>
    </w:p>
    <w:p w:rsidR="00CC6ED0" w:rsidRDefault="001D536C">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一、主要职责</w:t>
      </w:r>
    </w:p>
    <w:p w:rsidR="00CC6ED0" w:rsidRDefault="001D536C">
      <w:pPr>
        <w:widowControl/>
        <w:spacing w:line="500" w:lineRule="exact"/>
        <w:ind w:firstLineChars="200" w:firstLine="640"/>
        <w:jc w:val="left"/>
        <w:rPr>
          <w:rFonts w:ascii="宋体" w:eastAsia="宋体" w:hAnsi="宋体" w:cs="宋体"/>
          <w:bCs/>
          <w:color w:val="333333"/>
          <w:kern w:val="0"/>
          <w:sz w:val="32"/>
          <w:szCs w:val="32"/>
          <w:shd w:val="clear" w:color="auto" w:fill="FFFFFF"/>
        </w:rPr>
      </w:pPr>
      <w:r>
        <w:rPr>
          <w:rFonts w:ascii="宋体" w:eastAsia="宋体" w:hAnsi="宋体" w:cs="宋体" w:hint="eastAsia"/>
          <w:bCs/>
          <w:color w:val="333333"/>
          <w:kern w:val="0"/>
          <w:sz w:val="32"/>
          <w:szCs w:val="32"/>
          <w:shd w:val="clear" w:color="auto" w:fill="FFFFFF"/>
        </w:rPr>
        <w:t>二、部门预算单位构成</w:t>
      </w:r>
    </w:p>
    <w:p w:rsidR="00CC6ED0" w:rsidRDefault="001D536C">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第二部分    龙城区社会治安综合治理中心2022年部门预算情况说明</w:t>
      </w:r>
    </w:p>
    <w:p w:rsidR="00CC6ED0" w:rsidRDefault="001D536C">
      <w:pPr>
        <w:widowControl/>
        <w:spacing w:line="500" w:lineRule="exact"/>
        <w:jc w:val="left"/>
        <w:rPr>
          <w:rFonts w:ascii="黑体" w:eastAsia="黑体" w:hAnsi="黑体" w:cs="宋体"/>
          <w:bCs/>
          <w:color w:val="333333"/>
          <w:kern w:val="0"/>
          <w:sz w:val="32"/>
          <w:szCs w:val="32"/>
          <w:shd w:val="clear" w:color="auto" w:fill="FFFFFF"/>
        </w:rPr>
      </w:pPr>
      <w:r>
        <w:rPr>
          <w:rFonts w:ascii="黑体" w:eastAsia="黑体" w:hAnsi="黑体" w:cs="宋体" w:hint="eastAsia"/>
          <w:bCs/>
          <w:color w:val="333333"/>
          <w:kern w:val="0"/>
          <w:sz w:val="32"/>
          <w:szCs w:val="32"/>
          <w:shd w:val="clear" w:color="auto" w:fill="FFFFFF"/>
        </w:rPr>
        <w:t>第三部分    名词解释</w:t>
      </w:r>
    </w:p>
    <w:p w:rsidR="00CC6ED0" w:rsidRDefault="001D536C">
      <w:pPr>
        <w:widowControl/>
        <w:spacing w:line="500" w:lineRule="exact"/>
        <w:jc w:val="left"/>
        <w:rPr>
          <w:rFonts w:ascii="黑体" w:eastAsia="黑体" w:hAnsi="黑体" w:cs="宋体"/>
          <w:bCs/>
          <w:color w:val="333333"/>
          <w:kern w:val="0"/>
          <w:sz w:val="32"/>
          <w:szCs w:val="32"/>
        </w:rPr>
      </w:pPr>
      <w:r>
        <w:rPr>
          <w:rFonts w:ascii="黑体" w:eastAsia="黑体" w:hAnsi="黑体" w:cs="宋体" w:hint="eastAsia"/>
          <w:bCs/>
          <w:color w:val="333333"/>
          <w:kern w:val="0"/>
          <w:sz w:val="32"/>
          <w:szCs w:val="32"/>
          <w:shd w:val="clear" w:color="auto" w:fill="FFFFFF"/>
        </w:rPr>
        <w:t xml:space="preserve">第四部分    </w:t>
      </w:r>
      <w:r>
        <w:rPr>
          <w:rFonts w:ascii="黑体" w:eastAsia="黑体" w:hAnsi="黑体" w:cs="宋体" w:hint="eastAsia"/>
          <w:bCs/>
          <w:color w:val="333333"/>
          <w:kern w:val="0"/>
          <w:sz w:val="32"/>
          <w:szCs w:val="32"/>
        </w:rPr>
        <w:t>2022年龙城区</w:t>
      </w:r>
      <w:r>
        <w:rPr>
          <w:rFonts w:ascii="黑体" w:eastAsia="黑体" w:hAnsi="黑体" w:cs="宋体" w:hint="eastAsia"/>
          <w:bCs/>
          <w:color w:val="333333"/>
          <w:kern w:val="0"/>
          <w:sz w:val="32"/>
          <w:szCs w:val="32"/>
          <w:shd w:val="clear" w:color="auto" w:fill="FFFFFF"/>
        </w:rPr>
        <w:t>社会治安综合治理中心</w:t>
      </w:r>
      <w:r>
        <w:rPr>
          <w:rFonts w:ascii="黑体" w:eastAsia="黑体" w:hAnsi="黑体" w:cs="宋体" w:hint="eastAsia"/>
          <w:bCs/>
          <w:color w:val="333333"/>
          <w:kern w:val="0"/>
          <w:sz w:val="32"/>
          <w:szCs w:val="32"/>
        </w:rPr>
        <w:t>部门预算批复表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一、收支预算总表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二、收入预算总表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三、支出预算总表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四、财政拨款收支预算总表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五、一般公共预算支出表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六、一般公共预算基本支出表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七、一般公共预算“三公”经费支出表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八、政府性基金预算支出表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九、项目支出预算表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十、支出功能分类预算表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十一、支出经济分类预算表（政府预算）</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十二、支出经济分类预算表（部门预算）</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十三、债务支出预算表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十四、政府采购支出预算表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lastRenderedPageBreak/>
        <w:t>十五、政府购买服务支出预算表</w:t>
      </w:r>
    </w:p>
    <w:p w:rsidR="00CC6ED0" w:rsidRDefault="001D536C">
      <w:pPr>
        <w:widowControl/>
        <w:spacing w:line="500" w:lineRule="exact"/>
        <w:ind w:firstLineChars="200" w:firstLine="640"/>
        <w:jc w:val="left"/>
        <w:rPr>
          <w:rFonts w:ascii="宋体" w:eastAsia="宋体" w:hAnsi="宋体" w:cs="宋体"/>
          <w:color w:val="333333"/>
          <w:kern w:val="0"/>
          <w:sz w:val="32"/>
          <w:szCs w:val="32"/>
        </w:rPr>
      </w:pPr>
      <w:r>
        <w:rPr>
          <w:rFonts w:ascii="宋体" w:eastAsia="宋体" w:hAnsi="宋体" w:cs="宋体" w:hint="eastAsia"/>
          <w:color w:val="333333"/>
          <w:kern w:val="0"/>
          <w:sz w:val="32"/>
          <w:szCs w:val="32"/>
        </w:rPr>
        <w:t>十六、部门（单位）整体绩效目标表</w:t>
      </w:r>
    </w:p>
    <w:p w:rsidR="00CC6ED0" w:rsidRDefault="001D536C">
      <w:pPr>
        <w:widowControl/>
        <w:spacing w:line="500" w:lineRule="exact"/>
        <w:ind w:firstLineChars="200" w:firstLine="640"/>
        <w:jc w:val="left"/>
        <w:rPr>
          <w:rFonts w:ascii="宋体" w:eastAsia="宋体" w:hAnsi="宋体" w:cs="宋体"/>
          <w:color w:val="333333"/>
          <w:kern w:val="0"/>
          <w:sz w:val="32"/>
          <w:szCs w:val="32"/>
          <w:shd w:val="clear" w:color="auto" w:fill="FFFFFF"/>
        </w:rPr>
      </w:pPr>
      <w:r>
        <w:rPr>
          <w:rFonts w:ascii="宋体" w:eastAsia="宋体" w:hAnsi="宋体" w:cs="宋体" w:hint="eastAsia"/>
          <w:color w:val="333333"/>
          <w:kern w:val="0"/>
          <w:sz w:val="32"/>
          <w:szCs w:val="32"/>
        </w:rPr>
        <w:t>十七、部门预算项目（政策）绩效目标表</w:t>
      </w: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CC6ED0">
      <w:pPr>
        <w:widowControl/>
        <w:spacing w:line="600" w:lineRule="exact"/>
        <w:jc w:val="center"/>
        <w:rPr>
          <w:rFonts w:ascii="黑体" w:eastAsia="黑体" w:hAnsi="黑体" w:cs="黑体"/>
          <w:color w:val="333333"/>
          <w:kern w:val="0"/>
          <w:sz w:val="36"/>
          <w:szCs w:val="36"/>
        </w:rPr>
      </w:pPr>
    </w:p>
    <w:p w:rsidR="00CC6ED0" w:rsidRDefault="001D536C">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第一部分 龙城区社会治安综合治理中心概况</w:t>
      </w:r>
    </w:p>
    <w:p w:rsidR="00CC6ED0" w:rsidRDefault="001D536C">
      <w:pPr>
        <w:widowControl/>
        <w:numPr>
          <w:ilvl w:val="0"/>
          <w:numId w:val="1"/>
        </w:numPr>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主要职责</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(一）认真贯彻社会治安综合治理和市域社会治理现代化的相关政策、法律法规及相关要求；</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（二）协调推动涉及多个部门的社会治安综合治理事项的解决；</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（三）调解辖区内跨区域的矛盾纠纷，指定牵头单位调解；</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（四）协调、指导、推动辖区内网格化管理工作的落实；</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（五）对辖区内各镇街各部门进行督导、检查，开展平安建设考核评价；</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（六）组织开展对社会治安和社会稳定形势的整体研判、动态监测，并提出督办建议；</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（七）组织开展法制宣传教育，引导人民群众遵守法律；</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（八）服务全区信访稳定、市域社会治理现代化工作；</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（九）了解掌握和分析研判平安建设协调小组情况动态、协调推动预防、化解各类社会矛盾和风险，协调应对和处置重大突发事件；</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（十）承接龙城区委政法委“市域社会治理现代化办公室”的职能；</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（十一）协调、调度辖区内相关责任单位社会治理工作；</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（十二）对有关社会治安、矛盾纠纷等方面的求助、投诉联动受理并分流工作，对相关责任单位进行事件追踪、处理、督办和对问题的反馈工作；</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lastRenderedPageBreak/>
        <w:t>（十三）依托综治信息系统、综治视联网、公共安全视频监控系统等，逐步实现对辖区内社会治安状况的实时监控，分析研判等；</w:t>
      </w:r>
    </w:p>
    <w:p w:rsidR="00CC6ED0" w:rsidRDefault="001D536C">
      <w:pPr>
        <w:widowControl/>
        <w:spacing w:line="560" w:lineRule="exact"/>
        <w:ind w:firstLineChars="200" w:firstLine="640"/>
        <w:jc w:val="left"/>
        <w:rPr>
          <w:rFonts w:ascii="仿宋_GB2312" w:eastAsia="仿宋_GB2312" w:hAnsi="仿宋_GB2312" w:cs="仿宋_GB2312"/>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（十四）上级政法委和同级党委、政府及区平安建设协调小组交办的其他事项。</w:t>
      </w:r>
    </w:p>
    <w:p w:rsidR="00CC6ED0" w:rsidRDefault="001D536C">
      <w:pPr>
        <w:widowControl/>
        <w:spacing w:line="560" w:lineRule="exact"/>
        <w:jc w:val="left"/>
        <w:rPr>
          <w:rFonts w:ascii="仿宋_GB2312" w:eastAsia="仿宋_GB2312" w:hAnsi="宋体" w:cs="宋体"/>
          <w:bCs/>
          <w:color w:val="333333"/>
          <w:kern w:val="0"/>
          <w:sz w:val="32"/>
          <w:szCs w:val="32"/>
          <w:shd w:val="clear" w:color="auto" w:fill="FFFFFF"/>
        </w:rPr>
      </w:pPr>
      <w:r>
        <w:rPr>
          <w:rFonts w:ascii="楷体_GB2312" w:eastAsia="楷体_GB2312" w:hAnsi="楷体_GB2312" w:cs="楷体_GB2312" w:hint="eastAsia"/>
          <w:b/>
          <w:color w:val="333333"/>
          <w:kern w:val="0"/>
          <w:sz w:val="32"/>
          <w:szCs w:val="32"/>
          <w:shd w:val="clear" w:color="auto" w:fill="FFFFFF"/>
        </w:rPr>
        <w:t xml:space="preserve">    二、部门预算单位构成</w:t>
      </w:r>
      <w:r>
        <w:rPr>
          <w:rFonts w:ascii="宋体" w:eastAsia="宋体" w:hAnsi="宋体" w:cs="宋体" w:hint="eastAsia"/>
          <w:color w:val="333333"/>
          <w:kern w:val="0"/>
          <w:sz w:val="32"/>
          <w:szCs w:val="32"/>
        </w:rPr>
        <w:br/>
      </w:r>
      <w:r>
        <w:rPr>
          <w:rFonts w:ascii="仿宋_GB2312" w:eastAsia="仿宋_GB2312" w:hAnsi="宋体" w:cs="宋体" w:hint="eastAsia"/>
          <w:bCs/>
          <w:color w:val="333333"/>
          <w:kern w:val="0"/>
          <w:sz w:val="32"/>
          <w:szCs w:val="32"/>
          <w:shd w:val="clear" w:color="auto" w:fill="FFFFFF"/>
        </w:rPr>
        <w:t xml:space="preserve">    纳入2022年部门预算编制范围的预算单位包括：</w:t>
      </w:r>
    </w:p>
    <w:p w:rsidR="00CC6ED0" w:rsidRDefault="001D536C">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r>
        <w:rPr>
          <w:rFonts w:ascii="仿宋_GB2312" w:eastAsia="仿宋_GB2312" w:hAnsi="宋体" w:cs="宋体" w:hint="eastAsia"/>
          <w:bCs/>
          <w:color w:val="333333"/>
          <w:kern w:val="0"/>
          <w:sz w:val="32"/>
          <w:szCs w:val="32"/>
          <w:shd w:val="clear" w:color="auto" w:fill="FFFFFF"/>
        </w:rPr>
        <w:t>龙城区社会治安综合治理中心本级</w:t>
      </w: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560" w:lineRule="exact"/>
        <w:ind w:firstLineChars="200" w:firstLine="640"/>
        <w:jc w:val="left"/>
        <w:rPr>
          <w:rFonts w:ascii="仿宋_GB2312" w:eastAsia="仿宋_GB2312" w:hAnsi="宋体" w:cs="宋体"/>
          <w:bCs/>
          <w:color w:val="333333"/>
          <w:kern w:val="0"/>
          <w:sz w:val="32"/>
          <w:szCs w:val="32"/>
          <w:shd w:val="clear" w:color="auto" w:fill="FFFFFF"/>
        </w:rPr>
      </w:pPr>
    </w:p>
    <w:p w:rsidR="00CC6ED0" w:rsidRDefault="00CC6ED0">
      <w:pPr>
        <w:widowControl/>
        <w:spacing w:line="600" w:lineRule="exact"/>
        <w:jc w:val="left"/>
        <w:rPr>
          <w:rFonts w:ascii="宋体" w:eastAsia="宋体" w:hAnsi="宋体" w:cs="宋体"/>
          <w:kern w:val="0"/>
          <w:sz w:val="36"/>
          <w:szCs w:val="36"/>
        </w:rPr>
      </w:pPr>
    </w:p>
    <w:p w:rsidR="00CC6ED0" w:rsidRDefault="001D536C">
      <w:pPr>
        <w:widowControl/>
        <w:numPr>
          <w:ilvl w:val="0"/>
          <w:numId w:val="2"/>
        </w:numPr>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龙城区社会治安综合治理中心2022年部门</w:t>
      </w:r>
    </w:p>
    <w:p w:rsidR="00CC6ED0" w:rsidRDefault="001D536C">
      <w:pPr>
        <w:widowControl/>
        <w:spacing w:line="600" w:lineRule="exact"/>
        <w:ind w:firstLineChars="1000" w:firstLine="3600"/>
        <w:rPr>
          <w:rFonts w:ascii="黑体" w:eastAsia="黑体" w:hAnsi="黑体" w:cs="黑体"/>
          <w:color w:val="333333"/>
          <w:kern w:val="0"/>
          <w:sz w:val="36"/>
          <w:szCs w:val="36"/>
        </w:rPr>
      </w:pPr>
      <w:r>
        <w:rPr>
          <w:rFonts w:ascii="黑体" w:eastAsia="黑体" w:hAnsi="黑体" w:cs="黑体" w:hint="eastAsia"/>
          <w:color w:val="333333"/>
          <w:kern w:val="0"/>
          <w:sz w:val="36"/>
          <w:szCs w:val="36"/>
        </w:rPr>
        <w:t>预算情况说明</w:t>
      </w:r>
    </w:p>
    <w:p w:rsidR="00CC6ED0" w:rsidRDefault="00CC6ED0">
      <w:pPr>
        <w:widowControl/>
        <w:spacing w:line="560" w:lineRule="exact"/>
        <w:ind w:firstLineChars="200" w:firstLine="720"/>
        <w:jc w:val="left"/>
        <w:rPr>
          <w:rFonts w:ascii="宋体" w:eastAsia="宋体" w:hAnsi="宋体" w:cs="宋体"/>
          <w:color w:val="333333"/>
          <w:kern w:val="0"/>
          <w:sz w:val="36"/>
          <w:szCs w:val="36"/>
        </w:rPr>
      </w:pPr>
    </w:p>
    <w:p w:rsidR="00CC6ED0" w:rsidRDefault="001D536C">
      <w:pPr>
        <w:widowControl/>
        <w:spacing w:line="600" w:lineRule="exact"/>
        <w:jc w:val="left"/>
        <w:rPr>
          <w:rFonts w:ascii="宋体" w:eastAsia="宋体" w:hAnsi="宋体" w:cs="宋体"/>
          <w:color w:val="333333"/>
          <w:kern w:val="0"/>
          <w:sz w:val="32"/>
          <w:szCs w:val="32"/>
        </w:rPr>
      </w:pPr>
      <w:r>
        <w:rPr>
          <w:rFonts w:ascii="楷体_GB2312" w:eastAsia="楷体_GB2312" w:hAnsi="楷体_GB2312" w:cs="楷体_GB2312" w:hint="eastAsia"/>
          <w:b/>
          <w:bCs/>
          <w:color w:val="333333"/>
          <w:kern w:val="0"/>
          <w:sz w:val="32"/>
          <w:szCs w:val="32"/>
        </w:rPr>
        <w:t xml:space="preserve">    一、收支预算的总体情况</w:t>
      </w:r>
      <w:bookmarkStart w:id="0" w:name="_GoBack"/>
      <w:bookmarkEnd w:id="0"/>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按照综合预算的原则，2022 年所有收入和支出均纳入部门预算管理。其中：</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（一）收入</w:t>
      </w:r>
      <w:r w:rsidRPr="00DC55CC">
        <w:rPr>
          <w:rFonts w:ascii="仿宋_GB2312" w:eastAsia="仿宋_GB2312" w:hAnsi="仿宋_GB2312" w:cs="仿宋_GB2312" w:hint="eastAsia"/>
          <w:color w:val="333333"/>
          <w:kern w:val="0"/>
          <w:sz w:val="32"/>
          <w:szCs w:val="32"/>
        </w:rPr>
        <w:t>预算</w:t>
      </w:r>
      <w:r w:rsidR="00DC55CC">
        <w:rPr>
          <w:rFonts w:ascii="仿宋_GB2312" w:eastAsia="仿宋_GB2312" w:hAnsi="仿宋_GB2312" w:cs="仿宋_GB2312" w:hint="eastAsia"/>
          <w:color w:val="333333"/>
          <w:kern w:val="0"/>
          <w:sz w:val="32"/>
          <w:szCs w:val="32"/>
        </w:rPr>
        <w:t>183.08</w:t>
      </w:r>
      <w:r w:rsidRPr="00DC55CC">
        <w:rPr>
          <w:rFonts w:ascii="仿宋_GB2312" w:eastAsia="仿宋_GB2312" w:hAnsi="仿宋_GB2312" w:cs="仿宋_GB2312" w:hint="eastAsia"/>
          <w:color w:val="333333"/>
          <w:kern w:val="0"/>
          <w:sz w:val="32"/>
          <w:szCs w:val="32"/>
        </w:rPr>
        <w:t>万元</w:t>
      </w:r>
      <w:r>
        <w:rPr>
          <w:rFonts w:ascii="仿宋_GB2312" w:eastAsia="仿宋_GB2312" w:hAnsi="仿宋_GB2312" w:cs="仿宋_GB2312" w:hint="eastAsia"/>
          <w:color w:val="333333"/>
          <w:kern w:val="0"/>
          <w:sz w:val="32"/>
          <w:szCs w:val="32"/>
        </w:rPr>
        <w:t>，包括：</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1.一般公共预算拨款收入183.08万元；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2.政府性基金预算拨款收入0万元；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3.国有资本经营预算拨款收入0万元；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4.财政专户管理资金收入0万元；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5.单位资金收入0万元；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6.上年结转结余0万元。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（二）支出预算183.08万元，包括：</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1.基本支出161.18万元；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2.项目支出21.9万元。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在支出预算183.08万元中，债务支出0万元，政府采购支出0万元，政府购买服务支出0万元。</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2022年预算收支比 2021 年增加21.86万元。</w:t>
      </w:r>
    </w:p>
    <w:p w:rsidR="00CC6ED0" w:rsidRDefault="001D536C">
      <w:pPr>
        <w:widowControl/>
        <w:spacing w:line="60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二、机关运行经费安排情况</w:t>
      </w:r>
    </w:p>
    <w:p w:rsidR="00CC6ED0" w:rsidRDefault="001D536C">
      <w:pPr>
        <w:widowControl/>
        <w:spacing w:line="60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2022年机关运行经费预算为12.61万元。主要包括办公费、邮电费、劳务费、差旅费、公务用车运行维护费等。</w:t>
      </w:r>
    </w:p>
    <w:p w:rsidR="00CC6ED0" w:rsidRDefault="001D536C">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三、政府采购情况</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2022年预算无政府采购项目。</w:t>
      </w:r>
    </w:p>
    <w:p w:rsidR="00CC6ED0" w:rsidRDefault="001D536C">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 “三公”经费预算情况</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2.2万元，比上年增加/减少</w:t>
      </w:r>
    </w:p>
    <w:p w:rsidR="00CC6ED0" w:rsidRDefault="001D536C">
      <w:pPr>
        <w:widowControl/>
        <w:spacing w:line="54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万元。其中：</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因公出国（境）费0万元，与上年持平。</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公务接待费0万元，与上年持平。</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公务用车运行费2.2万元，与上年持平。</w:t>
      </w:r>
    </w:p>
    <w:p w:rsidR="00CC6ED0" w:rsidRDefault="001D536C">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五、国有资产占用情况</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2022年年初预算购置车辆0台，金额0万元，单位价值 50 万元以上的通用设备 0台，单位价值 100万元以上的专用设备 0台。</w:t>
      </w:r>
    </w:p>
    <w:p w:rsidR="00CC6ED0" w:rsidRDefault="001D536C">
      <w:pPr>
        <w:widowControl/>
        <w:spacing w:line="540" w:lineRule="exact"/>
        <w:ind w:firstLineChars="200" w:firstLine="643"/>
        <w:jc w:val="left"/>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六、预算绩效目标情况</w:t>
      </w:r>
    </w:p>
    <w:p w:rsidR="00CC6ED0" w:rsidRDefault="001D536C">
      <w:pPr>
        <w:widowControl/>
        <w:spacing w:line="54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预算绩效管理要求，2022年应编制部门（单位）整体绩效目标共1个，实际编制部门（单位）整体绩效目标共1个，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rsidR="00CC6ED0" w:rsidRDefault="00CC6ED0">
      <w:pPr>
        <w:widowControl/>
        <w:spacing w:line="600" w:lineRule="exact"/>
        <w:jc w:val="center"/>
        <w:rPr>
          <w:rFonts w:ascii="黑体" w:eastAsia="黑体" w:hAnsi="黑体" w:cs="黑体"/>
          <w:color w:val="333333"/>
          <w:kern w:val="0"/>
          <w:sz w:val="36"/>
          <w:szCs w:val="36"/>
        </w:rPr>
      </w:pPr>
    </w:p>
    <w:p w:rsidR="00CC6ED0" w:rsidRDefault="001D536C">
      <w:pPr>
        <w:widowControl/>
        <w:spacing w:line="600" w:lineRule="exact"/>
        <w:jc w:val="center"/>
        <w:rPr>
          <w:rFonts w:ascii="黑体" w:eastAsia="黑体" w:hAnsi="黑体" w:cs="黑体"/>
          <w:color w:val="333333"/>
          <w:kern w:val="0"/>
          <w:sz w:val="36"/>
          <w:szCs w:val="36"/>
        </w:rPr>
      </w:pPr>
      <w:r>
        <w:rPr>
          <w:rFonts w:ascii="黑体" w:eastAsia="黑体" w:hAnsi="黑体" w:cs="黑体" w:hint="eastAsia"/>
          <w:color w:val="333333"/>
          <w:kern w:val="0"/>
          <w:sz w:val="36"/>
          <w:szCs w:val="36"/>
        </w:rPr>
        <w:lastRenderedPageBreak/>
        <w:t>第三部分 名词解释</w:t>
      </w:r>
    </w:p>
    <w:p w:rsidR="00CC6ED0" w:rsidRDefault="00CC6ED0">
      <w:pPr>
        <w:widowControl/>
        <w:spacing w:line="600" w:lineRule="exact"/>
        <w:jc w:val="center"/>
        <w:rPr>
          <w:rFonts w:ascii="宋体" w:eastAsia="宋体" w:hAnsi="宋体" w:cs="宋体"/>
          <w:color w:val="333333"/>
          <w:kern w:val="0"/>
          <w:sz w:val="36"/>
          <w:szCs w:val="36"/>
        </w:rPr>
      </w:pP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1.一般公共预算拨款收入：</w:t>
      </w:r>
      <w:r>
        <w:rPr>
          <w:rFonts w:ascii="仿宋_GB2312" w:eastAsia="仿宋_GB2312" w:hAnsi="仿宋_GB2312" w:cs="仿宋_GB2312" w:hint="eastAsia"/>
          <w:color w:val="333333"/>
          <w:kern w:val="0"/>
          <w:sz w:val="32"/>
          <w:szCs w:val="32"/>
          <w:shd w:val="clear" w:color="auto" w:fill="FFFFFF"/>
        </w:rPr>
        <w:t>指区级财政当年拨付的资金。</w:t>
      </w: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2.基本支出：</w:t>
      </w:r>
      <w:r>
        <w:rPr>
          <w:rFonts w:ascii="仿宋_GB2312" w:eastAsia="仿宋_GB2312" w:hAnsi="仿宋_GB2312" w:cs="仿宋_GB2312" w:hint="eastAsia"/>
          <w:color w:val="333333"/>
          <w:kern w:val="0"/>
          <w:sz w:val="32"/>
          <w:szCs w:val="32"/>
          <w:shd w:val="clear" w:color="auto" w:fill="FFFFFF"/>
        </w:rPr>
        <w:t>指保障机构正常运转、完成日常工作任务而发生的人员经费和公用经费。</w:t>
      </w: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3.项目支出：</w:t>
      </w:r>
      <w:r>
        <w:rPr>
          <w:rFonts w:ascii="仿宋_GB2312" w:eastAsia="仿宋_GB2312" w:hAnsi="仿宋_GB2312" w:cs="仿宋_GB2312" w:hint="eastAsia"/>
          <w:color w:val="333333"/>
          <w:kern w:val="0"/>
          <w:sz w:val="32"/>
          <w:szCs w:val="32"/>
          <w:shd w:val="clear" w:color="auto" w:fill="FFFFFF"/>
        </w:rPr>
        <w:t>指在基本支出之外为完成特定工作任务和事业发展目标所发生的支出。</w:t>
      </w: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4.“三公”经费：</w:t>
      </w:r>
      <w:r>
        <w:rPr>
          <w:rFonts w:ascii="仿宋_GB2312" w:eastAsia="仿宋_GB2312" w:hAnsi="仿宋_GB2312" w:cs="仿宋_GB2312" w:hint="eastAsia"/>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5.一般公共服务（类）党委办公厅（室）及相关机构事务（款）事业运行（项）：</w:t>
      </w:r>
      <w:r>
        <w:rPr>
          <w:rFonts w:ascii="仿宋_GB2312" w:eastAsia="仿宋_GB2312" w:hAnsi="仿宋_GB2312" w:cs="仿宋_GB2312" w:hint="eastAsia"/>
          <w:color w:val="333333"/>
          <w:kern w:val="0"/>
          <w:sz w:val="32"/>
          <w:szCs w:val="32"/>
          <w:shd w:val="clear" w:color="auto" w:fill="FFFFFF"/>
        </w:rPr>
        <w:t>反映事业单位的基本支出，不包括行政单位（包括实行公务员管理的事业单位）后勤服务中心、医务室等附属事业单位。</w:t>
      </w: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t>6.社会保障和就业（类）行政事业单位养老（款）机关事业单位基本养老保险缴费支出（项）：</w:t>
      </w:r>
      <w:r w:rsidRPr="00DC55CC">
        <w:rPr>
          <w:rFonts w:ascii="仿宋_GB2312" w:eastAsia="仿宋_GB2312" w:hAnsi="仿宋_GB2312" w:cs="仿宋_GB2312" w:hint="eastAsia"/>
          <w:color w:val="333333"/>
          <w:kern w:val="0"/>
          <w:sz w:val="32"/>
          <w:szCs w:val="32"/>
          <w:shd w:val="clear" w:color="auto" w:fill="FFFFFF"/>
        </w:rPr>
        <w:t>反映机关事业单位实施养老保险制度由单位缴纳的基本养老保险费支出。</w:t>
      </w:r>
    </w:p>
    <w:p w:rsidR="00CC6ED0" w:rsidRDefault="001D536C">
      <w:pPr>
        <w:spacing w:line="620" w:lineRule="exact"/>
        <w:ind w:firstLineChars="200" w:firstLine="643"/>
        <w:jc w:val="left"/>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b/>
          <w:bCs/>
          <w:color w:val="333333"/>
          <w:kern w:val="0"/>
          <w:sz w:val="32"/>
          <w:szCs w:val="32"/>
          <w:shd w:val="clear" w:color="auto" w:fill="FFFFFF"/>
        </w:rPr>
        <w:lastRenderedPageBreak/>
        <w:t>7.卫生健康（类） 行政事业单位医疗（款）事业单位医疗（项）：</w:t>
      </w:r>
      <w:r>
        <w:rPr>
          <w:rFonts w:ascii="仿宋_GB2312" w:eastAsia="仿宋_GB2312" w:hAnsi="仿宋_GB2312" w:cs="仿宋_GB2312" w:hint="eastAsia"/>
          <w:color w:val="333333"/>
          <w:kern w:val="0"/>
          <w:sz w:val="32"/>
          <w:szCs w:val="32"/>
          <w:shd w:val="clear" w:color="auto" w:fill="FFFFFF"/>
        </w:rPr>
        <w:t>反映财政部门安排的事业单位基本医疗保险缴费经费，未参加医疗保险的事业单位的公费医疗保险，按国家规定享受离休人员待遇的医疗经费。</w:t>
      </w:r>
    </w:p>
    <w:p w:rsidR="00CC6ED0" w:rsidRDefault="001D536C">
      <w:pPr>
        <w:spacing w:line="620" w:lineRule="exact"/>
        <w:ind w:firstLineChars="200" w:firstLine="640"/>
        <w:jc w:val="left"/>
        <w:rPr>
          <w:rFonts w:ascii="仿宋_GB2312" w:eastAsia="仿宋_GB2312" w:hAnsi="仿宋_GB2312" w:cs="仿宋_GB2312"/>
          <w:b/>
          <w:bCs/>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8.</w:t>
      </w:r>
      <w:r>
        <w:rPr>
          <w:rFonts w:ascii="仿宋_GB2312" w:eastAsia="仿宋_GB2312" w:hAnsi="仿宋_GB2312" w:cs="仿宋_GB2312" w:hint="eastAsia"/>
          <w:b/>
          <w:bCs/>
          <w:color w:val="333333"/>
          <w:kern w:val="0"/>
          <w:sz w:val="32"/>
          <w:szCs w:val="32"/>
          <w:shd w:val="clear" w:color="auto" w:fill="FFFFFF"/>
        </w:rPr>
        <w:t>住房保障支出</w:t>
      </w:r>
      <w:r>
        <w:rPr>
          <w:rFonts w:ascii="仿宋_GB2312" w:eastAsia="仿宋_GB2312" w:hAnsi="仿宋_GB2312" w:cs="仿宋_GB2312" w:hint="eastAsia"/>
          <w:color w:val="333333"/>
          <w:kern w:val="0"/>
          <w:sz w:val="32"/>
          <w:szCs w:val="32"/>
          <w:shd w:val="clear" w:color="auto" w:fill="FFFFFF"/>
        </w:rPr>
        <w:t>（类）</w:t>
      </w:r>
      <w:r>
        <w:rPr>
          <w:rFonts w:ascii="仿宋_GB2312" w:eastAsia="仿宋_GB2312" w:hAnsi="仿宋_GB2312" w:cs="仿宋_GB2312" w:hint="eastAsia"/>
          <w:b/>
          <w:bCs/>
          <w:color w:val="333333"/>
          <w:kern w:val="0"/>
          <w:sz w:val="32"/>
          <w:szCs w:val="32"/>
          <w:shd w:val="clear" w:color="auto" w:fill="FFFFFF"/>
        </w:rPr>
        <w:t>住房改革</w:t>
      </w:r>
      <w:r>
        <w:rPr>
          <w:rFonts w:ascii="仿宋_GB2312" w:eastAsia="仿宋_GB2312" w:hAnsi="仿宋_GB2312" w:cs="仿宋_GB2312" w:hint="eastAsia"/>
          <w:color w:val="333333"/>
          <w:kern w:val="0"/>
          <w:sz w:val="32"/>
          <w:szCs w:val="32"/>
          <w:shd w:val="clear" w:color="auto" w:fill="FFFFFF"/>
        </w:rPr>
        <w:t>（款）</w:t>
      </w:r>
      <w:r>
        <w:rPr>
          <w:rFonts w:ascii="仿宋_GB2312" w:eastAsia="仿宋_GB2312" w:hAnsi="仿宋_GB2312" w:cs="仿宋_GB2312" w:hint="eastAsia"/>
          <w:b/>
          <w:bCs/>
          <w:color w:val="333333"/>
          <w:kern w:val="0"/>
          <w:sz w:val="32"/>
          <w:szCs w:val="32"/>
          <w:shd w:val="clear" w:color="auto" w:fill="FFFFFF"/>
        </w:rPr>
        <w:t>住房公积金</w:t>
      </w:r>
      <w:r>
        <w:rPr>
          <w:rFonts w:ascii="仿宋_GB2312" w:eastAsia="仿宋_GB2312" w:hAnsi="仿宋_GB2312" w:cs="仿宋_GB2312" w:hint="eastAsia"/>
          <w:color w:val="333333"/>
          <w:kern w:val="0"/>
          <w:sz w:val="32"/>
          <w:szCs w:val="32"/>
          <w:shd w:val="clear" w:color="auto" w:fill="FFFFFF"/>
        </w:rPr>
        <w:t>（项）：反映行政事业单位按人力资源和社会保障部、财政部规定的基本工资和津贴以及规定比例为职工缴纳的住房公积金。</w:t>
      </w:r>
    </w:p>
    <w:p w:rsidR="00CC6ED0" w:rsidRDefault="00CC6ED0">
      <w:pPr>
        <w:spacing w:line="620" w:lineRule="exact"/>
        <w:ind w:firstLineChars="200" w:firstLine="640"/>
        <w:jc w:val="left"/>
        <w:rPr>
          <w:rFonts w:ascii="仿宋_GB2312" w:eastAsia="仿宋_GB2312" w:hAnsi="仿宋_GB2312" w:cs="仿宋_GB2312"/>
          <w:color w:val="333333"/>
          <w:kern w:val="0"/>
          <w:sz w:val="32"/>
          <w:szCs w:val="32"/>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CC6ED0">
      <w:pPr>
        <w:spacing w:line="600" w:lineRule="exact"/>
        <w:jc w:val="left"/>
        <w:rPr>
          <w:rFonts w:ascii="宋体" w:eastAsia="宋体" w:hAnsi="宋体" w:cs="宋体"/>
          <w:color w:val="333333"/>
          <w:kern w:val="0"/>
          <w:sz w:val="36"/>
          <w:szCs w:val="36"/>
          <w:shd w:val="clear" w:color="auto" w:fill="FFFFFF"/>
        </w:rPr>
      </w:pPr>
    </w:p>
    <w:p w:rsidR="00CC6ED0" w:rsidRDefault="001D536C">
      <w:pPr>
        <w:widowControl/>
        <w:numPr>
          <w:ilvl w:val="0"/>
          <w:numId w:val="2"/>
        </w:numPr>
        <w:spacing w:line="600" w:lineRule="exact"/>
        <w:jc w:val="center"/>
        <w:rPr>
          <w:rFonts w:ascii="黑体" w:eastAsia="黑体" w:hAnsi="黑体" w:cs="宋体"/>
          <w:color w:val="333333"/>
          <w:kern w:val="0"/>
          <w:sz w:val="36"/>
          <w:szCs w:val="36"/>
        </w:rPr>
      </w:pPr>
      <w:r>
        <w:rPr>
          <w:rFonts w:ascii="黑体" w:eastAsia="黑体" w:hAnsi="黑体" w:cs="宋体" w:hint="eastAsia"/>
          <w:color w:val="333333"/>
          <w:kern w:val="0"/>
          <w:sz w:val="36"/>
          <w:szCs w:val="36"/>
        </w:rPr>
        <w:lastRenderedPageBreak/>
        <w:t>2022年龙城区社会治安综合治理中心部门</w:t>
      </w:r>
    </w:p>
    <w:p w:rsidR="00CC6ED0" w:rsidRDefault="001D536C">
      <w:pPr>
        <w:widowControl/>
        <w:spacing w:line="600" w:lineRule="exact"/>
        <w:ind w:firstLineChars="1100" w:firstLine="3960"/>
        <w:rPr>
          <w:rFonts w:ascii="黑体" w:eastAsia="黑体" w:hAnsi="黑体" w:cs="宋体"/>
          <w:color w:val="333333"/>
          <w:kern w:val="0"/>
          <w:sz w:val="36"/>
          <w:szCs w:val="36"/>
        </w:rPr>
      </w:pPr>
      <w:r>
        <w:rPr>
          <w:rFonts w:ascii="黑体" w:eastAsia="黑体" w:hAnsi="黑体" w:cs="宋体" w:hint="eastAsia"/>
          <w:color w:val="333333"/>
          <w:kern w:val="0"/>
          <w:sz w:val="36"/>
          <w:szCs w:val="36"/>
        </w:rPr>
        <w:t>预算批复表</w:t>
      </w:r>
    </w:p>
    <w:p w:rsidR="00CC6ED0" w:rsidRDefault="00CC6ED0">
      <w:pPr>
        <w:widowControl/>
        <w:spacing w:line="600" w:lineRule="exact"/>
        <w:jc w:val="left"/>
        <w:rPr>
          <w:rFonts w:ascii="仿宋_GB2312" w:eastAsia="仿宋_GB2312" w:hAnsi="宋体" w:cs="宋体"/>
          <w:color w:val="333333"/>
          <w:kern w:val="0"/>
          <w:sz w:val="36"/>
          <w:szCs w:val="36"/>
          <w:shd w:val="clear" w:color="auto" w:fill="FFFFFF"/>
        </w:rPr>
      </w:pPr>
    </w:p>
    <w:p w:rsidR="00CC6ED0" w:rsidRDefault="001D536C">
      <w:pPr>
        <w:widowControl/>
        <w:spacing w:line="600" w:lineRule="exact"/>
        <w:jc w:val="left"/>
        <w:rPr>
          <w:rFonts w:ascii="仿宋_GB2312" w:eastAsia="仿宋_GB2312" w:hAnsi="宋体" w:cs="宋体"/>
          <w:kern w:val="0"/>
          <w:sz w:val="36"/>
          <w:szCs w:val="36"/>
        </w:rPr>
      </w:pPr>
      <w:r>
        <w:rPr>
          <w:rFonts w:ascii="仿宋_GB2312" w:eastAsia="仿宋_GB2312" w:hAnsi="宋体" w:cs="宋体" w:hint="eastAsia"/>
          <w:color w:val="333333"/>
          <w:kern w:val="0"/>
          <w:sz w:val="32"/>
          <w:szCs w:val="32"/>
          <w:shd w:val="clear" w:color="auto" w:fill="FFFFFF"/>
        </w:rPr>
        <w:t>详见附表：</w:t>
      </w:r>
      <w:r>
        <w:rPr>
          <w:rFonts w:ascii="仿宋_GB2312" w:eastAsia="仿宋_GB2312" w:hAnsi="宋体" w:cs="宋体" w:hint="eastAsia"/>
          <w:color w:val="333333"/>
          <w:kern w:val="0"/>
          <w:sz w:val="32"/>
          <w:szCs w:val="32"/>
        </w:rPr>
        <w:t>2022年龙城区社会治安综合治理中心部门预算批复表</w:t>
      </w:r>
    </w:p>
    <w:p w:rsidR="00CC6ED0" w:rsidRDefault="00CC6ED0">
      <w:pPr>
        <w:spacing w:line="600" w:lineRule="exact"/>
        <w:jc w:val="left"/>
        <w:rPr>
          <w:rFonts w:ascii="仿宋_GB2312" w:eastAsia="仿宋_GB2312"/>
          <w:sz w:val="36"/>
          <w:szCs w:val="36"/>
        </w:rPr>
      </w:pPr>
    </w:p>
    <w:sectPr w:rsidR="00CC6ED0" w:rsidSect="00CC6ED0">
      <w:footerReference w:type="default" r:id="rId8"/>
      <w:pgSz w:w="11906" w:h="16838"/>
      <w:pgMar w:top="1701" w:right="1418" w:bottom="1701"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0FF" w:rsidRDefault="006820FF" w:rsidP="00CC6ED0">
      <w:r>
        <w:separator/>
      </w:r>
    </w:p>
  </w:endnote>
  <w:endnote w:type="continuationSeparator" w:id="1">
    <w:p w:rsidR="006820FF" w:rsidRDefault="006820FF" w:rsidP="00CC6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D0" w:rsidRDefault="008255FE">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CC6ED0" w:rsidRDefault="008255FE">
                <w:pPr>
                  <w:pStyle w:val="a4"/>
                </w:pPr>
                <w:r>
                  <w:fldChar w:fldCharType="begin"/>
                </w:r>
                <w:r w:rsidR="001D536C">
                  <w:instrText xml:space="preserve"> PAGE  \* MERGEFORMAT </w:instrText>
                </w:r>
                <w:r>
                  <w:fldChar w:fldCharType="separate"/>
                </w:r>
                <w:r w:rsidR="00DC55CC">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0FF" w:rsidRDefault="006820FF" w:rsidP="00CC6ED0">
      <w:r>
        <w:separator/>
      </w:r>
    </w:p>
  </w:footnote>
  <w:footnote w:type="continuationSeparator" w:id="1">
    <w:p w:rsidR="006820FF" w:rsidRDefault="006820FF" w:rsidP="00CC6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A9F941"/>
    <w:multiLevelType w:val="singleLevel"/>
    <w:tmpl w:val="FEA9F941"/>
    <w:lvl w:ilvl="0">
      <w:start w:val="2"/>
      <w:numFmt w:val="chineseCounting"/>
      <w:suff w:val="space"/>
      <w:lvlText w:val="第%1部分"/>
      <w:lvlJc w:val="left"/>
      <w:rPr>
        <w:rFonts w:hint="eastAsia"/>
      </w:rPr>
    </w:lvl>
  </w:abstractNum>
  <w:abstractNum w:abstractNumId="1">
    <w:nsid w:val="5D8A4D75"/>
    <w:multiLevelType w:val="singleLevel"/>
    <w:tmpl w:val="5D8A4D75"/>
    <w:lvl w:ilvl="0">
      <w:start w:val="1"/>
      <w:numFmt w:val="chineseCounting"/>
      <w:suff w:val="nothing"/>
      <w:lvlText w:val="%1、"/>
      <w:lvlJc w:val="left"/>
      <w:pPr>
        <w:ind w:left="642"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1D536C"/>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20FF"/>
    <w:rsid w:val="00686E27"/>
    <w:rsid w:val="006C5DB9"/>
    <w:rsid w:val="006D318D"/>
    <w:rsid w:val="007233F3"/>
    <w:rsid w:val="007314F8"/>
    <w:rsid w:val="00737963"/>
    <w:rsid w:val="00773D18"/>
    <w:rsid w:val="0077615C"/>
    <w:rsid w:val="00796FF7"/>
    <w:rsid w:val="007C744B"/>
    <w:rsid w:val="00800800"/>
    <w:rsid w:val="008255FE"/>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558FF"/>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C6ED0"/>
    <w:rsid w:val="00CD0239"/>
    <w:rsid w:val="00D31DCF"/>
    <w:rsid w:val="00D37C8C"/>
    <w:rsid w:val="00D407E3"/>
    <w:rsid w:val="00D644D6"/>
    <w:rsid w:val="00D64855"/>
    <w:rsid w:val="00D828A5"/>
    <w:rsid w:val="00DB0F6C"/>
    <w:rsid w:val="00DC359B"/>
    <w:rsid w:val="00DC55CC"/>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DF447B6"/>
    <w:rsid w:val="0FF03899"/>
    <w:rsid w:val="1D11562F"/>
    <w:rsid w:val="23446E27"/>
    <w:rsid w:val="260C698A"/>
    <w:rsid w:val="360F778D"/>
    <w:rsid w:val="3C6077A7"/>
    <w:rsid w:val="3D8A38CF"/>
    <w:rsid w:val="4083380C"/>
    <w:rsid w:val="46946462"/>
    <w:rsid w:val="4A2E7B9F"/>
    <w:rsid w:val="4C43178D"/>
    <w:rsid w:val="53347089"/>
    <w:rsid w:val="54CF13B3"/>
    <w:rsid w:val="57563275"/>
    <w:rsid w:val="5D5A2D1E"/>
    <w:rsid w:val="5E732CD2"/>
    <w:rsid w:val="604B01CA"/>
    <w:rsid w:val="65C63716"/>
    <w:rsid w:val="6D9D5F4B"/>
    <w:rsid w:val="6E5B298D"/>
    <w:rsid w:val="701F4FF2"/>
    <w:rsid w:val="723B31C2"/>
    <w:rsid w:val="734524D0"/>
    <w:rsid w:val="759D6354"/>
    <w:rsid w:val="76A44D9F"/>
    <w:rsid w:val="79615874"/>
    <w:rsid w:val="7DBB41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ED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C6ED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CC6E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C6ED0"/>
    <w:rPr>
      <w:sz w:val="18"/>
      <w:szCs w:val="18"/>
    </w:rPr>
  </w:style>
  <w:style w:type="paragraph" w:styleId="a4">
    <w:name w:val="footer"/>
    <w:basedOn w:val="a"/>
    <w:link w:val="Char0"/>
    <w:uiPriority w:val="99"/>
    <w:semiHidden/>
    <w:unhideWhenUsed/>
    <w:qFormat/>
    <w:rsid w:val="00CC6ED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CC6ED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C6ED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6ED0"/>
    <w:rPr>
      <w:b/>
      <w:bCs/>
    </w:rPr>
  </w:style>
  <w:style w:type="character" w:styleId="a8">
    <w:name w:val="Hyperlink"/>
    <w:basedOn w:val="a0"/>
    <w:uiPriority w:val="99"/>
    <w:semiHidden/>
    <w:unhideWhenUsed/>
    <w:qFormat/>
    <w:rsid w:val="00CC6ED0"/>
    <w:rPr>
      <w:color w:val="0000FF"/>
      <w:u w:val="single"/>
    </w:rPr>
  </w:style>
  <w:style w:type="character" w:customStyle="1" w:styleId="1Char">
    <w:name w:val="标题 1 Char"/>
    <w:basedOn w:val="a0"/>
    <w:link w:val="1"/>
    <w:uiPriority w:val="9"/>
    <w:qFormat/>
    <w:rsid w:val="00CC6ED0"/>
    <w:rPr>
      <w:rFonts w:ascii="宋体" w:eastAsia="宋体" w:hAnsi="宋体" w:cs="宋体"/>
      <w:b/>
      <w:bCs/>
      <w:kern w:val="36"/>
      <w:sz w:val="48"/>
      <w:szCs w:val="48"/>
    </w:rPr>
  </w:style>
  <w:style w:type="character" w:customStyle="1" w:styleId="2Char">
    <w:name w:val="标题 2 Char"/>
    <w:basedOn w:val="a0"/>
    <w:link w:val="2"/>
    <w:uiPriority w:val="9"/>
    <w:qFormat/>
    <w:rsid w:val="00CC6ED0"/>
    <w:rPr>
      <w:rFonts w:ascii="宋体" w:eastAsia="宋体" w:hAnsi="宋体" w:cs="宋体"/>
      <w:b/>
      <w:bCs/>
      <w:kern w:val="0"/>
      <w:sz w:val="36"/>
      <w:szCs w:val="36"/>
    </w:rPr>
  </w:style>
  <w:style w:type="character" w:customStyle="1" w:styleId="Char1">
    <w:name w:val="页眉 Char"/>
    <w:basedOn w:val="a0"/>
    <w:link w:val="a5"/>
    <w:uiPriority w:val="99"/>
    <w:semiHidden/>
    <w:qFormat/>
    <w:rsid w:val="00CC6ED0"/>
    <w:rPr>
      <w:sz w:val="18"/>
      <w:szCs w:val="18"/>
    </w:rPr>
  </w:style>
  <w:style w:type="character" w:customStyle="1" w:styleId="Char0">
    <w:name w:val="页脚 Char"/>
    <w:basedOn w:val="a0"/>
    <w:link w:val="a4"/>
    <w:uiPriority w:val="99"/>
    <w:semiHidden/>
    <w:qFormat/>
    <w:rsid w:val="00CC6ED0"/>
    <w:rPr>
      <w:sz w:val="18"/>
      <w:szCs w:val="18"/>
    </w:rPr>
  </w:style>
  <w:style w:type="character" w:customStyle="1" w:styleId="Char">
    <w:name w:val="批注框文本 Char"/>
    <w:basedOn w:val="a0"/>
    <w:link w:val="a3"/>
    <w:uiPriority w:val="99"/>
    <w:semiHidden/>
    <w:qFormat/>
    <w:rsid w:val="00CC6ED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398</Words>
  <Characters>2275</Characters>
  <Application>Microsoft Office Word</Application>
  <DocSecurity>0</DocSecurity>
  <Lines>18</Lines>
  <Paragraphs>5</Paragraphs>
  <ScaleCrop>false</ScaleCrop>
  <Company>微软中国</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44</cp:revision>
  <cp:lastPrinted>2022-01-06T02:11:00Z</cp:lastPrinted>
  <dcterms:created xsi:type="dcterms:W3CDTF">2022-01-04T06:44:00Z</dcterms:created>
  <dcterms:modified xsi:type="dcterms:W3CDTF">2022-01-12T05:38:00Z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0A46C5CB5A25427DA26057A03F87D632</vt:lpwstr>
  </property>
</Properties>
</file>