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w:t>
      </w:r>
      <w:r>
        <w:rPr>
          <w:rFonts w:hint="eastAsia" w:asciiTheme="majorEastAsia" w:hAnsiTheme="majorEastAsia" w:eastAsiaTheme="majorEastAsia"/>
          <w:b/>
          <w:sz w:val="52"/>
          <w:szCs w:val="52"/>
          <w:highlight w:val="none"/>
          <w:lang w:val="en-US" w:eastAsia="zh-CN"/>
        </w:rPr>
        <w:t>审计</w:t>
      </w:r>
      <w:r>
        <w:rPr>
          <w:rFonts w:hint="eastAsia" w:asciiTheme="majorEastAsia" w:hAnsiTheme="majorEastAsia" w:eastAsiaTheme="majorEastAsia"/>
          <w:b/>
          <w:sz w:val="52"/>
          <w:szCs w:val="52"/>
          <w:highlight w:val="none"/>
        </w:rPr>
        <w:t>局部门预算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w:t>
      </w:r>
      <w:r>
        <w:rPr>
          <w:rFonts w:hint="eastAsia" w:cs="宋体" w:asciiTheme="majorEastAsia" w:hAnsiTheme="majorEastAsia" w:eastAsiaTheme="majorEastAsia"/>
          <w:b/>
          <w:bCs/>
          <w:color w:val="333333"/>
          <w:kern w:val="36"/>
          <w:sz w:val="44"/>
          <w:szCs w:val="44"/>
          <w:highlight w:val="none"/>
          <w:lang w:val="en-US" w:eastAsia="zh-CN"/>
        </w:rPr>
        <w:t>审计</w:t>
      </w:r>
      <w:r>
        <w:rPr>
          <w:rFonts w:hint="eastAsia" w:cs="宋体" w:asciiTheme="majorEastAsia" w:hAnsiTheme="majorEastAsia" w:eastAsiaTheme="majorEastAsia"/>
          <w:b/>
          <w:bCs/>
          <w:color w:val="333333"/>
          <w:kern w:val="36"/>
          <w:sz w:val="44"/>
          <w:szCs w:val="44"/>
          <w:highlight w:val="none"/>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val="en-US" w:eastAsia="zh-CN"/>
        </w:rPr>
        <w:t>审计</w:t>
      </w:r>
      <w:r>
        <w:rPr>
          <w:rFonts w:hint="eastAsia" w:ascii="黑体" w:hAnsi="黑体" w:eastAsia="黑体" w:cs="宋体"/>
          <w:bCs/>
          <w:color w:val="333333"/>
          <w:kern w:val="0"/>
          <w:sz w:val="32"/>
          <w:szCs w:val="32"/>
          <w:highlight w:val="none"/>
          <w:shd w:val="clear" w:color="auto" w:fill="FFFFFF"/>
        </w:rPr>
        <w:t>局概况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val="en-US" w:eastAsia="zh-CN"/>
        </w:rPr>
        <w:t>审计</w:t>
      </w:r>
      <w:r>
        <w:rPr>
          <w:rFonts w:hint="eastAsia" w:ascii="黑体" w:hAnsi="黑体" w:eastAsia="黑体" w:cs="宋体"/>
          <w:bCs/>
          <w:color w:val="333333"/>
          <w:kern w:val="0"/>
          <w:sz w:val="32"/>
          <w:szCs w:val="32"/>
          <w:highlight w:val="none"/>
          <w:shd w:val="clear" w:color="auto" w:fill="FFFFFF"/>
        </w:rPr>
        <w:t>局2022年部门预算情况说明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lang w:val="en-US" w:eastAsia="zh-CN"/>
        </w:rPr>
        <w:t>审计</w:t>
      </w:r>
      <w:r>
        <w:rPr>
          <w:rFonts w:hint="eastAsia" w:ascii="黑体" w:hAnsi="黑体" w:eastAsia="黑体" w:cs="宋体"/>
          <w:bCs/>
          <w:color w:val="333333"/>
          <w:kern w:val="0"/>
          <w:sz w:val="32"/>
          <w:szCs w:val="32"/>
          <w:highlight w:val="none"/>
        </w:rPr>
        <w:t>局部门预算批复表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r>
        <w:rPr>
          <w:rFonts w:hint="eastAsia" w:ascii="宋体" w:hAnsi="宋体" w:eastAsia="宋体" w:cs="宋体"/>
          <w:color w:val="333333"/>
          <w:kern w:val="0"/>
          <w:sz w:val="32"/>
          <w:szCs w:val="32"/>
          <w:highlight w:val="none"/>
        </w:rPr>
        <w:t>十七、部门预算项目（政策）绩效目标表</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w:t>
      </w:r>
      <w:r>
        <w:rPr>
          <w:rFonts w:hint="eastAsia" w:ascii="黑体" w:hAnsi="黑体" w:eastAsia="黑体" w:cs="黑体"/>
          <w:color w:val="333333"/>
          <w:kern w:val="0"/>
          <w:sz w:val="36"/>
          <w:szCs w:val="36"/>
          <w:highlight w:val="none"/>
          <w:lang w:val="en-US" w:eastAsia="zh-CN"/>
        </w:rPr>
        <w:t>审计</w:t>
      </w:r>
      <w:r>
        <w:rPr>
          <w:rFonts w:hint="eastAsia" w:ascii="黑体" w:hAnsi="黑体" w:eastAsia="黑体" w:cs="黑体"/>
          <w:color w:val="333333"/>
          <w:kern w:val="0"/>
          <w:sz w:val="36"/>
          <w:szCs w:val="36"/>
          <w:highlight w:val="none"/>
        </w:rPr>
        <w:t>局概况</w:t>
      </w:r>
    </w:p>
    <w:p>
      <w:pPr>
        <w:widowControl/>
        <w:spacing w:line="600" w:lineRule="exact"/>
        <w:jc w:val="center"/>
        <w:rPr>
          <w:rFonts w:ascii="宋体" w:hAnsi="宋体" w:eastAsia="宋体" w:cs="宋体"/>
          <w:color w:val="333333"/>
          <w:kern w:val="0"/>
          <w:sz w:val="32"/>
          <w:szCs w:val="32"/>
          <w:highlight w:val="none"/>
        </w:rPr>
      </w:pPr>
    </w:p>
    <w:p>
      <w:pPr>
        <w:widowControl/>
        <w:jc w:val="left"/>
        <w:rPr>
          <w:rStyle w:val="17"/>
          <w:rFonts w:ascii="仿宋_GB2312" w:hAnsi="宋体" w:eastAsia="仿宋_GB2312"/>
          <w:sz w:val="32"/>
          <w:szCs w:val="32"/>
          <w:highlight w:val="none"/>
        </w:rPr>
      </w:pPr>
      <w:r>
        <w:rPr>
          <w:rFonts w:hint="eastAsia" w:ascii="楷体_GB2312" w:hAnsi="楷体_GB2312" w:eastAsia="楷体_GB2312" w:cs="楷体_GB2312"/>
          <w:b/>
          <w:color w:val="333333"/>
          <w:kern w:val="0"/>
          <w:sz w:val="32"/>
          <w:szCs w:val="32"/>
          <w:highlight w:val="none"/>
          <w:shd w:val="clear" w:color="auto" w:fill="FFFFFF"/>
        </w:rPr>
        <w:t xml:space="preserve">    一、主要职责</w:t>
      </w:r>
      <w:r>
        <w:rPr>
          <w:rFonts w:hint="eastAsia" w:ascii="仿宋_GB2312" w:hAnsi="宋体" w:eastAsia="仿宋_GB2312" w:cs="宋体"/>
          <w:b/>
          <w:color w:val="333333"/>
          <w:kern w:val="0"/>
          <w:sz w:val="32"/>
          <w:szCs w:val="32"/>
          <w:highlight w:val="none"/>
        </w:rPr>
        <w:br w:type="textWrapping"/>
      </w:r>
      <w:r>
        <w:rPr>
          <w:rFonts w:hint="eastAsia" w:ascii="仿宋_GB2312" w:hAnsi="仿宋_GB2312" w:eastAsia="仿宋_GB2312" w:cs="仿宋_GB2312"/>
          <w:color w:val="333333"/>
          <w:kern w:val="0"/>
          <w:sz w:val="32"/>
          <w:szCs w:val="32"/>
          <w:highlight w:val="none"/>
          <w:shd w:val="clear" w:color="auto" w:fill="FFFFFF"/>
        </w:rPr>
        <w:t xml:space="preserve">    </w:t>
      </w:r>
      <w:r>
        <w:rPr>
          <w:rStyle w:val="17"/>
          <w:rFonts w:hint="eastAsia" w:ascii="仿宋_GB2312" w:hAnsi="宋体" w:eastAsia="仿宋_GB2312"/>
          <w:sz w:val="32"/>
          <w:szCs w:val="32"/>
          <w:highlight w:val="none"/>
        </w:rPr>
        <w:t>组织领导我区的审计工作，监督检查国家财经法规的贯彻实施，查处与财政、财务收支有关的违纪违法行为，保障经济健康发展。</w:t>
      </w:r>
      <w:r>
        <w:rPr>
          <w:rFonts w:hint="eastAsia" w:ascii="仿宋_GB2312" w:hAnsi="宋体" w:eastAsia="仿宋_GB2312"/>
          <w:sz w:val="32"/>
          <w:szCs w:val="32"/>
          <w:highlight w:val="none"/>
        </w:rPr>
        <w:br w:type="textWrapping"/>
      </w:r>
      <w:r>
        <w:rPr>
          <w:rStyle w:val="17"/>
          <w:rFonts w:hint="eastAsia" w:ascii="仿宋_GB2312" w:hAnsi="宋体" w:eastAsia="仿宋_GB2312"/>
          <w:sz w:val="32"/>
          <w:szCs w:val="32"/>
          <w:highlight w:val="none"/>
        </w:rPr>
        <w:t>　　（一）依法对我区本级预算执行，乡镇政府决算、各预算单位的预算执行情况，区直各部门、单位的财务收支，国有和国有资产占控股或主导地位的企业（含中外合资、合作企业）及其他各类经济组织，金融保险机构资产、负债、损益、固定资投资项目的资金来源、运用及预、决算，国际组织和外国政府援助、贷款项目的财务收支；社会捐赠资金进行审计监督。</w:t>
      </w:r>
      <w:r>
        <w:rPr>
          <w:rFonts w:hint="eastAsia" w:ascii="仿宋_GB2312" w:hAnsi="宋体" w:eastAsia="仿宋_GB2312"/>
          <w:sz w:val="32"/>
          <w:szCs w:val="32"/>
          <w:highlight w:val="none"/>
        </w:rPr>
        <w:br w:type="textWrapping"/>
      </w:r>
      <w:r>
        <w:rPr>
          <w:rStyle w:val="17"/>
          <w:rFonts w:hint="eastAsia" w:ascii="仿宋_GB2312" w:hAnsi="宋体" w:eastAsia="仿宋_GB2312"/>
          <w:sz w:val="32"/>
          <w:szCs w:val="32"/>
          <w:highlight w:val="none"/>
        </w:rPr>
        <w:t>　　（二）对国有企业厂长（经理）离任及领导干部任期经济责任进行审计。</w:t>
      </w:r>
      <w:r>
        <w:rPr>
          <w:rFonts w:hint="eastAsia" w:ascii="仿宋_GB2312" w:hAnsi="宋体" w:eastAsia="仿宋_GB2312"/>
          <w:sz w:val="32"/>
          <w:szCs w:val="32"/>
          <w:highlight w:val="none"/>
        </w:rPr>
        <w:br w:type="textWrapping"/>
      </w:r>
      <w:r>
        <w:rPr>
          <w:rStyle w:val="17"/>
          <w:rFonts w:hint="eastAsia" w:ascii="仿宋_GB2312" w:hAnsi="宋体" w:eastAsia="仿宋_GB2312"/>
          <w:sz w:val="32"/>
          <w:szCs w:val="32"/>
          <w:highlight w:val="none"/>
        </w:rPr>
        <w:t>　　（三）有权对与国家财政收支有关的特定事项，向有关部门、单位进行专项审计调查，并向本级人民政府和上一级审计机关报告审计调查结果。　</w:t>
      </w:r>
    </w:p>
    <w:p>
      <w:pPr>
        <w:widowControl/>
        <w:spacing w:line="560" w:lineRule="exact"/>
        <w:jc w:val="left"/>
        <w:rPr>
          <w:rFonts w:ascii="仿宋_GB2312" w:hAnsi="仿宋_GB2312" w:eastAsia="仿宋_GB2312" w:cs="仿宋_GB2312"/>
          <w:color w:val="333333"/>
          <w:kern w:val="0"/>
          <w:sz w:val="32"/>
          <w:szCs w:val="32"/>
          <w:highlight w:val="none"/>
          <w:shd w:val="clear" w:color="auto" w:fill="FFFFFF"/>
        </w:rPr>
      </w:pPr>
      <w:r>
        <w:rPr>
          <w:rStyle w:val="17"/>
          <w:rFonts w:hint="eastAsia" w:ascii="仿宋_GB2312" w:hAnsi="宋体" w:eastAsia="仿宋_GB2312"/>
          <w:sz w:val="32"/>
          <w:szCs w:val="32"/>
          <w:highlight w:val="none"/>
        </w:rPr>
        <w:t>　（四）受理与审计工作有关的来信、来访、举报。对以国有资产投资或者融资为主的基本建设项目总预算或者概算的执行情况、项目竣工决算、及与项目建设有关的建设、设计、施工、采购等单位的财务收支依法进行审计监督。</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二、部门预算单位构成</w:t>
      </w:r>
      <w:r>
        <w:rPr>
          <w:rFonts w:hint="eastAsia" w:ascii="宋体" w:hAnsi="宋体" w:eastAsia="宋体" w:cs="宋体"/>
          <w:color w:val="333333"/>
          <w:kern w:val="0"/>
          <w:sz w:val="32"/>
          <w:szCs w:val="32"/>
          <w:highlight w:val="none"/>
        </w:rPr>
        <w:br w:type="textWrapping"/>
      </w:r>
      <w:r>
        <w:rPr>
          <w:rFonts w:hint="eastAsia" w:ascii="仿宋_GB2312" w:hAnsi="宋体" w:eastAsia="仿宋_GB2312" w:cs="宋体"/>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1、龙城区</w:t>
      </w:r>
      <w:r>
        <w:rPr>
          <w:rFonts w:hint="eastAsia" w:ascii="仿宋_GB2312" w:hAnsi="宋体" w:eastAsia="仿宋_GB2312" w:cs="宋体"/>
          <w:bCs/>
          <w:color w:val="333333"/>
          <w:kern w:val="0"/>
          <w:sz w:val="32"/>
          <w:szCs w:val="32"/>
          <w:highlight w:val="none"/>
          <w:shd w:val="clear" w:color="auto" w:fill="FFFFFF"/>
          <w:lang w:val="en-US" w:eastAsia="zh-CN"/>
        </w:rPr>
        <w:t>审计</w:t>
      </w:r>
      <w:r>
        <w:rPr>
          <w:rFonts w:hint="eastAsia" w:ascii="仿宋_GB2312" w:hAnsi="宋体" w:eastAsia="仿宋_GB2312" w:cs="宋体"/>
          <w:bCs/>
          <w:color w:val="333333"/>
          <w:kern w:val="0"/>
          <w:sz w:val="32"/>
          <w:szCs w:val="32"/>
          <w:highlight w:val="none"/>
          <w:shd w:val="clear" w:color="auto" w:fill="FFFFFF"/>
        </w:rPr>
        <w:t>局本级</w:t>
      </w:r>
    </w:p>
    <w:p>
      <w:pPr>
        <w:widowControl/>
        <w:spacing w:line="600" w:lineRule="exact"/>
        <w:jc w:val="left"/>
        <w:rPr>
          <w:rFonts w:ascii="宋体" w:hAnsi="宋体" w:eastAsia="宋体" w:cs="宋体"/>
          <w:kern w:val="0"/>
          <w:sz w:val="36"/>
          <w:szCs w:val="36"/>
          <w:highlight w:val="none"/>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第二部分 龙城区</w:t>
      </w:r>
      <w:r>
        <w:rPr>
          <w:rFonts w:hint="eastAsia" w:ascii="黑体" w:hAnsi="黑体" w:eastAsia="黑体" w:cs="黑体"/>
          <w:color w:val="333333"/>
          <w:kern w:val="0"/>
          <w:sz w:val="36"/>
          <w:szCs w:val="36"/>
          <w:highlight w:val="none"/>
          <w:lang w:val="en-US" w:eastAsia="zh-CN"/>
        </w:rPr>
        <w:t>审计</w:t>
      </w:r>
      <w:r>
        <w:rPr>
          <w:rFonts w:hint="eastAsia" w:ascii="黑体" w:hAnsi="黑体" w:eastAsia="黑体" w:cs="黑体"/>
          <w:color w:val="333333"/>
          <w:kern w:val="0"/>
          <w:sz w:val="36"/>
          <w:szCs w:val="36"/>
          <w:highlight w:val="none"/>
        </w:rPr>
        <w:t>局2022年部门预算情况说明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295</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w:t>
      </w:r>
      <w:r>
        <w:rPr>
          <w:rFonts w:hint="eastAsia" w:ascii="仿宋_GB2312" w:hAnsi="仿宋_GB2312" w:eastAsia="仿宋_GB2312" w:cs="仿宋_GB2312"/>
          <w:color w:val="333333"/>
          <w:kern w:val="0"/>
          <w:sz w:val="32"/>
          <w:szCs w:val="32"/>
          <w:highlight w:val="none"/>
          <w:lang w:val="en-US" w:eastAsia="zh-CN"/>
        </w:rPr>
        <w:t>295</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lang w:val="en-US" w:eastAsia="zh-CN"/>
        </w:rPr>
      </w:pPr>
      <w:r>
        <w:rPr>
          <w:rFonts w:hint="eastAsia" w:ascii="仿宋_GB2312" w:hAnsi="仿宋_GB2312" w:eastAsia="仿宋_GB2312" w:cs="仿宋_GB2312"/>
          <w:color w:val="333333"/>
          <w:kern w:val="0"/>
          <w:sz w:val="32"/>
          <w:szCs w:val="32"/>
          <w:highlight w:val="none"/>
        </w:rPr>
        <w:t>（二）支出预算</w:t>
      </w:r>
      <w:r>
        <w:rPr>
          <w:rFonts w:hint="eastAsia" w:ascii="仿宋_GB2312" w:hAnsi="仿宋_GB2312" w:eastAsia="仿宋_GB2312" w:cs="仿宋_GB2312"/>
          <w:color w:val="333333"/>
          <w:kern w:val="0"/>
          <w:sz w:val="32"/>
          <w:szCs w:val="32"/>
          <w:highlight w:val="none"/>
          <w:lang w:val="en-US" w:eastAsia="zh-CN"/>
        </w:rPr>
        <w:t>295</w:t>
      </w:r>
      <w:r>
        <w:rPr>
          <w:rFonts w:hint="eastAsia" w:ascii="仿宋_GB2312" w:hAnsi="仿宋_GB2312" w:eastAsia="仿宋_GB2312" w:cs="仿宋_GB2312"/>
          <w:color w:val="333333"/>
          <w:kern w:val="0"/>
          <w:sz w:val="32"/>
          <w:szCs w:val="32"/>
          <w:highlight w:val="none"/>
        </w:rPr>
        <w:t>万元，包括：</w:t>
      </w:r>
      <w:r>
        <w:rPr>
          <w:rFonts w:hint="eastAsia" w:ascii="仿宋_GB2312" w:hAnsi="仿宋_GB2312" w:eastAsia="仿宋_GB2312" w:cs="仿宋_GB2312"/>
          <w:color w:val="333333"/>
          <w:kern w:val="0"/>
          <w:sz w:val="32"/>
          <w:szCs w:val="32"/>
          <w:highlight w:val="none"/>
          <w:lang w:val="en-US" w:eastAsia="zh-CN"/>
        </w:rPr>
        <w:t xml:space="preserve"> </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w:t>
      </w:r>
      <w:r>
        <w:rPr>
          <w:rFonts w:hint="eastAsia" w:ascii="仿宋_GB2312" w:hAnsi="仿宋_GB2312" w:eastAsia="仿宋_GB2312" w:cs="仿宋_GB2312"/>
          <w:color w:val="333333"/>
          <w:kern w:val="0"/>
          <w:sz w:val="32"/>
          <w:szCs w:val="32"/>
          <w:highlight w:val="none"/>
          <w:lang w:val="en-US" w:eastAsia="zh-CN"/>
        </w:rPr>
        <w:t>271.04</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w:t>
      </w:r>
      <w:r>
        <w:rPr>
          <w:rFonts w:hint="eastAsia" w:ascii="仿宋_GB2312" w:hAnsi="仿宋_GB2312" w:eastAsia="仿宋_GB2312" w:cs="仿宋_GB2312"/>
          <w:color w:val="333333"/>
          <w:kern w:val="0"/>
          <w:sz w:val="32"/>
          <w:szCs w:val="32"/>
          <w:highlight w:val="none"/>
          <w:lang w:val="en-US" w:eastAsia="zh-CN"/>
        </w:rPr>
        <w:t>23.96</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w:t>
      </w:r>
      <w:r>
        <w:rPr>
          <w:rFonts w:hint="eastAsia" w:ascii="仿宋_GB2312" w:hAnsi="仿宋_GB2312" w:eastAsia="仿宋_GB2312" w:cs="仿宋_GB2312"/>
          <w:color w:val="333333"/>
          <w:kern w:val="0"/>
          <w:sz w:val="32"/>
          <w:szCs w:val="32"/>
          <w:highlight w:val="none"/>
          <w:lang w:val="en-US" w:eastAsia="zh-CN"/>
        </w:rPr>
        <w:t>295</w:t>
      </w:r>
      <w:r>
        <w:rPr>
          <w:rFonts w:hint="eastAsia" w:ascii="仿宋_GB2312" w:hAnsi="仿宋_GB2312" w:eastAsia="仿宋_GB2312" w:cs="仿宋_GB2312"/>
          <w:color w:val="333333"/>
          <w:kern w:val="0"/>
          <w:sz w:val="32"/>
          <w:szCs w:val="32"/>
          <w:highlight w:val="none"/>
        </w:rPr>
        <w:t>万元中，债务支出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万元，政府采购支出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万元，政府购买服务支出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2022年预算收支比 2021 年增加</w:t>
      </w:r>
      <w:r>
        <w:rPr>
          <w:rFonts w:hint="eastAsia" w:ascii="仿宋_GB2312" w:hAnsi="仿宋_GB2312" w:eastAsia="仿宋_GB2312" w:cs="仿宋_GB2312"/>
          <w:color w:val="333333"/>
          <w:kern w:val="0"/>
          <w:sz w:val="32"/>
          <w:szCs w:val="32"/>
          <w:highlight w:val="none"/>
          <w:lang w:val="en-US" w:eastAsia="zh-CN"/>
        </w:rPr>
        <w:t>62.55</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2022年机关运行经费预算为</w:t>
      </w:r>
      <w:r>
        <w:rPr>
          <w:rFonts w:hint="eastAsia" w:ascii="仿宋_GB2312" w:hAnsi="仿宋_GB2312" w:eastAsia="仿宋_GB2312" w:cs="仿宋_GB2312"/>
          <w:color w:val="333333"/>
          <w:kern w:val="0"/>
          <w:sz w:val="32"/>
          <w:szCs w:val="32"/>
          <w:highlight w:val="none"/>
          <w:lang w:val="en-US" w:eastAsia="zh-CN"/>
        </w:rPr>
        <w:t>14.72</w:t>
      </w:r>
      <w:r>
        <w:rPr>
          <w:rFonts w:hint="eastAsia" w:ascii="仿宋_GB2312" w:hAnsi="仿宋_GB2312" w:eastAsia="仿宋_GB2312" w:cs="仿宋_GB2312"/>
          <w:color w:val="333333"/>
          <w:kern w:val="0"/>
          <w:sz w:val="32"/>
          <w:szCs w:val="32"/>
          <w:highlight w:val="none"/>
        </w:rPr>
        <w:t>万元。主要包括办公费、邮电费、</w:t>
      </w:r>
      <w:r>
        <w:rPr>
          <w:rFonts w:hint="eastAsia" w:ascii="仿宋_GB2312" w:hAnsi="仿宋_GB2312" w:eastAsia="仿宋_GB2312" w:cs="仿宋_GB2312"/>
          <w:color w:val="333333"/>
          <w:kern w:val="0"/>
          <w:sz w:val="32"/>
          <w:szCs w:val="32"/>
          <w:highlight w:val="none"/>
          <w:lang w:val="en-US" w:eastAsia="zh-CN"/>
        </w:rPr>
        <w:t>劳务费</w:t>
      </w:r>
      <w:r>
        <w:rPr>
          <w:rFonts w:hint="eastAsia" w:ascii="仿宋_GB2312" w:hAnsi="仿宋_GB2312" w:eastAsia="仿宋_GB2312" w:cs="仿宋_GB2312"/>
          <w:color w:val="333333"/>
          <w:kern w:val="0"/>
          <w:sz w:val="32"/>
          <w:szCs w:val="32"/>
          <w:highlight w:val="none"/>
        </w:rPr>
        <w:t>、</w:t>
      </w:r>
      <w:r>
        <w:rPr>
          <w:rFonts w:hint="eastAsia" w:ascii="仿宋_GB2312" w:hAnsi="仿宋_GB2312" w:eastAsia="仿宋_GB2312" w:cs="仿宋_GB2312"/>
          <w:color w:val="333333"/>
          <w:kern w:val="0"/>
          <w:sz w:val="32"/>
          <w:szCs w:val="32"/>
          <w:highlight w:val="none"/>
          <w:lang w:val="en-US" w:eastAsia="zh-CN"/>
        </w:rPr>
        <w:t>其他商品支出</w:t>
      </w:r>
      <w:r>
        <w:rPr>
          <w:rFonts w:hint="eastAsia" w:ascii="仿宋_GB2312" w:hAnsi="仿宋_GB2312" w:eastAsia="仿宋_GB2312" w:cs="仿宋_GB2312"/>
          <w:color w:val="333333"/>
          <w:kern w:val="0"/>
          <w:sz w:val="32"/>
          <w:szCs w:val="32"/>
          <w:highlight w:val="none"/>
          <w:lang w:eastAsia="zh-CN"/>
        </w:rPr>
        <w:t>、</w:t>
      </w:r>
      <w:r>
        <w:rPr>
          <w:rFonts w:hint="eastAsia" w:ascii="仿宋_GB2312" w:hAnsi="仿宋_GB2312" w:eastAsia="仿宋_GB2312" w:cs="仿宋_GB2312"/>
          <w:color w:val="333333"/>
          <w:kern w:val="0"/>
          <w:sz w:val="32"/>
          <w:szCs w:val="32"/>
          <w:highlight w:val="none"/>
          <w:lang w:val="en-US" w:eastAsia="zh-CN"/>
        </w:rPr>
        <w:t>工会经费</w:t>
      </w:r>
      <w:r>
        <w:rPr>
          <w:rFonts w:hint="eastAsia" w:ascii="仿宋_GB2312" w:hAnsi="仿宋_GB2312" w:eastAsia="仿宋_GB2312" w:cs="仿宋_GB2312"/>
          <w:color w:val="333333"/>
          <w:kern w:val="0"/>
          <w:sz w:val="32"/>
          <w:szCs w:val="32"/>
          <w:highlight w:val="none"/>
        </w:rPr>
        <w:t>、公务用车运行维护费</w:t>
      </w:r>
      <w:r>
        <w:rPr>
          <w:rFonts w:hint="eastAsia" w:ascii="仿宋_GB2312" w:hAnsi="仿宋_GB2312" w:eastAsia="仿宋_GB2312" w:cs="仿宋_GB2312"/>
          <w:color w:val="333333"/>
          <w:kern w:val="0"/>
          <w:sz w:val="32"/>
          <w:szCs w:val="32"/>
          <w:highlight w:val="none"/>
          <w:lang w:eastAsia="zh-CN"/>
        </w:rPr>
        <w:t>、</w:t>
      </w:r>
      <w:r>
        <w:rPr>
          <w:rFonts w:hint="eastAsia" w:ascii="仿宋_GB2312" w:hAnsi="仿宋_GB2312" w:eastAsia="仿宋_GB2312" w:cs="仿宋_GB2312"/>
          <w:color w:val="333333"/>
          <w:kern w:val="0"/>
          <w:sz w:val="32"/>
          <w:szCs w:val="32"/>
          <w:highlight w:val="none"/>
          <w:lang w:val="en-US" w:eastAsia="zh-CN"/>
        </w:rPr>
        <w:t>其他对个人和家庭的补助支出</w:t>
      </w:r>
      <w:r>
        <w:rPr>
          <w:rFonts w:hint="eastAsia" w:ascii="仿宋_GB2312" w:hAnsi="仿宋_GB2312" w:eastAsia="仿宋_GB2312" w:cs="仿宋_GB2312"/>
          <w:color w:val="333333"/>
          <w:kern w:val="0"/>
          <w:sz w:val="32"/>
          <w:szCs w:val="32"/>
          <w:highlight w:val="none"/>
        </w:rPr>
        <w:t>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highlight w:val="none"/>
          <w:lang w:val="en-US" w:eastAsia="zh-CN"/>
        </w:rPr>
        <w:t>2.5</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其中：</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公务接待费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hint="default" w:ascii="仿宋_GB2312" w:hAnsi="仿宋_GB2312" w:eastAsia="仿宋_GB2312" w:cs="仿宋_GB2312"/>
          <w:color w:val="333333"/>
          <w:kern w:val="0"/>
          <w:sz w:val="32"/>
          <w:szCs w:val="32"/>
          <w:highlight w:val="none"/>
          <w:lang w:val="en-US" w:eastAsia="zh-CN"/>
        </w:rPr>
      </w:pPr>
      <w:r>
        <w:rPr>
          <w:rFonts w:hint="eastAsia" w:ascii="仿宋_GB2312" w:hAnsi="仿宋_GB2312" w:eastAsia="仿宋_GB2312" w:cs="仿宋_GB2312"/>
          <w:color w:val="333333"/>
          <w:kern w:val="0"/>
          <w:sz w:val="32"/>
          <w:szCs w:val="32"/>
          <w:highlight w:val="none"/>
        </w:rPr>
        <w:t>公务用车运行费</w:t>
      </w:r>
      <w:r>
        <w:rPr>
          <w:rFonts w:hint="eastAsia" w:ascii="仿宋_GB2312" w:hAnsi="仿宋_GB2312" w:eastAsia="仿宋_GB2312" w:cs="仿宋_GB2312"/>
          <w:color w:val="333333"/>
          <w:kern w:val="0"/>
          <w:sz w:val="32"/>
          <w:szCs w:val="32"/>
          <w:highlight w:val="none"/>
          <w:lang w:val="en-US" w:eastAsia="zh-CN"/>
        </w:rPr>
        <w:t>2.5</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highlight w:val="none"/>
          <w:lang w:val="en-US" w:eastAsia="zh-CN"/>
        </w:rPr>
        <w:t>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bookmarkStart w:id="0" w:name="_GoBack"/>
      <w:bookmarkEnd w:id="0"/>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 xml:space="preserve">2022年年初预算购置车辆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台，金额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万元，单位价值 50 万元以上的通用设备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 台，单位价值 100万元以上的专用设备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个，实际编制绩效目标的特定目标类项目共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个,涉及资金</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第三部分 名词解释</w:t>
      </w:r>
    </w:p>
    <w:p>
      <w:pPr>
        <w:widowControl/>
        <w:spacing w:line="600" w:lineRule="exact"/>
        <w:jc w:val="center"/>
        <w:rPr>
          <w:rFonts w:ascii="宋体" w:hAnsi="宋体" w:eastAsia="宋体" w:cs="宋体"/>
          <w:color w:val="333333"/>
          <w:kern w:val="0"/>
          <w:sz w:val="36"/>
          <w:szCs w:val="36"/>
          <w:highlight w:val="none"/>
        </w:rPr>
      </w:pP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1.一般公共预算拨款收入：</w:t>
      </w:r>
      <w:r>
        <w:rPr>
          <w:rFonts w:hint="eastAsia" w:ascii="仿宋_GB2312" w:hAnsi="仿宋_GB2312" w:eastAsia="仿宋_GB2312" w:cs="仿宋_GB2312"/>
          <w:color w:val="333333"/>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2.基本支出：</w:t>
      </w:r>
      <w:r>
        <w:rPr>
          <w:rFonts w:hint="eastAsia" w:ascii="仿宋_GB2312" w:hAnsi="仿宋_GB2312" w:eastAsia="仿宋_GB2312" w:cs="仿宋_GB2312"/>
          <w:color w:val="333333"/>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3.项目支出：</w:t>
      </w:r>
      <w:r>
        <w:rPr>
          <w:rFonts w:hint="eastAsia" w:ascii="仿宋_GB2312" w:hAnsi="仿宋_GB2312" w:eastAsia="仿宋_GB2312" w:cs="仿宋_GB2312"/>
          <w:color w:val="333333"/>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4.“三公”经费：</w:t>
      </w:r>
      <w:r>
        <w:rPr>
          <w:rFonts w:hint="eastAsia" w:ascii="仿宋_GB2312" w:hAnsi="仿宋_GB2312" w:eastAsia="仿宋_GB2312" w:cs="仿宋_GB2312"/>
          <w:color w:val="333333"/>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rPr>
        <w:t>5.一般公共服务（类）</w:t>
      </w:r>
      <w:r>
        <w:rPr>
          <w:rFonts w:hint="eastAsia" w:ascii="仿宋_GB2312" w:hAnsi="仿宋_GB2312" w:eastAsia="仿宋_GB2312" w:cs="仿宋_GB2312"/>
          <w:b/>
          <w:bCs/>
          <w:color w:val="333333"/>
          <w:kern w:val="0"/>
          <w:sz w:val="32"/>
          <w:szCs w:val="32"/>
          <w:highlight w:val="none"/>
          <w:shd w:val="clear" w:color="auto" w:fill="FFFFFF"/>
          <w:lang w:val="en-US" w:eastAsia="zh-CN"/>
        </w:rPr>
        <w:t>审计事务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val="en-US" w:eastAsia="zh-CN"/>
        </w:rPr>
        <w:t>行政运行</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 w:hAnsi="仿宋" w:eastAsia="仿宋" w:cs="宋体"/>
          <w:color w:val="333333"/>
          <w:kern w:val="0"/>
          <w:sz w:val="32"/>
          <w:szCs w:val="32"/>
          <w:highlight w:val="none"/>
          <w:shd w:val="clear" w:color="auto" w:fill="FFFFFF"/>
        </w:rPr>
        <w:t>反映行政单位（包括实行公务员管理的事业单位）的基本支出。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6</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.社会保障和就业（类）行政事业单位养老支出（款）机关事业单位基本养老保险缴费支出（项）：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lang w:val="en-US" w:eastAsia="zh-CN"/>
        </w:rPr>
        <w:t>反映机关事业单位实施养老保险制度由单位缴纳的基本养老保险费支出。</w:t>
      </w:r>
      <w:r>
        <w:rPr>
          <w:rFonts w:hint="eastAsia" w:ascii="仿宋_GB2312" w:hAns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7</w:t>
      </w: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.卫生健康支出（类）行政事业单位医疗（款）行政单位医疗（项）：</w:t>
      </w:r>
      <w:r>
        <w:rPr>
          <w:rFonts w:hint="eastAsia" w:ascii="仿宋_GB2312" w:hAnsi="仿宋_GB2312" w:eastAsia="仿宋_GB2312" w:cs="仿宋_GB2312"/>
          <w:b w:val="0"/>
          <w:bCs w:val="0"/>
          <w:color w:val="333333"/>
          <w:kern w:val="0"/>
          <w:sz w:val="32"/>
          <w:szCs w:val="32"/>
          <w:highlight w:val="none"/>
          <w:shd w:val="clear" w:color="auto" w:fill="FFFFFF"/>
          <w:lang w:val="en-US" w:eastAsia="zh-CN"/>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hint="default" w:ascii="仿宋_GB2312" w:hAnsi="仿宋_GB2312" w:eastAsia="仿宋_GB2312" w:cs="仿宋_GB2312"/>
          <w:color w:val="333333"/>
          <w:kern w:val="0"/>
          <w:sz w:val="32"/>
          <w:szCs w:val="32"/>
          <w:highlight w:val="none"/>
          <w:shd w:val="clear" w:color="auto" w:fill="FFFFFF"/>
          <w:lang w:val="en-US"/>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.社会保障和就业（类）行政事业单位离退休（款）事业单位离退休（项）：</w:t>
      </w:r>
      <w:r>
        <w:rPr>
          <w:rFonts w:hint="eastAsia" w:ascii="仿宋_GB2312" w:hAnsi="仿宋_GB2312" w:eastAsia="仿宋_GB2312" w:cs="仿宋_GB2312"/>
          <w:color w:val="333333"/>
          <w:kern w:val="0"/>
          <w:sz w:val="32"/>
          <w:szCs w:val="32"/>
          <w:highlight w:val="none"/>
          <w:shd w:val="clear" w:color="auto" w:fill="FFFFFF"/>
          <w:lang w:val="en-US" w:eastAsia="zh-CN"/>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9</w:t>
      </w:r>
      <w:r>
        <w:rPr>
          <w:rFonts w:hint="eastAsia" w:ascii="仿宋_GB2312" w:hAnsi="仿宋_GB2312" w:eastAsia="仿宋_GB2312" w:cs="仿宋_GB2312"/>
          <w:b/>
          <w:bCs/>
          <w:color w:val="333333"/>
          <w:kern w:val="0"/>
          <w:sz w:val="32"/>
          <w:szCs w:val="32"/>
          <w:highlight w:val="none"/>
          <w:shd w:val="clear" w:color="auto" w:fill="FFFFFF"/>
        </w:rPr>
        <w:t>.住房保障（类）住房改革（款）住房公积金（项）：</w:t>
      </w:r>
      <w:r>
        <w:rPr>
          <w:rFonts w:hint="eastAsia" w:ascii="仿宋_GB2312" w:hAnsi="仿宋_GB2312" w:eastAsia="仿宋_GB2312" w:cs="仿宋_GB2312"/>
          <w:color w:val="333333"/>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第四部分 2022年龙城区</w:t>
      </w:r>
      <w:r>
        <w:rPr>
          <w:rFonts w:hint="eastAsia" w:ascii="黑体" w:hAnsi="黑体" w:eastAsia="黑体" w:cs="宋体"/>
          <w:color w:val="333333"/>
          <w:kern w:val="0"/>
          <w:sz w:val="36"/>
          <w:szCs w:val="36"/>
          <w:highlight w:val="none"/>
          <w:lang w:val="en-US" w:eastAsia="zh-CN"/>
        </w:rPr>
        <w:t>审计</w:t>
      </w:r>
      <w:r>
        <w:rPr>
          <w:rFonts w:hint="eastAsia" w:ascii="黑体" w:hAnsi="黑体" w:eastAsia="黑体" w:cs="宋体"/>
          <w:color w:val="333333"/>
          <w:kern w:val="0"/>
          <w:sz w:val="36"/>
          <w:szCs w:val="36"/>
          <w:highlight w:val="none"/>
        </w:rPr>
        <w:t>局部门预算批复表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val="en-US" w:eastAsia="zh-CN"/>
        </w:rPr>
        <w:t>审计</w:t>
      </w:r>
      <w:r>
        <w:rPr>
          <w:rFonts w:hint="eastAsia" w:ascii="仿宋_GB2312" w:hAnsi="宋体" w:eastAsia="仿宋_GB2312" w:cs="宋体"/>
          <w:color w:val="333333"/>
          <w:kern w:val="0"/>
          <w:sz w:val="32"/>
          <w:szCs w:val="32"/>
          <w:highlight w:val="none"/>
        </w:rPr>
        <w:t>局部门预算批复表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21722AC"/>
    <w:rsid w:val="1D11562F"/>
    <w:rsid w:val="23446E27"/>
    <w:rsid w:val="324E5388"/>
    <w:rsid w:val="338B78B0"/>
    <w:rsid w:val="3A4811BA"/>
    <w:rsid w:val="3C6077A7"/>
    <w:rsid w:val="46064EF2"/>
    <w:rsid w:val="604B01CA"/>
    <w:rsid w:val="65C63716"/>
    <w:rsid w:val="6D406390"/>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7">
    <w:name w:val="zwgk"/>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15</TotalTime>
  <ScaleCrop>false</ScaleCrop>
  <LinksUpToDate>false</LinksUpToDate>
  <CharactersWithSpaces>2183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HUAWEI</cp:lastModifiedBy>
  <cp:lastPrinted>2022-01-10T04:33:00Z</cp:lastPrinted>
  <dcterms:modified xsi:type="dcterms:W3CDTF">2022-01-11T07:46:47Z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0A46C5CB5A25427DA26057A03F87D632</vt:lpwstr>
  </property>
</Properties>
</file>