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宋体"/>
          <w:b/>
          <w:sz w:val="44"/>
          <w:szCs w:val="44"/>
        </w:rPr>
      </w:pPr>
    </w:p>
    <w:p>
      <w:pPr>
        <w:spacing w:line="600" w:lineRule="exact"/>
        <w:jc w:val="left"/>
        <w:rPr>
          <w:rFonts w:ascii="宋体"/>
          <w:b/>
          <w:sz w:val="44"/>
          <w:szCs w:val="44"/>
        </w:rPr>
      </w:pPr>
    </w:p>
    <w:p>
      <w:pPr>
        <w:spacing w:line="600" w:lineRule="exact"/>
        <w:jc w:val="left"/>
        <w:rPr>
          <w:rFonts w:ascii="宋体"/>
          <w:b/>
          <w:sz w:val="44"/>
          <w:szCs w:val="44"/>
        </w:rPr>
      </w:pPr>
    </w:p>
    <w:p>
      <w:pPr>
        <w:spacing w:line="600" w:lineRule="exact"/>
        <w:jc w:val="left"/>
        <w:rPr>
          <w:rFonts w:ascii="宋体"/>
          <w:b/>
          <w:sz w:val="44"/>
          <w:szCs w:val="44"/>
        </w:rPr>
      </w:pPr>
    </w:p>
    <w:p>
      <w:pPr>
        <w:spacing w:line="700" w:lineRule="exact"/>
        <w:jc w:val="center"/>
        <w:rPr>
          <w:rFonts w:ascii="宋体"/>
          <w:b/>
          <w:sz w:val="52"/>
          <w:szCs w:val="52"/>
        </w:rPr>
      </w:pPr>
      <w:r>
        <w:rPr>
          <w:rFonts w:ascii="宋体"/>
          <w:b/>
          <w:sz w:val="52"/>
          <w:szCs w:val="52"/>
        </w:rPr>
        <w:t>中共朝阳市</w:t>
      </w:r>
      <w:r>
        <w:rPr>
          <w:rFonts w:ascii="宋体" w:hint="eastAsia"/>
          <w:b/>
          <w:sz w:val="52"/>
          <w:szCs w:val="52"/>
        </w:rPr>
        <w:t>龙城区</w:t>
      </w:r>
      <w:r>
        <w:rPr>
          <w:rFonts w:ascii="宋体"/>
          <w:b/>
          <w:sz w:val="52"/>
          <w:szCs w:val="52"/>
        </w:rPr>
        <w:t>委朝阳市龙城区</w:t>
      </w:r>
    </w:p>
    <w:p>
      <w:pPr>
        <w:spacing w:line="700" w:lineRule="exact"/>
        <w:jc w:val="center"/>
        <w:rPr>
          <w:rFonts w:ascii="宋体"/>
          <w:b/>
          <w:sz w:val="52"/>
          <w:szCs w:val="52"/>
        </w:rPr>
      </w:pPr>
      <w:r>
        <w:rPr>
          <w:rFonts w:ascii="宋体"/>
          <w:b/>
          <w:sz w:val="52"/>
          <w:szCs w:val="52"/>
        </w:rPr>
        <w:t>人民政府信访</w:t>
      </w:r>
      <w:r>
        <w:rPr>
          <w:rFonts w:ascii="宋体" w:hint="eastAsia"/>
          <w:b/>
          <w:sz w:val="52"/>
          <w:szCs w:val="52"/>
        </w:rPr>
        <w:t>局部门预算</w:t>
      </w:r>
    </w:p>
    <w:p>
      <w:pPr>
        <w:spacing w:line="700" w:lineRule="exact"/>
        <w:jc w:val="center"/>
        <w:rPr>
          <w:rFonts w:ascii="宋体"/>
          <w:b/>
          <w:sz w:val="52"/>
          <w:szCs w:val="52"/>
        </w:rPr>
      </w:pPr>
      <w:r>
        <w:rPr>
          <w:rFonts w:ascii="宋体" w:hint="eastAsia"/>
          <w:b/>
          <w:sz w:val="52"/>
          <w:szCs w:val="52"/>
        </w:rPr>
        <w:t>（2022年）</w:t>
      </w:r>
    </w:p>
    <w:p>
      <w:pPr>
        <w:spacing w:line="600" w:lineRule="exact"/>
        <w:jc w:val="left"/>
        <w:rPr>
          <w:rFonts w:ascii="Times New Roman" w:hAnsi="Times New Roman"/>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ascii="宋体" w:cs="宋体"/>
          <w:b/>
          <w:bCs/>
          <w:color w:val="333333"/>
          <w:kern w:val="36"/>
          <w:sz w:val="44"/>
          <w:szCs w:val="44"/>
        </w:rPr>
        <w:sectPr>
          <w:pgSz w:w="11906" w:h="16838"/>
          <w:pgMar w:top="1701" w:right="1418" w:bottom="1701" w:left="1701" w:header="851" w:footer="992" w:gutter="0"/>
          <w:docGrid w:type="lines" w:linePitch="312" w:charSpace="0"/>
        </w:sectPr>
      </w:pPr>
    </w:p>
    <w:p>
      <w:pPr>
        <w:widowControl/>
        <w:spacing w:line="600" w:lineRule="exact"/>
        <w:jc w:val="center"/>
        <w:outlineLvl w:val="0"/>
        <w:rPr>
          <w:rFonts w:ascii="宋体" w:cs="宋体"/>
          <w:b/>
          <w:bCs/>
          <w:color w:val="333333"/>
          <w:kern w:val="36"/>
          <w:sz w:val="44"/>
          <w:szCs w:val="44"/>
        </w:rPr>
      </w:pPr>
      <w:r>
        <w:rPr>
          <w:rFonts w:ascii="宋体" w:cs="宋体" w:hint="eastAsia"/>
          <w:b/>
          <w:bCs/>
          <w:color w:val="333333"/>
          <w:kern w:val="36"/>
          <w:sz w:val="44"/>
          <w:szCs w:val="44"/>
        </w:rPr>
        <w:t>2022年龙城区</w:t>
      </w:r>
      <w:r>
        <w:rPr>
          <w:rFonts w:ascii="宋体" w:cs="宋体"/>
          <w:b/>
          <w:bCs/>
          <w:color w:val="333333"/>
          <w:kern w:val="36"/>
          <w:sz w:val="44"/>
          <w:szCs w:val="44"/>
        </w:rPr>
        <w:t>信访局</w:t>
      </w:r>
      <w:r>
        <w:rPr>
          <w:rFonts w:ascii="宋体" w:cs="宋体" w:hint="eastAsia"/>
          <w:b/>
          <w:bCs/>
          <w:color w:val="333333"/>
          <w:kern w:val="36"/>
          <w:sz w:val="44"/>
          <w:szCs w:val="44"/>
        </w:rPr>
        <w:t>部门预算</w:t>
      </w:r>
    </w:p>
    <w:p>
      <w:pPr>
        <w:widowControl/>
        <w:spacing w:line="300" w:lineRule="exact"/>
        <w:jc w:val="center"/>
        <w:outlineLvl w:val="0"/>
        <w:rPr>
          <w:rFonts w:ascii="宋体" w:cs="宋体"/>
          <w:b/>
          <w:bCs/>
          <w:color w:val="333333"/>
          <w:kern w:val="36"/>
          <w:sz w:val="44"/>
          <w:szCs w:val="44"/>
        </w:rPr>
      </w:pPr>
    </w:p>
    <w:p>
      <w:pPr>
        <w:widowControl/>
        <w:spacing w:line="600" w:lineRule="exact"/>
        <w:jc w:val="center"/>
        <w:rPr>
          <w:rFonts w:ascii="宋体" w:cs="宋体"/>
          <w:b/>
          <w:bCs/>
          <w:color w:val="333333"/>
          <w:kern w:val="0"/>
          <w:sz w:val="36"/>
          <w:szCs w:val="36"/>
        </w:rPr>
      </w:pPr>
      <w:r>
        <w:rPr>
          <w:rFonts w:ascii="宋体" w:cs="宋体" w:hint="eastAsia"/>
          <w:b/>
          <w:bCs/>
          <w:color w:val="333333"/>
          <w:kern w:val="0"/>
          <w:sz w:val="36"/>
          <w:szCs w:val="36"/>
        </w:rPr>
        <w:t>目    录</w:t>
      </w:r>
    </w:p>
    <w:p>
      <w:pPr>
        <w:widowControl/>
        <w:spacing w:line="300" w:lineRule="exact"/>
        <w:jc w:val="center"/>
        <w:rPr>
          <w:rFonts w:ascii="宋体" w:cs="宋体"/>
          <w:b/>
          <w:bCs/>
          <w:color w:val="333333"/>
          <w:kern w:val="0"/>
          <w:sz w:val="36"/>
          <w:szCs w:val="36"/>
        </w:rPr>
      </w:pPr>
    </w:p>
    <w:p>
      <w:pPr>
        <w:widowControl/>
        <w:spacing w:line="500" w:lineRule="exact"/>
        <w:jc w:val="left"/>
        <w:rPr>
          <w:rFonts w:ascii="宋体" w:cs="宋体"/>
          <w:bCs/>
          <w:color w:val="333333"/>
          <w:kern w:val="0"/>
          <w:sz w:val="32"/>
          <w:szCs w:val="32"/>
          <w:shd w:val="clear" w:color="auto" w:fill="FFFFFF"/>
        </w:rPr>
      </w:pPr>
      <w:r>
        <w:rPr>
          <w:rFonts w:ascii="黑体" w:eastAsia="黑体" w:cs="宋体" w:hint="eastAsia"/>
          <w:bCs/>
          <w:color w:val="333333"/>
          <w:kern w:val="0"/>
          <w:sz w:val="32"/>
          <w:szCs w:val="32"/>
          <w:shd w:val="clear" w:color="auto" w:fill="FFFFFF"/>
        </w:rPr>
        <w:t>第一部分   龙城区</w:t>
      </w:r>
      <w:r>
        <w:rPr>
          <w:rFonts w:ascii="黑体" w:eastAsia="黑体" w:cs="宋体"/>
          <w:bCs/>
          <w:color w:val="333333"/>
          <w:kern w:val="0"/>
          <w:sz w:val="32"/>
          <w:szCs w:val="32"/>
          <w:shd w:val="clear" w:color="auto" w:fill="FFFFFF"/>
        </w:rPr>
        <w:t>信访</w:t>
      </w:r>
      <w:r>
        <w:rPr>
          <w:rFonts w:ascii="黑体" w:eastAsia="黑体" w:cs="宋体" w:hint="eastAsia"/>
          <w:bCs/>
          <w:color w:val="333333"/>
          <w:kern w:val="0"/>
          <w:sz w:val="32"/>
          <w:szCs w:val="32"/>
          <w:shd w:val="clear" w:color="auto" w:fill="FFFFFF"/>
        </w:rPr>
        <w:t>局概况</w:t>
      </w:r>
    </w:p>
    <w:p>
      <w:pPr>
        <w:widowControl/>
        <w:spacing w:line="500" w:lineRule="exact"/>
        <w:ind w:firstLineChars="200" w:firstLine="640"/>
        <w:jc w:val="left"/>
        <w:rPr>
          <w:rFonts w:ascii="宋体" w:cs="宋体"/>
          <w:bCs/>
          <w:color w:val="333333"/>
          <w:kern w:val="0"/>
          <w:sz w:val="32"/>
          <w:szCs w:val="32"/>
          <w:shd w:val="clear" w:color="auto" w:fill="FFFFFF"/>
        </w:rPr>
      </w:pPr>
      <w:r>
        <w:rPr>
          <w:rFonts w:ascii="宋体" w:cs="宋体" w:hint="eastAsia"/>
          <w:bCs/>
          <w:color w:val="333333"/>
          <w:kern w:val="0"/>
          <w:sz w:val="32"/>
          <w:szCs w:val="32"/>
          <w:shd w:val="clear" w:color="auto" w:fill="FFFFFF"/>
        </w:rPr>
        <w:t>一、主要职责</w:t>
      </w:r>
    </w:p>
    <w:p>
      <w:pPr>
        <w:widowControl/>
        <w:spacing w:line="500" w:lineRule="exact"/>
        <w:ind w:firstLineChars="200" w:firstLine="640"/>
        <w:jc w:val="left"/>
        <w:rPr>
          <w:rFonts w:ascii="宋体" w:cs="宋体"/>
          <w:bCs/>
          <w:color w:val="333333"/>
          <w:kern w:val="0"/>
          <w:sz w:val="32"/>
          <w:szCs w:val="32"/>
          <w:shd w:val="clear" w:color="auto" w:fill="FFFFFF"/>
        </w:rPr>
      </w:pPr>
      <w:r>
        <w:rPr>
          <w:rFonts w:ascii="宋体" w:cs="宋体" w:hint="eastAsia"/>
          <w:bCs/>
          <w:color w:val="333333"/>
          <w:kern w:val="0"/>
          <w:sz w:val="32"/>
          <w:szCs w:val="32"/>
          <w:shd w:val="clear" w:color="auto" w:fill="FFFFFF"/>
        </w:rPr>
        <w:t>二、部门预算单位构成</w:t>
      </w:r>
    </w:p>
    <w:p>
      <w:pPr>
        <w:widowControl/>
        <w:spacing w:line="500" w:lineRule="exact"/>
        <w:jc w:val="left"/>
        <w:rPr>
          <w:rFonts w:ascii="黑体" w:eastAsia="黑体" w:cs="宋体"/>
          <w:bCs/>
          <w:color w:val="333333"/>
          <w:kern w:val="0"/>
          <w:sz w:val="32"/>
          <w:szCs w:val="32"/>
        </w:rPr>
      </w:pPr>
      <w:r>
        <w:rPr>
          <w:rFonts w:ascii="黑体" w:eastAsia="黑体" w:cs="宋体" w:hint="eastAsia"/>
          <w:bCs/>
          <w:color w:val="333333"/>
          <w:kern w:val="0"/>
          <w:sz w:val="32"/>
          <w:szCs w:val="32"/>
          <w:shd w:val="clear" w:color="auto" w:fill="FFFFFF"/>
        </w:rPr>
        <w:t>第二部分    龙城区</w:t>
      </w:r>
      <w:r>
        <w:rPr>
          <w:rFonts w:ascii="黑体" w:eastAsia="黑体" w:cs="宋体"/>
          <w:bCs/>
          <w:color w:val="333333"/>
          <w:kern w:val="0"/>
          <w:sz w:val="32"/>
          <w:szCs w:val="32"/>
          <w:shd w:val="clear" w:color="auto" w:fill="FFFFFF"/>
        </w:rPr>
        <w:t>信访局</w:t>
      </w:r>
      <w:r>
        <w:rPr>
          <w:rFonts w:ascii="黑体" w:eastAsia="黑体" w:cs="宋体" w:hint="eastAsia"/>
          <w:bCs/>
          <w:color w:val="333333"/>
          <w:kern w:val="0"/>
          <w:sz w:val="32"/>
          <w:szCs w:val="32"/>
          <w:shd w:val="clear" w:color="auto" w:fill="FFFFFF"/>
        </w:rPr>
        <w:t>2022年部门预算情况说明</w:t>
      </w:r>
    </w:p>
    <w:p>
      <w:pPr>
        <w:widowControl/>
        <w:spacing w:line="500" w:lineRule="exact"/>
        <w:jc w:val="left"/>
        <w:rPr>
          <w:rFonts w:ascii="黑体" w:eastAsia="黑体" w:cs="宋体"/>
          <w:bCs/>
          <w:color w:val="333333"/>
          <w:kern w:val="0"/>
          <w:sz w:val="32"/>
          <w:szCs w:val="32"/>
          <w:shd w:val="clear" w:color="auto" w:fill="FFFFFF"/>
        </w:rPr>
      </w:pPr>
      <w:r>
        <w:rPr>
          <w:rFonts w:ascii="黑体" w:eastAsia="黑体" w:cs="宋体" w:hint="eastAsia"/>
          <w:bCs/>
          <w:color w:val="333333"/>
          <w:kern w:val="0"/>
          <w:sz w:val="32"/>
          <w:szCs w:val="32"/>
          <w:shd w:val="clear" w:color="auto" w:fill="FFFFFF"/>
        </w:rPr>
        <w:t>第三部分    名词解释</w:t>
      </w:r>
    </w:p>
    <w:p>
      <w:pPr>
        <w:widowControl/>
        <w:spacing w:line="500" w:lineRule="exact"/>
        <w:jc w:val="left"/>
        <w:rPr>
          <w:rFonts w:ascii="黑体" w:eastAsia="黑体" w:cs="宋体"/>
          <w:bCs/>
          <w:color w:val="333333"/>
          <w:kern w:val="0"/>
          <w:sz w:val="32"/>
          <w:szCs w:val="32"/>
        </w:rPr>
      </w:pPr>
      <w:r>
        <w:rPr>
          <w:rFonts w:ascii="黑体" w:eastAsia="黑体" w:cs="宋体" w:hint="eastAsia"/>
          <w:bCs/>
          <w:color w:val="333333"/>
          <w:kern w:val="0"/>
          <w:sz w:val="32"/>
          <w:szCs w:val="32"/>
          <w:shd w:val="clear" w:color="auto" w:fill="FFFFFF"/>
        </w:rPr>
        <w:t xml:space="preserve">第四部分    </w:t>
      </w:r>
      <w:r>
        <w:rPr>
          <w:rFonts w:ascii="黑体" w:eastAsia="黑体" w:cs="宋体" w:hint="eastAsia"/>
          <w:bCs/>
          <w:color w:val="333333"/>
          <w:kern w:val="0"/>
          <w:sz w:val="32"/>
          <w:szCs w:val="32"/>
        </w:rPr>
        <w:t>2022年龙城区</w:t>
      </w:r>
      <w:r>
        <w:rPr>
          <w:rFonts w:ascii="黑体" w:eastAsia="黑体" w:cs="宋体"/>
          <w:bCs/>
          <w:color w:val="333333"/>
          <w:kern w:val="0"/>
          <w:sz w:val="32"/>
          <w:szCs w:val="32"/>
        </w:rPr>
        <w:t>信访局</w:t>
      </w:r>
      <w:r>
        <w:rPr>
          <w:rFonts w:ascii="黑体" w:eastAsia="黑体" w:cs="宋体" w:hint="eastAsia"/>
          <w:bCs/>
          <w:color w:val="333333"/>
          <w:kern w:val="0"/>
          <w:sz w:val="32"/>
          <w:szCs w:val="32"/>
        </w:rPr>
        <w:t>部门预算批复表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一、收支预算总表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二、收入预算总表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三、支出预算总表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四、财政拨款收支预算总表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五、一般公共预算支出表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六、一般公共预算基本支出表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七、一般公共预算“三公”经费支出表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八、政府性基金预算支出表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九、项目支出预算表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十、支出功能分类预算表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十一、支出经济分类预算表（政府预算）</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十二、支出经济分类预算表（部门预算）</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十三、债务支出预算表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十四、政府采购支出预算表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十五、政府购买服务支出预算表</w:t>
      </w:r>
    </w:p>
    <w:p>
      <w:pPr>
        <w:widowControl/>
        <w:spacing w:line="500" w:lineRule="exact"/>
        <w:ind w:firstLineChars="200" w:firstLine="640"/>
        <w:jc w:val="left"/>
        <w:rPr>
          <w:rFonts w:ascii="宋体" w:cs="宋体"/>
          <w:color w:val="333333"/>
          <w:kern w:val="0"/>
          <w:sz w:val="32"/>
          <w:szCs w:val="32"/>
        </w:rPr>
      </w:pPr>
      <w:r>
        <w:rPr>
          <w:rFonts w:ascii="宋体" w:cs="宋体" w:hint="eastAsia"/>
          <w:color w:val="333333"/>
          <w:kern w:val="0"/>
          <w:sz w:val="32"/>
          <w:szCs w:val="32"/>
        </w:rPr>
        <w:t>十六、部门（单位）整体绩效目标表</w:t>
      </w:r>
    </w:p>
    <w:p>
      <w:pPr>
        <w:widowControl/>
        <w:spacing w:line="500" w:lineRule="exact"/>
        <w:ind w:firstLineChars="200" w:firstLine="640"/>
        <w:jc w:val="left"/>
        <w:rPr>
          <w:rFonts w:ascii="宋体" w:cs="宋体"/>
          <w:color w:val="333333"/>
          <w:kern w:val="0"/>
          <w:sz w:val="32"/>
          <w:szCs w:val="32"/>
          <w:shd w:val="clear" w:color="auto" w:fill="FFFFFF"/>
        </w:rPr>
      </w:pPr>
      <w:r>
        <w:rPr>
          <w:rFonts w:ascii="宋体" w:cs="宋体" w:hint="eastAsia"/>
          <w:color w:val="333333"/>
          <w:kern w:val="0"/>
          <w:sz w:val="32"/>
          <w:szCs w:val="32"/>
        </w:rPr>
        <w:t>十七、部门预算项目（政策）绩效目标表</w:t>
      </w:r>
    </w:p>
    <w:p>
      <w:pPr>
        <w:widowControl/>
        <w:spacing w:line="600" w:lineRule="exact"/>
        <w:jc w:val="center"/>
        <w:rPr>
          <w:rFonts w:ascii="黑体" w:eastAsia="黑体" w:cs="黑体"/>
          <w:color w:val="333333"/>
          <w:kern w:val="0"/>
          <w:sz w:val="36"/>
          <w:szCs w:val="36"/>
        </w:rPr>
      </w:pPr>
      <w:r>
        <w:rPr>
          <w:rFonts w:ascii="黑体" w:eastAsia="黑体" w:cs="黑体" w:hint="eastAsia"/>
          <w:color w:val="333333"/>
          <w:kern w:val="0"/>
          <w:sz w:val="36"/>
          <w:szCs w:val="36"/>
        </w:rPr>
        <w:t>第一部分 龙城区</w:t>
      </w:r>
      <w:r>
        <w:rPr>
          <w:rFonts w:ascii="黑体" w:eastAsia="黑体" w:cs="黑体"/>
          <w:color w:val="333333"/>
          <w:kern w:val="0"/>
          <w:sz w:val="36"/>
          <w:szCs w:val="36"/>
        </w:rPr>
        <w:t>信访局</w:t>
      </w:r>
      <w:r>
        <w:rPr>
          <w:rFonts w:ascii="黑体" w:eastAsia="黑体" w:cs="黑体" w:hint="eastAsia"/>
          <w:color w:val="333333"/>
          <w:kern w:val="0"/>
          <w:sz w:val="36"/>
          <w:szCs w:val="36"/>
        </w:rPr>
        <w:t>概况</w:t>
      </w:r>
    </w:p>
    <w:p>
      <w:pPr>
        <w:widowControl/>
        <w:spacing w:line="600" w:lineRule="exact"/>
        <w:jc w:val="center"/>
        <w:rPr>
          <w:rFonts w:ascii="宋体" w:cs="宋体"/>
          <w:color w:val="333333"/>
          <w:kern w:val="0"/>
          <w:sz w:val="32"/>
          <w:szCs w:val="32"/>
        </w:rPr>
      </w:pPr>
    </w:p>
    <w:p>
      <w:pPr>
        <w:spacing w:line="360" w:lineRule="auto"/>
        <w:ind w:firstLineChars="200" w:firstLine="640"/>
        <w:rPr>
          <w:rFonts w:ascii="楷体_GB2312" w:eastAsia="楷体_GB2312" w:cs="楷体_GB2312"/>
          <w:b/>
          <w:color w:val="333333"/>
          <w:kern w:val="0"/>
          <w:sz w:val="32"/>
          <w:szCs w:val="32"/>
          <w:shd w:val="clear" w:color="auto" w:fill="FFFFFF"/>
        </w:rPr>
      </w:pPr>
      <w:r>
        <w:rPr>
          <w:rFonts w:ascii="楷体_GB2312" w:eastAsia="楷体_GB2312" w:cs="楷体_GB2312" w:hint="eastAsia"/>
          <w:b/>
          <w:color w:val="333333"/>
          <w:kern w:val="0"/>
          <w:sz w:val="32"/>
          <w:szCs w:val="32"/>
          <w:shd w:val="clear" w:color="auto" w:fill="FFFFFF"/>
        </w:rPr>
        <w:t xml:space="preserve">    一、主要职责</w:t>
      </w:r>
    </w:p>
    <w:p>
      <w:pPr>
        <w:spacing w:line="360" w:lineRule="auto"/>
        <w:ind w:firstLineChars="200" w:firstLine="640"/>
        <w:rPr>
          <w:rFonts w:ascii="仿宋" w:eastAsia="仿宋"/>
          <w:sz w:val="32"/>
          <w:szCs w:val="32"/>
        </w:rPr>
      </w:pPr>
      <w:r>
        <w:rPr>
          <w:rFonts w:ascii="仿宋_GB2312" w:eastAsia="仿宋_GB2312" w:cs="仿宋_GB2312"/>
          <w:color w:val="333333"/>
          <w:kern w:val="0"/>
          <w:sz w:val="32"/>
          <w:szCs w:val="32"/>
          <w:shd w:val="clear" w:color="auto" w:fill="FFFFFF"/>
        </w:rPr>
        <w:t>(一)</w:t>
      </w:r>
      <w:r>
        <w:rPr>
          <w:rFonts w:ascii="仿宋" w:eastAsia="仿宋" w:hint="eastAsia"/>
          <w:sz w:val="32"/>
          <w:szCs w:val="32"/>
        </w:rPr>
        <w:t>、受理、交办、转送信访人提出的信访事项；</w:t>
      </w:r>
    </w:p>
    <w:p>
      <w:pPr>
        <w:spacing w:line="360" w:lineRule="auto"/>
        <w:rPr>
          <w:rFonts w:ascii="仿宋" w:eastAsia="仿宋"/>
          <w:sz w:val="32"/>
          <w:szCs w:val="32"/>
        </w:rPr>
      </w:pPr>
      <w:r>
        <w:rPr>
          <w:rFonts w:ascii="仿宋" w:eastAsia="仿宋"/>
          <w:sz w:val="32"/>
          <w:szCs w:val="32"/>
        </w:rPr>
        <w:t>（二）</w:t>
      </w:r>
      <w:r>
        <w:rPr>
          <w:rFonts w:ascii="仿宋" w:eastAsia="仿宋" w:hint="eastAsia"/>
          <w:sz w:val="32"/>
          <w:szCs w:val="32"/>
        </w:rPr>
        <w:t>、承办上级和本级人民政府交由处理的信访事项；</w:t>
      </w:r>
    </w:p>
    <w:p>
      <w:pPr>
        <w:spacing w:line="360" w:lineRule="auto"/>
        <w:rPr>
          <w:rFonts w:ascii="仿宋" w:eastAsia="仿宋"/>
          <w:sz w:val="32"/>
          <w:szCs w:val="32"/>
        </w:rPr>
      </w:pPr>
      <w:r>
        <w:rPr>
          <w:rFonts w:ascii="仿宋" w:eastAsia="仿宋"/>
          <w:sz w:val="32"/>
          <w:szCs w:val="32"/>
        </w:rPr>
        <w:t>（三）</w:t>
      </w:r>
      <w:r>
        <w:rPr>
          <w:rFonts w:ascii="仿宋" w:eastAsia="仿宋" w:hint="eastAsia"/>
          <w:sz w:val="32"/>
          <w:szCs w:val="32"/>
        </w:rPr>
        <w:t>、协调处理重要信访事项；</w:t>
      </w:r>
    </w:p>
    <w:p>
      <w:pPr>
        <w:spacing w:line="360" w:lineRule="auto"/>
        <w:rPr>
          <w:rFonts w:ascii="仿宋" w:eastAsia="仿宋"/>
          <w:sz w:val="32"/>
          <w:szCs w:val="32"/>
        </w:rPr>
      </w:pPr>
      <w:r>
        <w:rPr>
          <w:rFonts w:ascii="仿宋" w:eastAsia="仿宋"/>
          <w:sz w:val="32"/>
          <w:szCs w:val="32"/>
        </w:rPr>
        <w:t>（四）</w:t>
      </w:r>
      <w:r>
        <w:rPr>
          <w:rFonts w:ascii="仿宋" w:eastAsia="仿宋" w:hint="eastAsia"/>
          <w:sz w:val="32"/>
          <w:szCs w:val="32"/>
        </w:rPr>
        <w:t>、督促检查信访事项的处理；</w:t>
      </w:r>
    </w:p>
    <w:p>
      <w:pPr>
        <w:spacing w:line="360" w:lineRule="auto"/>
        <w:rPr>
          <w:rFonts w:ascii="仿宋" w:eastAsia="仿宋"/>
          <w:sz w:val="32"/>
          <w:szCs w:val="32"/>
        </w:rPr>
      </w:pPr>
      <w:r>
        <w:rPr>
          <w:rFonts w:ascii="仿宋" w:eastAsia="仿宋"/>
          <w:sz w:val="32"/>
          <w:szCs w:val="32"/>
        </w:rPr>
        <w:t>（五）</w:t>
      </w:r>
      <w:r>
        <w:rPr>
          <w:rFonts w:ascii="仿宋" w:eastAsia="仿宋" w:hint="eastAsia"/>
          <w:sz w:val="32"/>
          <w:szCs w:val="32"/>
        </w:rPr>
        <w:t>、研究、分析信访情况，开展调查研究，及时向本级人民政府提出完善政策和改进工作的建议；</w:t>
      </w:r>
    </w:p>
    <w:p>
      <w:pPr>
        <w:spacing w:line="360" w:lineRule="auto"/>
        <w:rPr>
          <w:rFonts w:ascii="仿宋" w:eastAsia="仿宋"/>
          <w:sz w:val="32"/>
          <w:szCs w:val="32"/>
        </w:rPr>
      </w:pPr>
      <w:r>
        <w:rPr>
          <w:rFonts w:ascii="仿宋" w:eastAsia="仿宋"/>
          <w:sz w:val="32"/>
          <w:szCs w:val="32"/>
        </w:rPr>
        <w:t>（六）</w:t>
      </w:r>
      <w:r>
        <w:rPr>
          <w:rFonts w:ascii="仿宋" w:eastAsia="仿宋" w:hint="eastAsia"/>
          <w:sz w:val="32"/>
          <w:szCs w:val="32"/>
        </w:rPr>
        <w:t>、对本级人民政府其他工作部门和下级人民政府信访工作机构的信访工作进行指导；</w:t>
      </w:r>
    </w:p>
    <w:p>
      <w:pPr>
        <w:spacing w:line="360" w:lineRule="auto"/>
        <w:ind w:firstLine="600"/>
        <w:rPr>
          <w:rFonts w:ascii="仿宋" w:eastAsia="仿宋"/>
          <w:sz w:val="32"/>
          <w:szCs w:val="32"/>
        </w:rPr>
      </w:pPr>
      <w:r>
        <w:rPr>
          <w:rFonts w:ascii="仿宋" w:eastAsia="仿宋"/>
          <w:sz w:val="32"/>
          <w:szCs w:val="32"/>
        </w:rPr>
        <w:t>（七）</w:t>
      </w:r>
      <w:r>
        <w:rPr>
          <w:rFonts w:ascii="仿宋" w:eastAsia="仿宋" w:hint="eastAsia"/>
          <w:sz w:val="32"/>
          <w:szCs w:val="32"/>
        </w:rPr>
        <w:t>、负责受理市民投诉工作；</w:t>
      </w:r>
    </w:p>
    <w:p>
      <w:pPr>
        <w:widowControl/>
        <w:spacing w:line="560" w:lineRule="exact"/>
        <w:ind w:firstLineChars="200" w:firstLine="640"/>
        <w:jc w:val="left"/>
        <w:rPr>
          <w:rFonts w:ascii="仿宋_GB2312" w:eastAsia="仿宋_GB2312" w:cs="仿宋_GB2312"/>
          <w:color w:val="333333"/>
          <w:kern w:val="0"/>
          <w:sz w:val="32"/>
          <w:szCs w:val="32"/>
          <w:shd w:val="clear" w:color="auto" w:fill="FFFFFF"/>
        </w:rPr>
      </w:pPr>
      <w:r>
        <w:rPr>
          <w:rFonts w:ascii="仿宋" w:eastAsia="仿宋"/>
          <w:sz w:val="32"/>
          <w:szCs w:val="32"/>
        </w:rPr>
        <w:t>（八）</w:t>
      </w:r>
      <w:r>
        <w:rPr>
          <w:rFonts w:ascii="仿宋" w:eastAsia="仿宋" w:hint="eastAsia"/>
          <w:sz w:val="32"/>
          <w:szCs w:val="32"/>
        </w:rPr>
        <w:t>、代区人民政府管理区政府信访事项复查、复核办公室工作。指导、协调及处理信访事项复查、复核工作。</w:t>
      </w:r>
    </w:p>
    <w:p>
      <w:pPr>
        <w:widowControl/>
        <w:spacing w:line="560" w:lineRule="exact"/>
        <w:jc w:val="left"/>
        <w:rPr>
          <w:rFonts w:ascii="仿宋_GB2312" w:eastAsia="仿宋_GB2312" w:cs="宋体"/>
          <w:bCs/>
          <w:color w:val="333333"/>
          <w:kern w:val="0"/>
          <w:sz w:val="32"/>
          <w:szCs w:val="32"/>
          <w:shd w:val="clear" w:color="auto" w:fill="FFFFFF"/>
        </w:rPr>
      </w:pPr>
      <w:r>
        <w:rPr>
          <w:rFonts w:ascii="楷体_GB2312" w:eastAsia="楷体_GB2312" w:cs="楷体_GB2312" w:hint="eastAsia"/>
          <w:b/>
          <w:color w:val="333333"/>
          <w:kern w:val="0"/>
          <w:sz w:val="32"/>
          <w:szCs w:val="32"/>
          <w:shd w:val="clear" w:color="auto" w:fill="FFFFFF"/>
        </w:rPr>
        <w:t xml:space="preserve">    二、部门预算单位构成</w:t>
      </w:r>
      <w:r>
        <w:rPr>
          <w:rFonts w:ascii="宋体" w:cs="宋体" w:hint="eastAsia"/>
          <w:color w:val="333333"/>
          <w:kern w:val="0"/>
          <w:sz w:val="32"/>
          <w:szCs w:val="32"/>
        </w:rPr>
        <w:br/>
      </w:r>
      <w:r>
        <w:rPr>
          <w:rFonts w:ascii="仿宋_GB2312" w:eastAsia="仿宋_GB2312" w:cs="宋体" w:hint="eastAsia"/>
          <w:bCs/>
          <w:color w:val="333333"/>
          <w:kern w:val="0"/>
          <w:sz w:val="32"/>
          <w:szCs w:val="32"/>
          <w:shd w:val="clear" w:color="auto" w:fill="FFFFFF"/>
        </w:rPr>
        <w:t xml:space="preserve">    纳入2022年部门预算编制范围的预算单位包括：</w:t>
      </w:r>
    </w:p>
    <w:p>
      <w:pPr>
        <w:widowControl/>
        <w:spacing w:line="560" w:lineRule="exact"/>
        <w:ind w:firstLineChars="200" w:firstLine="640"/>
        <w:jc w:val="left"/>
        <w:rPr>
          <w:rFonts w:ascii="仿宋_GB2312" w:eastAsia="仿宋_GB2312" w:cs="宋体"/>
          <w:bCs/>
          <w:color w:val="333333"/>
          <w:kern w:val="0"/>
          <w:sz w:val="32"/>
          <w:szCs w:val="32"/>
          <w:shd w:val="clear" w:color="auto" w:fill="FFFFFF"/>
        </w:rPr>
      </w:pPr>
      <w:r>
        <w:rPr>
          <w:rFonts w:ascii="仿宋_GB2312" w:eastAsia="仿宋_GB2312" w:cs="宋体" w:hint="eastAsia"/>
          <w:bCs/>
          <w:color w:val="333333"/>
          <w:kern w:val="0"/>
          <w:sz w:val="32"/>
          <w:szCs w:val="32"/>
          <w:shd w:val="clear" w:color="auto" w:fill="FFFFFF"/>
        </w:rPr>
        <w:t>1、龙城区</w:t>
      </w:r>
      <w:r>
        <w:rPr>
          <w:rFonts w:ascii="仿宋_GB2312" w:eastAsia="仿宋_GB2312" w:cs="宋体"/>
          <w:bCs/>
          <w:color w:val="333333"/>
          <w:kern w:val="0"/>
          <w:sz w:val="32"/>
          <w:szCs w:val="32"/>
          <w:shd w:val="clear" w:color="auto" w:fill="FFFFFF"/>
        </w:rPr>
        <w:t>信访局</w:t>
      </w:r>
      <w:r>
        <w:rPr>
          <w:rFonts w:ascii="仿宋_GB2312" w:eastAsia="仿宋_GB2312" w:cs="宋体" w:hint="eastAsia"/>
          <w:bCs/>
          <w:color w:val="333333"/>
          <w:kern w:val="0"/>
          <w:sz w:val="32"/>
          <w:szCs w:val="32"/>
          <w:shd w:val="clear" w:color="auto" w:fill="FFFFFF"/>
        </w:rPr>
        <w:t>本级</w:t>
      </w:r>
      <w:r>
        <w:rPr>
          <w:rFonts w:ascii="仿宋_GB2312" w:eastAsia="仿宋_GB2312" w:cs="宋体"/>
          <w:bCs/>
          <w:color w:val="333333"/>
          <w:kern w:val="0"/>
          <w:sz w:val="32"/>
          <w:szCs w:val="32"/>
          <w:shd w:val="clear" w:color="auto" w:fill="FFFFFF"/>
        </w:rPr>
        <w:t>。</w:t>
      </w:r>
    </w:p>
    <w:p>
      <w:pPr>
        <w:widowControl/>
        <w:spacing w:line="560" w:lineRule="exact"/>
        <w:jc w:val="left"/>
        <w:rPr>
          <w:rFonts w:ascii="宋体" w:cs="宋体"/>
          <w:color w:val="333333"/>
          <w:kern w:val="0"/>
          <w:sz w:val="36"/>
          <w:szCs w:val="36"/>
          <w:shd w:val="clear" w:color="auto" w:fill="FFFFFF"/>
        </w:rPr>
      </w:pPr>
    </w:p>
    <w:p>
      <w:pPr>
        <w:widowControl/>
        <w:spacing w:line="600" w:lineRule="exact"/>
        <w:jc w:val="left"/>
        <w:rPr>
          <w:rFonts w:ascii="宋体" w:cs="宋体"/>
          <w:color w:val="333333"/>
          <w:kern w:val="0"/>
          <w:sz w:val="36"/>
          <w:szCs w:val="36"/>
          <w:shd w:val="clear" w:color="auto" w:fill="FFFFFF"/>
        </w:rPr>
      </w:pPr>
    </w:p>
    <w:p>
      <w:pPr>
        <w:widowControl/>
        <w:spacing w:line="600" w:lineRule="exact"/>
        <w:jc w:val="left"/>
        <w:rPr>
          <w:rFonts w:ascii="宋体" w:cs="宋体"/>
          <w:color w:val="333333"/>
          <w:kern w:val="0"/>
          <w:sz w:val="36"/>
          <w:szCs w:val="36"/>
          <w:shd w:val="clear" w:color="auto" w:fill="FFFFFF"/>
        </w:rPr>
      </w:pPr>
    </w:p>
    <w:p>
      <w:pPr>
        <w:widowControl/>
        <w:spacing w:line="600" w:lineRule="exact"/>
        <w:jc w:val="left"/>
        <w:rPr>
          <w:rFonts w:ascii="宋体" w:cs="宋体"/>
          <w:color w:val="333333"/>
          <w:kern w:val="0"/>
          <w:sz w:val="36"/>
          <w:szCs w:val="36"/>
          <w:shd w:val="clear" w:color="auto" w:fill="FFFFFF"/>
        </w:rPr>
      </w:pPr>
    </w:p>
    <w:p>
      <w:pPr>
        <w:widowControl/>
        <w:spacing w:line="600" w:lineRule="exact"/>
        <w:jc w:val="left"/>
        <w:rPr>
          <w:rFonts w:ascii="宋体" w:cs="宋体"/>
          <w:color w:val="333333"/>
          <w:kern w:val="0"/>
          <w:sz w:val="36"/>
          <w:szCs w:val="36"/>
          <w:shd w:val="clear" w:color="auto" w:fill="FFFFFF"/>
        </w:rPr>
      </w:pPr>
    </w:p>
    <w:p>
      <w:pPr>
        <w:widowControl/>
        <w:spacing w:line="600" w:lineRule="exact"/>
        <w:jc w:val="left"/>
        <w:rPr>
          <w:rFonts w:ascii="宋体" w:cs="宋体"/>
          <w:color w:val="333333"/>
          <w:kern w:val="0"/>
          <w:sz w:val="36"/>
          <w:szCs w:val="36"/>
          <w:shd w:val="clear" w:color="auto" w:fill="FFFFFF"/>
        </w:rPr>
      </w:pPr>
    </w:p>
    <w:p>
      <w:pPr>
        <w:widowControl/>
        <w:spacing w:line="600" w:lineRule="exact"/>
        <w:jc w:val="left"/>
        <w:rPr>
          <w:rFonts w:ascii="宋体" w:cs="宋体"/>
          <w:color w:val="333333"/>
          <w:kern w:val="0"/>
          <w:sz w:val="36"/>
          <w:szCs w:val="36"/>
          <w:shd w:val="clear" w:color="auto" w:fill="FFFFFF"/>
        </w:rPr>
      </w:pPr>
    </w:p>
    <w:p>
      <w:pPr>
        <w:widowControl/>
        <w:spacing w:line="600" w:lineRule="exact"/>
        <w:jc w:val="left"/>
        <w:rPr>
          <w:rFonts w:ascii="宋体" w:cs="宋体"/>
          <w:color w:val="333333"/>
          <w:kern w:val="0"/>
          <w:sz w:val="36"/>
          <w:szCs w:val="36"/>
          <w:shd w:val="clear" w:color="auto" w:fill="FFFFFF"/>
        </w:rPr>
      </w:pPr>
    </w:p>
    <w:p>
      <w:pPr>
        <w:widowControl/>
        <w:spacing w:line="600" w:lineRule="exact"/>
        <w:jc w:val="left"/>
        <w:rPr>
          <w:rFonts w:ascii="宋体" w:cs="宋体"/>
          <w:color w:val="333333"/>
          <w:kern w:val="0"/>
          <w:sz w:val="36"/>
          <w:szCs w:val="36"/>
          <w:shd w:val="clear" w:color="auto" w:fill="FFFFFF"/>
        </w:rPr>
      </w:pPr>
    </w:p>
    <w:p>
      <w:pPr>
        <w:widowControl/>
        <w:spacing w:line="600" w:lineRule="exact"/>
        <w:jc w:val="left"/>
        <w:rPr>
          <w:rFonts w:ascii="宋体" w:cs="宋体"/>
          <w:kern w:val="0"/>
          <w:sz w:val="36"/>
          <w:szCs w:val="36"/>
        </w:rPr>
      </w:pPr>
    </w:p>
    <w:p>
      <w:pPr>
        <w:widowControl/>
        <w:spacing w:line="600" w:lineRule="exact"/>
        <w:jc w:val="left"/>
        <w:rPr>
          <w:rFonts w:ascii="宋体" w:cs="宋体"/>
          <w:kern w:val="0"/>
          <w:sz w:val="36"/>
          <w:szCs w:val="36"/>
        </w:rPr>
      </w:pPr>
    </w:p>
    <w:p>
      <w:pPr>
        <w:widowControl/>
        <w:spacing w:line="600" w:lineRule="exact"/>
        <w:jc w:val="center"/>
        <w:rPr>
          <w:rFonts w:ascii="黑体" w:eastAsia="黑体" w:cs="黑体"/>
          <w:color w:val="333333"/>
          <w:kern w:val="0"/>
          <w:sz w:val="36"/>
          <w:szCs w:val="36"/>
        </w:rPr>
      </w:pPr>
      <w:r>
        <w:rPr>
          <w:rFonts w:ascii="黑体" w:eastAsia="黑体" w:cs="黑体" w:hint="eastAsia"/>
          <w:color w:val="333333"/>
          <w:kern w:val="0"/>
          <w:sz w:val="36"/>
          <w:szCs w:val="36"/>
        </w:rPr>
        <w:t>第二部分 龙城区</w:t>
      </w:r>
      <w:r>
        <w:rPr>
          <w:rFonts w:ascii="黑体" w:eastAsia="黑体" w:cs="黑体"/>
          <w:color w:val="333333"/>
          <w:kern w:val="0"/>
          <w:sz w:val="36"/>
          <w:szCs w:val="36"/>
        </w:rPr>
        <w:t>信访局</w:t>
      </w:r>
      <w:r>
        <w:rPr>
          <w:rFonts w:ascii="黑体" w:eastAsia="黑体" w:cs="黑体" w:hint="eastAsia"/>
          <w:color w:val="333333"/>
          <w:kern w:val="0"/>
          <w:sz w:val="36"/>
          <w:szCs w:val="36"/>
        </w:rPr>
        <w:t>2022年部门预算情况说明</w:t>
      </w:r>
    </w:p>
    <w:p>
      <w:pPr>
        <w:widowControl/>
        <w:spacing w:line="560" w:lineRule="exact"/>
        <w:ind w:firstLineChars="200" w:firstLine="720"/>
        <w:jc w:val="left"/>
        <w:rPr>
          <w:rFonts w:ascii="宋体" w:cs="宋体"/>
          <w:color w:val="333333"/>
          <w:kern w:val="0"/>
          <w:sz w:val="36"/>
          <w:szCs w:val="36"/>
        </w:rPr>
      </w:pPr>
    </w:p>
    <w:p>
      <w:pPr>
        <w:widowControl/>
        <w:spacing w:line="600" w:lineRule="exact"/>
        <w:jc w:val="left"/>
        <w:rPr>
          <w:rFonts w:ascii="宋体" w:cs="宋体"/>
          <w:color w:val="333333"/>
          <w:kern w:val="0"/>
          <w:sz w:val="32"/>
          <w:szCs w:val="32"/>
        </w:rPr>
      </w:pPr>
      <w:r>
        <w:rPr>
          <w:rFonts w:ascii="楷体_GB2312" w:eastAsia="楷体_GB2312" w:cs="楷体_GB2312" w:hint="eastAsia"/>
          <w:b/>
          <w:bCs/>
          <w:color w:val="333333"/>
          <w:kern w:val="0"/>
          <w:sz w:val="32"/>
          <w:szCs w:val="32"/>
        </w:rPr>
        <w:t xml:space="preserve">    一、收支预算的总体情况</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按照综合预算的原则，2022 年所有收入和支出均纳入部门预算管理。其中：</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（一）收入预算</w:t>
      </w:r>
      <w:r>
        <w:rPr>
          <w:rFonts w:ascii="仿宋_GB2312" w:eastAsia="仿宋_GB2312" w:cs="仿宋_GB2312"/>
          <w:color w:val="333333"/>
          <w:kern w:val="0"/>
          <w:sz w:val="32"/>
          <w:szCs w:val="32"/>
        </w:rPr>
        <w:t>300.11</w:t>
      </w:r>
      <w:r>
        <w:rPr>
          <w:rFonts w:ascii="仿宋_GB2312" w:eastAsia="仿宋_GB2312" w:cs="仿宋_GB2312" w:hint="eastAsia"/>
          <w:color w:val="333333"/>
          <w:kern w:val="0"/>
          <w:sz w:val="32"/>
          <w:szCs w:val="32"/>
        </w:rPr>
        <w:t>万元，包括：</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1.一般公共预算拨款收入</w:t>
      </w:r>
      <w:r>
        <w:rPr>
          <w:rFonts w:ascii="仿宋_GB2312" w:eastAsia="仿宋_GB2312" w:cs="仿宋_GB2312"/>
          <w:color w:val="333333"/>
          <w:kern w:val="0"/>
          <w:sz w:val="32"/>
          <w:szCs w:val="32"/>
        </w:rPr>
        <w:t>300.11</w:t>
      </w:r>
      <w:r>
        <w:rPr>
          <w:rFonts w:ascii="仿宋_GB2312" w:eastAsia="仿宋_GB2312" w:cs="仿宋_GB2312" w:hint="eastAsia"/>
          <w:color w:val="333333"/>
          <w:kern w:val="0"/>
          <w:sz w:val="32"/>
          <w:szCs w:val="32"/>
        </w:rPr>
        <w:t>万元；</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2.政府性基金预算拨款收入</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万元；</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3.国有资本经营预算拨款收入</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万元；</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4.财政专户管理资金收入</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万元；</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5.单位资金收入</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万元；</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6.上年结转结余</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万元。</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（二）支出预算</w:t>
      </w:r>
      <w:r>
        <w:rPr>
          <w:rFonts w:ascii="仿宋_GB2312" w:eastAsia="仿宋_GB2312" w:cs="仿宋_GB2312"/>
          <w:color w:val="333333"/>
          <w:kern w:val="0"/>
          <w:sz w:val="32"/>
          <w:szCs w:val="32"/>
        </w:rPr>
        <w:t>300.11</w:t>
      </w:r>
      <w:r>
        <w:rPr>
          <w:rFonts w:ascii="仿宋_GB2312" w:eastAsia="仿宋_GB2312" w:cs="仿宋_GB2312" w:hint="eastAsia"/>
          <w:color w:val="333333"/>
          <w:kern w:val="0"/>
          <w:sz w:val="32"/>
          <w:szCs w:val="32"/>
        </w:rPr>
        <w:t>万元，包括：</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1.基本支出</w:t>
      </w:r>
      <w:r>
        <w:rPr>
          <w:rFonts w:ascii="仿宋_GB2312" w:eastAsia="仿宋_GB2312" w:cs="仿宋_GB2312"/>
          <w:color w:val="333333"/>
          <w:kern w:val="0"/>
          <w:sz w:val="32"/>
          <w:szCs w:val="32"/>
        </w:rPr>
        <w:t>266.62</w:t>
      </w:r>
      <w:r>
        <w:rPr>
          <w:rFonts w:ascii="仿宋_GB2312" w:eastAsia="仿宋_GB2312" w:cs="仿宋_GB2312" w:hint="eastAsia"/>
          <w:color w:val="333333"/>
          <w:kern w:val="0"/>
          <w:sz w:val="32"/>
          <w:szCs w:val="32"/>
        </w:rPr>
        <w:t>万元；</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2.项目支出</w:t>
      </w:r>
      <w:r>
        <w:rPr>
          <w:rFonts w:ascii="仿宋_GB2312" w:eastAsia="仿宋_GB2312" w:cs="仿宋_GB2312"/>
          <w:color w:val="333333"/>
          <w:kern w:val="0"/>
          <w:sz w:val="32"/>
          <w:szCs w:val="32"/>
        </w:rPr>
        <w:t>33.49</w:t>
      </w:r>
      <w:r>
        <w:rPr>
          <w:rFonts w:ascii="仿宋_GB2312" w:eastAsia="仿宋_GB2312" w:cs="仿宋_GB2312" w:hint="eastAsia"/>
          <w:color w:val="333333"/>
          <w:kern w:val="0"/>
          <w:sz w:val="32"/>
          <w:szCs w:val="32"/>
        </w:rPr>
        <w:t>万元。</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在支出预算</w:t>
      </w:r>
      <w:r>
        <w:rPr>
          <w:rFonts w:ascii="仿宋_GB2312" w:eastAsia="仿宋_GB2312" w:cs="仿宋_GB2312"/>
          <w:color w:val="333333"/>
          <w:kern w:val="0"/>
          <w:sz w:val="32"/>
          <w:szCs w:val="32"/>
        </w:rPr>
        <w:t>300.11</w:t>
      </w:r>
      <w:r>
        <w:rPr>
          <w:rFonts w:ascii="仿宋_GB2312" w:eastAsia="仿宋_GB2312" w:cs="仿宋_GB2312" w:hint="eastAsia"/>
          <w:color w:val="333333"/>
          <w:kern w:val="0"/>
          <w:sz w:val="32"/>
          <w:szCs w:val="32"/>
        </w:rPr>
        <w:t>万元中，债务支出</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万元，政府采购支出</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万元，政府购买服务支出</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万元。</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2022年预算收支比 2021 年增加</w:t>
      </w:r>
      <w:r>
        <w:rPr>
          <w:rFonts w:ascii="仿宋_GB2312" w:eastAsia="仿宋_GB2312" w:cs="仿宋_GB2312"/>
          <w:color w:val="333333"/>
          <w:kern w:val="0"/>
          <w:sz w:val="32"/>
          <w:szCs w:val="32"/>
        </w:rPr>
        <w:t>65.66</w:t>
      </w:r>
      <w:r>
        <w:rPr>
          <w:rFonts w:ascii="仿宋_GB2312" w:eastAsia="仿宋_GB2312" w:cs="仿宋_GB2312" w:hint="eastAsia"/>
          <w:color w:val="333333"/>
          <w:kern w:val="0"/>
          <w:sz w:val="32"/>
          <w:szCs w:val="32"/>
        </w:rPr>
        <w:t>万元。</w:t>
      </w:r>
    </w:p>
    <w:p>
      <w:pPr>
        <w:widowControl/>
        <w:spacing w:line="600" w:lineRule="exact"/>
        <w:ind w:firstLineChars="200" w:firstLine="640"/>
        <w:jc w:val="left"/>
        <w:rPr>
          <w:rFonts w:ascii="楷体_GB2312" w:eastAsia="楷体_GB2312" w:cs="楷体_GB2312"/>
          <w:b/>
          <w:bCs/>
          <w:color w:val="333333"/>
          <w:kern w:val="0"/>
          <w:sz w:val="32"/>
          <w:szCs w:val="32"/>
        </w:rPr>
      </w:pPr>
      <w:r>
        <w:rPr>
          <w:rFonts w:ascii="楷体_GB2312" w:eastAsia="楷体_GB2312" w:cs="楷体_GB2312" w:hint="eastAsia"/>
          <w:b/>
          <w:bCs/>
          <w:color w:val="333333"/>
          <w:kern w:val="0"/>
          <w:sz w:val="32"/>
          <w:szCs w:val="32"/>
        </w:rPr>
        <w:t>二、机关运行经费安排情况</w:t>
      </w:r>
    </w:p>
    <w:p>
      <w:pPr>
        <w:widowControl/>
        <w:spacing w:line="60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2022年机关运行经费预算为</w:t>
      </w:r>
      <w:r>
        <w:rPr>
          <w:rFonts w:ascii="仿宋_GB2312" w:eastAsia="仿宋_GB2312" w:cs="仿宋_GB2312"/>
          <w:color w:val="333333"/>
          <w:kern w:val="0"/>
          <w:sz w:val="32"/>
          <w:szCs w:val="32"/>
        </w:rPr>
        <w:t>22.78</w:t>
      </w:r>
      <w:r>
        <w:rPr>
          <w:rFonts w:ascii="仿宋_GB2312" w:eastAsia="仿宋_GB2312" w:cs="仿宋_GB2312" w:hint="eastAsia"/>
          <w:color w:val="333333"/>
          <w:kern w:val="0"/>
          <w:sz w:val="32"/>
          <w:szCs w:val="32"/>
        </w:rPr>
        <w:t>万元。主要包括办公费、印刷费、邮电费、差旅费、</w:t>
      </w:r>
      <w:r>
        <w:rPr>
          <w:rFonts w:ascii="仿宋_GB2312" w:eastAsia="仿宋_GB2312" w:cs="仿宋_GB2312"/>
          <w:color w:val="333333"/>
          <w:kern w:val="0"/>
          <w:sz w:val="32"/>
          <w:szCs w:val="32"/>
        </w:rPr>
        <w:t>取暖费</w:t>
      </w:r>
      <w:r>
        <w:rPr>
          <w:rFonts w:ascii="仿宋_GB2312" w:eastAsia="仿宋_GB2312" w:cs="仿宋_GB2312" w:hint="eastAsia"/>
          <w:color w:val="333333"/>
          <w:kern w:val="0"/>
          <w:sz w:val="32"/>
          <w:szCs w:val="32"/>
        </w:rPr>
        <w:t>、水电费、</w:t>
      </w:r>
      <w:r>
        <w:rPr>
          <w:rFonts w:ascii="仿宋_GB2312" w:eastAsia="仿宋_GB2312" w:cs="仿宋_GB2312"/>
          <w:color w:val="333333"/>
          <w:kern w:val="0"/>
          <w:sz w:val="32"/>
          <w:szCs w:val="32"/>
        </w:rPr>
        <w:t>物业管理费、维修（护）费、工会经费、劳务费、其他交通费、</w:t>
      </w:r>
      <w:r>
        <w:rPr>
          <w:rFonts w:ascii="仿宋_GB2312" w:eastAsia="仿宋_GB2312" w:cs="仿宋_GB2312" w:hint="eastAsia"/>
          <w:color w:val="333333"/>
          <w:kern w:val="0"/>
          <w:sz w:val="32"/>
          <w:szCs w:val="32"/>
        </w:rPr>
        <w:t>公务用车运行维护费等。</w:t>
      </w:r>
    </w:p>
    <w:p>
      <w:pPr>
        <w:widowControl/>
        <w:spacing w:line="540" w:lineRule="exact"/>
        <w:ind w:firstLineChars="200" w:firstLine="640"/>
        <w:jc w:val="left"/>
        <w:rPr>
          <w:rFonts w:ascii="楷体_GB2312" w:eastAsia="楷体_GB2312" w:cs="楷体_GB2312"/>
          <w:b/>
          <w:bCs/>
          <w:color w:val="333333"/>
          <w:kern w:val="0"/>
          <w:sz w:val="32"/>
          <w:szCs w:val="32"/>
        </w:rPr>
      </w:pPr>
      <w:r>
        <w:rPr>
          <w:rFonts w:ascii="楷体_GB2312" w:eastAsia="楷体_GB2312" w:cs="楷体_GB2312" w:hint="eastAsia"/>
          <w:b/>
          <w:bCs/>
          <w:color w:val="333333"/>
          <w:kern w:val="0"/>
          <w:sz w:val="32"/>
          <w:szCs w:val="32"/>
        </w:rPr>
        <w:t>三、政府采购情况</w:t>
      </w:r>
    </w:p>
    <w:p>
      <w:pPr>
        <w:widowControl/>
        <w:spacing w:line="54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2022年预算无政府采购项目。</w:t>
      </w:r>
    </w:p>
    <w:p>
      <w:pPr>
        <w:widowControl/>
        <w:spacing w:line="540" w:lineRule="exact"/>
        <w:ind w:firstLineChars="200" w:firstLine="640"/>
        <w:jc w:val="left"/>
        <w:rPr>
          <w:rFonts w:ascii="楷体_GB2312" w:eastAsia="楷体_GB2312" w:cs="楷体_GB2312"/>
          <w:b/>
          <w:bCs/>
          <w:color w:val="333333"/>
          <w:kern w:val="0"/>
          <w:sz w:val="32"/>
          <w:szCs w:val="32"/>
        </w:rPr>
      </w:pPr>
      <w:r>
        <w:rPr>
          <w:rFonts w:ascii="楷体_GB2312" w:eastAsia="楷体_GB2312" w:cs="楷体_GB2312" w:hint="eastAsia"/>
          <w:b/>
          <w:bCs/>
          <w:color w:val="333333"/>
          <w:kern w:val="0"/>
          <w:sz w:val="32"/>
          <w:szCs w:val="32"/>
        </w:rPr>
        <w:t>四、 “三公”经费预算情况</w:t>
      </w:r>
    </w:p>
    <w:p>
      <w:pPr>
        <w:widowControl/>
        <w:spacing w:line="54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ascii="仿宋_GB2312" w:eastAsia="仿宋_GB2312" w:cs="仿宋_GB2312"/>
          <w:color w:val="333333"/>
          <w:kern w:val="0"/>
          <w:sz w:val="32"/>
          <w:szCs w:val="32"/>
        </w:rPr>
        <w:t>2.5</w:t>
      </w:r>
      <w:r>
        <w:rPr>
          <w:rFonts w:ascii="仿宋_GB2312" w:eastAsia="仿宋_GB2312" w:cs="仿宋_GB2312" w:hint="eastAsia"/>
          <w:color w:val="333333"/>
          <w:kern w:val="0"/>
          <w:sz w:val="32"/>
          <w:szCs w:val="32"/>
        </w:rPr>
        <w:t>万元，比上年增加</w:t>
      </w:r>
      <w:r>
        <w:rPr>
          <w:rFonts w:ascii="仿宋_GB2312" w:eastAsia="仿宋_GB2312" w:cs="仿宋_GB2312"/>
          <w:color w:val="333333"/>
          <w:kern w:val="0"/>
          <w:sz w:val="32"/>
          <w:szCs w:val="32"/>
        </w:rPr>
        <w:t>0.3</w:t>
      </w:r>
    </w:p>
    <w:p>
      <w:pPr>
        <w:widowControl/>
        <w:spacing w:line="540" w:lineRule="exact"/>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万元。其中：</w:t>
      </w:r>
    </w:p>
    <w:p>
      <w:pPr>
        <w:widowControl/>
        <w:spacing w:line="54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因公出国（境）费</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万元，与上年持平。</w:t>
      </w:r>
    </w:p>
    <w:p>
      <w:pPr>
        <w:widowControl/>
        <w:spacing w:line="54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公务接待费</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万元，与上年持平；</w:t>
      </w:r>
    </w:p>
    <w:p>
      <w:pPr>
        <w:widowControl/>
        <w:spacing w:line="54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公务用车运行费</w:t>
      </w:r>
      <w:r>
        <w:rPr>
          <w:rFonts w:ascii="仿宋_GB2312" w:eastAsia="仿宋_GB2312" w:cs="仿宋_GB2312"/>
          <w:color w:val="333333"/>
          <w:kern w:val="0"/>
          <w:sz w:val="32"/>
          <w:szCs w:val="32"/>
        </w:rPr>
        <w:t>2.5</w:t>
      </w:r>
      <w:r>
        <w:rPr>
          <w:rFonts w:ascii="仿宋_GB2312" w:eastAsia="仿宋_GB2312" w:cs="仿宋_GB2312" w:hint="eastAsia"/>
          <w:color w:val="333333"/>
          <w:kern w:val="0"/>
          <w:sz w:val="32"/>
          <w:szCs w:val="32"/>
        </w:rPr>
        <w:t>万元，比上年增加</w:t>
      </w:r>
      <w:r>
        <w:rPr>
          <w:rFonts w:ascii="仿宋_GB2312" w:eastAsia="仿宋_GB2312" w:cs="仿宋_GB2312"/>
          <w:color w:val="333333"/>
          <w:kern w:val="0"/>
          <w:sz w:val="32"/>
          <w:szCs w:val="32"/>
        </w:rPr>
        <w:t>0.3</w:t>
      </w:r>
      <w:r>
        <w:rPr>
          <w:rFonts w:ascii="仿宋_GB2312" w:eastAsia="仿宋_GB2312" w:cs="仿宋_GB2312" w:hint="eastAsia"/>
          <w:color w:val="333333"/>
          <w:kern w:val="0"/>
          <w:sz w:val="32"/>
          <w:szCs w:val="32"/>
        </w:rPr>
        <w:t>万元；主要原因是</w:t>
      </w:r>
      <w:r>
        <w:rPr>
          <w:rFonts w:ascii="仿宋_GB2312" w:eastAsia="仿宋_GB2312" w:cs="仿宋_GB2312"/>
          <w:color w:val="333333"/>
          <w:kern w:val="0"/>
          <w:sz w:val="32"/>
          <w:szCs w:val="32"/>
        </w:rPr>
        <w:t>接访用车费用增加</w:t>
      </w:r>
      <w:r>
        <w:rPr>
          <w:rFonts w:ascii="仿宋_GB2312" w:eastAsia="仿宋_GB2312" w:cs="仿宋_GB2312" w:hint="eastAsia"/>
          <w:color w:val="333333"/>
          <w:kern w:val="0"/>
          <w:sz w:val="32"/>
          <w:szCs w:val="32"/>
        </w:rPr>
        <w:t>。</w:t>
      </w:r>
    </w:p>
    <w:p>
      <w:pPr>
        <w:widowControl/>
        <w:spacing w:line="540" w:lineRule="exact"/>
        <w:ind w:firstLineChars="200" w:firstLine="640"/>
        <w:jc w:val="left"/>
        <w:rPr>
          <w:rFonts w:ascii="楷体_GB2312" w:eastAsia="楷体_GB2312" w:cs="楷体_GB2312"/>
          <w:b/>
          <w:bCs/>
          <w:color w:val="333333"/>
          <w:kern w:val="0"/>
          <w:sz w:val="32"/>
          <w:szCs w:val="32"/>
        </w:rPr>
      </w:pPr>
      <w:r>
        <w:rPr>
          <w:rFonts w:ascii="楷体_GB2312" w:eastAsia="楷体_GB2312" w:cs="楷体_GB2312" w:hint="eastAsia"/>
          <w:b/>
          <w:bCs/>
          <w:color w:val="333333"/>
          <w:kern w:val="0"/>
          <w:sz w:val="32"/>
          <w:szCs w:val="32"/>
        </w:rPr>
        <w:t>五、国有资产占用情况</w:t>
      </w:r>
    </w:p>
    <w:p>
      <w:pPr>
        <w:widowControl/>
        <w:spacing w:line="54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 xml:space="preserve">2022年年初预算购置车辆 </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台，金额</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 xml:space="preserve">万元，单位价值 50 万元以上的通用设备 </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 xml:space="preserve"> 台，单位价值 100万元以上的专用设备 </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台。</w:t>
      </w:r>
    </w:p>
    <w:p>
      <w:pPr>
        <w:widowControl/>
        <w:spacing w:line="540" w:lineRule="exact"/>
        <w:ind w:firstLineChars="200" w:firstLine="640"/>
        <w:jc w:val="left"/>
        <w:rPr>
          <w:rFonts w:ascii="楷体_GB2312" w:eastAsia="楷体_GB2312" w:cs="楷体_GB2312"/>
          <w:b/>
          <w:bCs/>
          <w:color w:val="333333"/>
          <w:kern w:val="0"/>
          <w:sz w:val="32"/>
          <w:szCs w:val="32"/>
        </w:rPr>
      </w:pPr>
      <w:r>
        <w:rPr>
          <w:rFonts w:ascii="楷体_GB2312" w:eastAsia="楷体_GB2312" w:cs="楷体_GB2312" w:hint="eastAsia"/>
          <w:b/>
          <w:bCs/>
          <w:color w:val="333333"/>
          <w:kern w:val="0"/>
          <w:sz w:val="32"/>
          <w:szCs w:val="32"/>
        </w:rPr>
        <w:t>六、预算绩效目标情况</w:t>
      </w:r>
    </w:p>
    <w:p>
      <w:pPr>
        <w:widowControl/>
        <w:spacing w:line="540" w:lineRule="exact"/>
        <w:ind w:firstLineChars="200" w:firstLine="640"/>
        <w:jc w:val="left"/>
        <w:rPr>
          <w:rFonts w:ascii="仿宋_GB2312" w:eastAsia="仿宋_GB2312" w:cs="仿宋_GB2312"/>
          <w:color w:val="333333"/>
          <w:kern w:val="0"/>
          <w:sz w:val="32"/>
          <w:szCs w:val="32"/>
        </w:rPr>
      </w:pPr>
      <w:r>
        <w:rPr>
          <w:rFonts w:ascii="仿宋_GB2312" w:eastAsia="仿宋_GB2312" w:cs="仿宋_GB2312" w:hint="eastAsia"/>
          <w:color w:val="333333"/>
          <w:kern w:val="0"/>
          <w:sz w:val="32"/>
          <w:szCs w:val="32"/>
        </w:rPr>
        <w:t>根据预算绩效管理要求，2022年应编制部门（单位）整体绩效目标共</w:t>
      </w:r>
      <w:r>
        <w:rPr>
          <w:rFonts w:ascii="仿宋_GB2312" w:eastAsia="仿宋_GB2312" w:cs="仿宋_GB2312"/>
          <w:color w:val="333333"/>
          <w:kern w:val="0"/>
          <w:sz w:val="32"/>
          <w:szCs w:val="32"/>
        </w:rPr>
        <w:t>1</w:t>
      </w:r>
      <w:r>
        <w:rPr>
          <w:rFonts w:ascii="仿宋_GB2312" w:eastAsia="仿宋_GB2312" w:cs="仿宋_GB2312" w:hint="eastAsia"/>
          <w:color w:val="333333"/>
          <w:kern w:val="0"/>
          <w:sz w:val="32"/>
          <w:szCs w:val="32"/>
        </w:rPr>
        <w:t>个，实际编制部门（单位）整体绩效目标共</w:t>
      </w:r>
      <w:r>
        <w:rPr>
          <w:rFonts w:ascii="仿宋_GB2312" w:eastAsia="仿宋_GB2312" w:cs="仿宋_GB2312"/>
          <w:color w:val="333333"/>
          <w:kern w:val="0"/>
          <w:sz w:val="32"/>
          <w:szCs w:val="32"/>
        </w:rPr>
        <w:t>1</w:t>
      </w:r>
      <w:r>
        <w:rPr>
          <w:rFonts w:ascii="仿宋_GB2312" w:eastAsia="仿宋_GB2312" w:cs="仿宋_GB2312" w:hint="eastAsia"/>
          <w:color w:val="333333"/>
          <w:kern w:val="0"/>
          <w:sz w:val="32"/>
          <w:szCs w:val="32"/>
        </w:rPr>
        <w:t>个，编制部门（单位）整体绩效目标覆盖率（实际编制绩效目标的数量/应编制绩效目标的数量）为100%。应编制绩效目标的特定目标类项目共</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 xml:space="preserve">个，实际编制绩效目标的特定目标类项目共 </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个,涉及资金</w:t>
      </w:r>
      <w:r>
        <w:rPr>
          <w:rFonts w:ascii="仿宋_GB2312" w:eastAsia="仿宋_GB2312" w:cs="仿宋_GB2312"/>
          <w:color w:val="333333"/>
          <w:kern w:val="0"/>
          <w:sz w:val="32"/>
          <w:szCs w:val="32"/>
        </w:rPr>
        <w:t>0</w:t>
      </w:r>
      <w:r>
        <w:rPr>
          <w:rFonts w:ascii="仿宋_GB2312" w:eastAsia="仿宋_GB2312" w:cs="仿宋_GB2312" w:hint="eastAsia"/>
          <w:color w:val="333333"/>
          <w:kern w:val="0"/>
          <w:sz w:val="32"/>
          <w:szCs w:val="32"/>
        </w:rPr>
        <w:t>万元，编制特定目标的项目覆盖率（实际编制绩效目标的数量/应编制绩效目标的数量）为100%。</w:t>
      </w:r>
    </w:p>
    <w:p>
      <w:pPr>
        <w:widowControl/>
        <w:spacing w:line="600" w:lineRule="exact"/>
        <w:jc w:val="center"/>
        <w:rPr>
          <w:rFonts w:ascii="黑体" w:eastAsia="黑体" w:cs="黑体"/>
          <w:color w:val="333333"/>
          <w:kern w:val="0"/>
          <w:sz w:val="36"/>
          <w:szCs w:val="36"/>
        </w:rPr>
      </w:pPr>
    </w:p>
    <w:p>
      <w:pPr>
        <w:widowControl/>
        <w:spacing w:line="600" w:lineRule="exact"/>
        <w:jc w:val="center"/>
        <w:rPr>
          <w:rFonts w:ascii="黑体" w:eastAsia="黑体" w:cs="黑体"/>
          <w:color w:val="333333"/>
          <w:kern w:val="0"/>
          <w:sz w:val="36"/>
          <w:szCs w:val="36"/>
        </w:rPr>
      </w:pPr>
      <w:r>
        <w:rPr>
          <w:rFonts w:ascii="黑体" w:eastAsia="黑体" w:cs="黑体" w:hint="eastAsia"/>
          <w:color w:val="333333"/>
          <w:kern w:val="0"/>
          <w:sz w:val="36"/>
          <w:szCs w:val="36"/>
        </w:rPr>
        <w:t>第三部分 名词解释</w:t>
      </w:r>
    </w:p>
    <w:p>
      <w:pPr>
        <w:spacing w:line="620" w:lineRule="exact"/>
        <w:ind w:firstLineChars="200" w:firstLine="640"/>
        <w:jc w:val="left"/>
        <w:rPr>
          <w:rFonts w:ascii="仿宋_GB2312" w:eastAsia="仿宋_GB2312" w:cs="仿宋_GB2312"/>
          <w:color w:val="333333"/>
          <w:kern w:val="0"/>
          <w:sz w:val="32"/>
          <w:szCs w:val="32"/>
          <w:shd w:val="clear" w:color="auto" w:fill="FFFFFF"/>
        </w:rPr>
      </w:pPr>
      <w:r>
        <w:rPr>
          <w:rFonts w:ascii="仿宋_GB2312" w:eastAsia="仿宋_GB2312" w:cs="仿宋_GB2312" w:hint="eastAsia"/>
          <w:b/>
          <w:bCs/>
          <w:color w:val="333333"/>
          <w:kern w:val="0"/>
          <w:sz w:val="32"/>
          <w:szCs w:val="32"/>
          <w:shd w:val="clear" w:color="auto" w:fill="FFFFFF"/>
        </w:rPr>
        <w:t>1.一般公共预算拨款收入：</w:t>
      </w:r>
      <w:r>
        <w:rPr>
          <w:rFonts w:ascii="仿宋_GB2312" w:eastAsia="仿宋_GB2312" w:cs="仿宋_GB2312" w:hint="eastAsia"/>
          <w:color w:val="333333"/>
          <w:kern w:val="0"/>
          <w:sz w:val="32"/>
          <w:szCs w:val="32"/>
          <w:shd w:val="clear" w:color="auto" w:fill="FFFFFF"/>
        </w:rPr>
        <w:t>指区级财政当年拨付的资金。</w:t>
      </w:r>
    </w:p>
    <w:p>
      <w:pPr>
        <w:spacing w:line="620" w:lineRule="exact"/>
        <w:ind w:firstLineChars="200" w:firstLine="640"/>
        <w:jc w:val="left"/>
        <w:rPr>
          <w:rFonts w:ascii="仿宋_GB2312" w:eastAsia="仿宋_GB2312" w:cs="仿宋_GB2312"/>
          <w:color w:val="333333"/>
          <w:kern w:val="0"/>
          <w:sz w:val="32"/>
          <w:szCs w:val="32"/>
          <w:shd w:val="clear" w:color="auto" w:fill="FFFFFF"/>
        </w:rPr>
      </w:pPr>
      <w:r>
        <w:rPr>
          <w:rFonts w:ascii="仿宋_GB2312" w:eastAsia="仿宋_GB2312" w:cs="仿宋_GB2312" w:hint="eastAsia"/>
          <w:b/>
          <w:bCs/>
          <w:color w:val="333333"/>
          <w:kern w:val="0"/>
          <w:sz w:val="32"/>
          <w:szCs w:val="32"/>
          <w:shd w:val="clear" w:color="auto" w:fill="FFFFFF"/>
        </w:rPr>
        <w:t>2.基本支出：</w:t>
      </w:r>
      <w:r>
        <w:rPr>
          <w:rFonts w:ascii="仿宋_GB2312" w:eastAsia="仿宋_GB2312" w:cs="仿宋_GB2312" w:hint="eastAsia"/>
          <w:color w:val="333333"/>
          <w:kern w:val="0"/>
          <w:sz w:val="32"/>
          <w:szCs w:val="32"/>
          <w:shd w:val="clear" w:color="auto" w:fill="FFFFFF"/>
        </w:rPr>
        <w:t>指保障机构正常运转、完成日常工作任务而发生的人员经费和公用经费。</w:t>
      </w:r>
    </w:p>
    <w:p>
      <w:pPr>
        <w:spacing w:line="620" w:lineRule="exact"/>
        <w:ind w:firstLineChars="200" w:firstLine="640"/>
        <w:jc w:val="left"/>
        <w:rPr>
          <w:rFonts w:ascii="仿宋_GB2312" w:eastAsia="仿宋_GB2312" w:cs="仿宋_GB2312"/>
          <w:color w:val="333333"/>
          <w:kern w:val="0"/>
          <w:sz w:val="32"/>
          <w:szCs w:val="32"/>
          <w:shd w:val="clear" w:color="auto" w:fill="FFFFFF"/>
        </w:rPr>
      </w:pPr>
      <w:r>
        <w:rPr>
          <w:rFonts w:ascii="仿宋_GB2312" w:eastAsia="仿宋_GB2312" w:cs="仿宋_GB2312" w:hint="eastAsia"/>
          <w:b/>
          <w:bCs/>
          <w:color w:val="333333"/>
          <w:kern w:val="0"/>
          <w:sz w:val="32"/>
          <w:szCs w:val="32"/>
          <w:shd w:val="clear" w:color="auto" w:fill="FFFFFF"/>
        </w:rPr>
        <w:t>3.项目支出：</w:t>
      </w:r>
      <w:r>
        <w:rPr>
          <w:rFonts w:ascii="仿宋_GB2312" w:eastAsia="仿宋_GB2312" w:cs="仿宋_GB2312" w:hint="eastAsia"/>
          <w:color w:val="333333"/>
          <w:kern w:val="0"/>
          <w:sz w:val="32"/>
          <w:szCs w:val="32"/>
          <w:shd w:val="clear" w:color="auto" w:fill="FFFFFF"/>
        </w:rPr>
        <w:t>指在基本支出之外为完成特定工作任务和事业发展目标所发生的支出。</w:t>
      </w:r>
    </w:p>
    <w:p>
      <w:pPr>
        <w:spacing w:line="620" w:lineRule="exact"/>
        <w:ind w:firstLineChars="200" w:firstLine="640"/>
        <w:jc w:val="left"/>
        <w:rPr>
          <w:rFonts w:ascii="仿宋_GB2312" w:eastAsia="仿宋_GB2312" w:cs="仿宋_GB2312"/>
          <w:color w:val="333333"/>
          <w:kern w:val="0"/>
          <w:sz w:val="32"/>
          <w:szCs w:val="32"/>
          <w:shd w:val="clear" w:color="auto" w:fill="FFFFFF"/>
        </w:rPr>
      </w:pPr>
      <w:r>
        <w:rPr>
          <w:rFonts w:ascii="仿宋_GB2312" w:eastAsia="仿宋_GB2312" w:cs="仿宋_GB2312" w:hint="eastAsia"/>
          <w:b/>
          <w:bCs/>
          <w:color w:val="333333"/>
          <w:kern w:val="0"/>
          <w:sz w:val="32"/>
          <w:szCs w:val="32"/>
          <w:shd w:val="clear" w:color="auto" w:fill="FFFFFF"/>
        </w:rPr>
        <w:t>4.“三公”经费：</w:t>
      </w:r>
      <w:r>
        <w:rPr>
          <w:rFonts w:ascii="仿宋_GB2312" w:eastAsia="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Chars="200" w:firstLine="640"/>
        <w:jc w:val="left"/>
        <w:rPr>
          <w:rFonts w:ascii="仿宋_GB2312" w:eastAsia="仿宋_GB2312" w:cs="仿宋_GB2312"/>
          <w:color w:val="333333"/>
          <w:kern w:val="0"/>
          <w:sz w:val="32"/>
          <w:szCs w:val="32"/>
          <w:shd w:val="clear" w:color="auto" w:fill="FFFFFF"/>
        </w:rPr>
      </w:pPr>
      <w:r>
        <w:rPr>
          <w:rFonts w:ascii="仿宋_GB2312" w:eastAsia="仿宋_GB2312" w:cs="仿宋_GB2312" w:hint="eastAsia"/>
          <w:b/>
          <w:bCs/>
          <w:color w:val="333333"/>
          <w:kern w:val="0"/>
          <w:sz w:val="32"/>
          <w:szCs w:val="32"/>
          <w:shd w:val="clear" w:color="auto" w:fill="FFFFFF"/>
        </w:rPr>
        <w:t>5.一般公共服务（类）</w:t>
      </w:r>
      <w:r>
        <w:rPr>
          <w:rFonts w:ascii="仿宋_GB2312" w:eastAsia="仿宋_GB2312" w:cs="仿宋_GB2312"/>
          <w:b/>
          <w:bCs/>
          <w:color w:val="333333"/>
          <w:kern w:val="0"/>
          <w:sz w:val="32"/>
          <w:szCs w:val="32"/>
          <w:shd w:val="clear" w:color="auto" w:fill="FFFFFF"/>
        </w:rPr>
        <w:t>政府办公厅（室）及相关机构事务</w:t>
      </w:r>
      <w:r>
        <w:rPr>
          <w:rFonts w:ascii="仿宋_GB2312" w:eastAsia="仿宋_GB2312" w:cs="仿宋_GB2312" w:hint="eastAsia"/>
          <w:b/>
          <w:bCs/>
          <w:color w:val="333333"/>
          <w:kern w:val="0"/>
          <w:sz w:val="32"/>
          <w:szCs w:val="32"/>
          <w:shd w:val="clear" w:color="auto" w:fill="FFFFFF"/>
        </w:rPr>
        <w:t>（款）</w:t>
      </w:r>
      <w:r>
        <w:rPr>
          <w:rFonts w:ascii="仿宋_GB2312" w:eastAsia="仿宋_GB2312" w:cs="仿宋_GB2312"/>
          <w:b/>
          <w:bCs/>
          <w:color w:val="333333"/>
          <w:kern w:val="0"/>
          <w:sz w:val="32"/>
          <w:szCs w:val="32"/>
          <w:shd w:val="clear" w:color="auto" w:fill="FFFFFF"/>
        </w:rPr>
        <w:t>行政运行</w:t>
      </w:r>
      <w:r>
        <w:rPr>
          <w:rFonts w:ascii="仿宋_GB2312" w:eastAsia="仿宋_GB2312" w:cs="仿宋_GB2312" w:hint="eastAsia"/>
          <w:b/>
          <w:bCs/>
          <w:color w:val="333333"/>
          <w:kern w:val="0"/>
          <w:sz w:val="32"/>
          <w:szCs w:val="32"/>
          <w:shd w:val="clear" w:color="auto" w:fill="FFFFFF"/>
        </w:rPr>
        <w:t>（项）：</w:t>
      </w:r>
      <w:r>
        <w:rPr>
          <w:rFonts w:ascii="仿宋_GB2312" w:eastAsia="仿宋_GB2312" w:cs="仿宋_GB2312"/>
          <w:color w:val="333333"/>
          <w:kern w:val="0"/>
          <w:sz w:val="32"/>
          <w:szCs w:val="32"/>
          <w:shd w:val="clear" w:color="auto" w:fill="FFFFFF"/>
        </w:rPr>
        <w:t>反映行政单位（包括实行公务员管理的事业单位）的基本支出。</w:t>
      </w:r>
    </w:p>
    <w:p>
      <w:pPr>
        <w:spacing w:line="620" w:lineRule="exact"/>
        <w:ind w:firstLineChars="200" w:firstLine="640"/>
        <w:jc w:val="left"/>
        <w:rPr>
          <w:rFonts w:ascii="仿宋_GB2312" w:eastAsia="仿宋_GB2312" w:cs="仿宋_GB2312"/>
          <w:color w:val="333333"/>
          <w:kern w:val="0"/>
          <w:sz w:val="32"/>
          <w:szCs w:val="32"/>
          <w:shd w:val="clear" w:color="auto" w:fill="FFFFFF"/>
        </w:rPr>
      </w:pPr>
      <w:r>
        <w:rPr>
          <w:rFonts w:ascii="仿宋_GB2312" w:eastAsia="仿宋_GB2312" w:cs="仿宋_GB2312"/>
          <w:b/>
          <w:bCs/>
          <w:color w:val="333333"/>
          <w:kern w:val="0"/>
          <w:sz w:val="32"/>
          <w:szCs w:val="32"/>
          <w:shd w:val="clear" w:color="auto" w:fill="FFFFFF"/>
        </w:rPr>
        <w:t>6</w:t>
      </w:r>
      <w:r>
        <w:rPr>
          <w:rFonts w:ascii="仿宋_GB2312" w:eastAsia="仿宋_GB2312" w:cs="仿宋_GB2312" w:hint="eastAsia"/>
          <w:b/>
          <w:bCs/>
          <w:color w:val="333333"/>
          <w:kern w:val="0"/>
          <w:sz w:val="32"/>
          <w:szCs w:val="32"/>
          <w:shd w:val="clear" w:color="auto" w:fill="FFFFFF"/>
        </w:rPr>
        <w:t>.社会保障和就业（类）行政</w:t>
      </w:r>
      <w:r>
        <w:rPr>
          <w:rFonts w:ascii="仿宋_GB2312" w:eastAsia="仿宋_GB2312" w:cs="仿宋_GB2312"/>
          <w:b/>
          <w:bCs/>
          <w:color w:val="333333"/>
          <w:kern w:val="0"/>
          <w:sz w:val="32"/>
          <w:szCs w:val="32"/>
          <w:shd w:val="clear" w:color="auto" w:fill="FFFFFF"/>
        </w:rPr>
        <w:t>事业</w:t>
      </w:r>
      <w:r>
        <w:rPr>
          <w:rFonts w:ascii="仿宋_GB2312" w:eastAsia="仿宋_GB2312" w:cs="仿宋_GB2312" w:hint="eastAsia"/>
          <w:b/>
          <w:bCs/>
          <w:color w:val="333333"/>
          <w:kern w:val="0"/>
          <w:sz w:val="32"/>
          <w:szCs w:val="32"/>
          <w:shd w:val="clear" w:color="auto" w:fill="FFFFFF"/>
        </w:rPr>
        <w:t>单位</w:t>
      </w:r>
      <w:r>
        <w:rPr>
          <w:rFonts w:ascii="仿宋_GB2312" w:eastAsia="仿宋_GB2312" w:cs="仿宋_GB2312"/>
          <w:b/>
          <w:bCs/>
          <w:color w:val="333333"/>
          <w:kern w:val="0"/>
          <w:sz w:val="32"/>
          <w:szCs w:val="32"/>
          <w:shd w:val="clear" w:color="auto" w:fill="FFFFFF"/>
        </w:rPr>
        <w:t>养老支出</w:t>
      </w:r>
      <w:r>
        <w:rPr>
          <w:rFonts w:ascii="仿宋_GB2312" w:eastAsia="仿宋_GB2312" w:cs="仿宋_GB2312" w:hint="eastAsia"/>
          <w:b/>
          <w:bCs/>
          <w:color w:val="333333"/>
          <w:kern w:val="0"/>
          <w:sz w:val="32"/>
          <w:szCs w:val="32"/>
          <w:shd w:val="clear" w:color="auto" w:fill="FFFFFF"/>
        </w:rPr>
        <w:t>（款）行政单位离退休（项）：</w:t>
      </w:r>
      <w:r>
        <w:rPr>
          <w:rFonts w:ascii="仿宋_GB2312" w:eastAsia="仿宋_GB2312" w:cs="仿宋_GB2312"/>
          <w:color w:val="333333"/>
          <w:kern w:val="0"/>
          <w:sz w:val="32"/>
          <w:szCs w:val="32"/>
          <w:shd w:val="clear" w:color="auto" w:fill="FFFFFF"/>
        </w:rPr>
        <w:t>反映行政单位（包括实行公务员管理的事业单位）开支的退休经费。</w:t>
      </w:r>
    </w:p>
    <w:p>
      <w:pPr>
        <w:spacing w:line="620" w:lineRule="exact"/>
        <w:ind w:firstLineChars="200" w:firstLine="640"/>
        <w:jc w:val="left"/>
        <w:rPr>
          <w:rFonts w:ascii="仿宋_GB2312" w:eastAsia="仿宋_GB2312" w:cs="仿宋_GB2312"/>
          <w:color w:val="333333"/>
          <w:kern w:val="0"/>
          <w:sz w:val="32"/>
          <w:szCs w:val="32"/>
          <w:shd w:val="clear" w:color="auto" w:fill="FFFFFF"/>
        </w:rPr>
      </w:pPr>
      <w:r>
        <w:rPr>
          <w:rFonts w:ascii="仿宋_GB2312" w:eastAsia="仿宋_GB2312" w:cs="仿宋_GB2312"/>
          <w:b/>
          <w:bCs/>
          <w:color w:val="333333"/>
          <w:kern w:val="0"/>
          <w:sz w:val="32"/>
          <w:szCs w:val="32"/>
          <w:shd w:val="clear" w:color="auto" w:fill="FFFFFF"/>
        </w:rPr>
        <w:t>7</w:t>
      </w:r>
      <w:r>
        <w:rPr>
          <w:rFonts w:ascii="仿宋_GB2312" w:eastAsia="仿宋_GB2312" w:cs="仿宋_GB2312" w:hint="eastAsia"/>
          <w:b/>
          <w:bCs/>
          <w:color w:val="333333"/>
          <w:kern w:val="0"/>
          <w:sz w:val="32"/>
          <w:szCs w:val="32"/>
          <w:shd w:val="clear" w:color="auto" w:fill="FFFFFF"/>
        </w:rPr>
        <w:t>.社会保障和就业（类）行政</w:t>
      </w:r>
      <w:r>
        <w:rPr>
          <w:rFonts w:ascii="仿宋_GB2312" w:eastAsia="仿宋_GB2312" w:cs="仿宋_GB2312"/>
          <w:b/>
          <w:bCs/>
          <w:color w:val="333333"/>
          <w:kern w:val="0"/>
          <w:sz w:val="32"/>
          <w:szCs w:val="32"/>
          <w:shd w:val="clear" w:color="auto" w:fill="FFFFFF"/>
        </w:rPr>
        <w:t>事业</w:t>
      </w:r>
      <w:r>
        <w:rPr>
          <w:rFonts w:ascii="仿宋_GB2312" w:eastAsia="仿宋_GB2312" w:cs="仿宋_GB2312" w:hint="eastAsia"/>
          <w:b/>
          <w:bCs/>
          <w:color w:val="333333"/>
          <w:kern w:val="0"/>
          <w:sz w:val="32"/>
          <w:szCs w:val="32"/>
          <w:shd w:val="clear" w:color="auto" w:fill="FFFFFF"/>
        </w:rPr>
        <w:t>单位</w:t>
      </w:r>
      <w:r>
        <w:rPr>
          <w:rFonts w:ascii="仿宋_GB2312" w:eastAsia="仿宋_GB2312" w:cs="仿宋_GB2312"/>
          <w:b/>
          <w:bCs/>
          <w:color w:val="333333"/>
          <w:kern w:val="0"/>
          <w:sz w:val="32"/>
          <w:szCs w:val="32"/>
          <w:shd w:val="clear" w:color="auto" w:fill="FFFFFF"/>
        </w:rPr>
        <w:t>养老支出</w:t>
      </w:r>
      <w:r>
        <w:rPr>
          <w:rFonts w:ascii="仿宋_GB2312" w:eastAsia="仿宋_GB2312" w:cs="仿宋_GB2312" w:hint="eastAsia"/>
          <w:b/>
          <w:bCs/>
          <w:color w:val="333333"/>
          <w:kern w:val="0"/>
          <w:sz w:val="32"/>
          <w:szCs w:val="32"/>
          <w:shd w:val="clear" w:color="auto" w:fill="FFFFFF"/>
        </w:rPr>
        <w:t>（款）</w:t>
      </w:r>
      <w:r>
        <w:rPr>
          <w:rFonts w:ascii="仿宋_GB2312" w:eastAsia="仿宋_GB2312" w:cs="仿宋_GB2312"/>
          <w:b/>
          <w:bCs/>
          <w:color w:val="333333"/>
          <w:kern w:val="0"/>
          <w:sz w:val="32"/>
          <w:szCs w:val="32"/>
          <w:shd w:val="clear" w:color="auto" w:fill="FFFFFF"/>
        </w:rPr>
        <w:t>机关事业单位基本养老保险缴费支出</w:t>
      </w:r>
      <w:r>
        <w:rPr>
          <w:rFonts w:ascii="仿宋_GB2312" w:eastAsia="仿宋_GB2312" w:cs="仿宋_GB2312" w:hint="eastAsia"/>
          <w:b/>
          <w:bCs/>
          <w:color w:val="333333"/>
          <w:kern w:val="0"/>
          <w:sz w:val="32"/>
          <w:szCs w:val="32"/>
          <w:shd w:val="clear" w:color="auto" w:fill="FFFFFF"/>
        </w:rPr>
        <w:t>（项）：</w:t>
      </w:r>
      <w:r>
        <w:rPr>
          <w:rFonts w:ascii="仿宋_GB2312" w:eastAsia="仿宋_GB2312" w:cs="仿宋_GB2312"/>
          <w:color w:val="333333"/>
          <w:kern w:val="0"/>
          <w:sz w:val="32"/>
          <w:szCs w:val="32"/>
          <w:shd w:val="clear" w:color="auto" w:fill="FFFFFF"/>
        </w:rPr>
        <w:t>反映机关事业单位实施养老保险制度由单位缴纳的基本养老保险费支出。</w:t>
      </w:r>
    </w:p>
    <w:p>
      <w:pPr>
        <w:spacing w:line="620" w:lineRule="exact"/>
        <w:ind w:firstLineChars="200" w:firstLine="640"/>
        <w:jc w:val="left"/>
        <w:rPr>
          <w:rFonts w:ascii="仿宋_GB2312" w:eastAsia="仿宋_GB2312" w:cs="仿宋_GB2312"/>
          <w:color w:val="333333"/>
          <w:kern w:val="0"/>
          <w:sz w:val="32"/>
          <w:szCs w:val="32"/>
          <w:shd w:val="clear" w:color="auto" w:fill="FFFFFF"/>
        </w:rPr>
      </w:pPr>
      <w:r>
        <w:rPr>
          <w:rFonts w:ascii="仿宋_GB2312" w:eastAsia="仿宋_GB2312" w:cs="仿宋_GB2312"/>
          <w:b/>
          <w:bCs/>
          <w:color w:val="333333"/>
          <w:kern w:val="0"/>
          <w:sz w:val="32"/>
          <w:szCs w:val="32"/>
          <w:shd w:val="clear" w:color="auto" w:fill="FFFFFF"/>
        </w:rPr>
        <w:t>8、卫生健康支出（类）行政事业单位医疗（款）行政单位医疗（项）：</w:t>
      </w:r>
      <w:r>
        <w:rPr>
          <w:rFonts w:ascii="仿宋_GB2312" w:eastAsia="仿宋_GB2312" w:cs="仿宋_GB2312"/>
          <w:color w:val="333333"/>
          <w:kern w:val="0"/>
          <w:sz w:val="32"/>
          <w:szCs w:val="32"/>
          <w:shd w:val="clear" w:color="auto" w:fill="FFFFFF"/>
        </w:rPr>
        <w:t>反映财政部门安排的行政单位（包括实行公务员管理的事业单位）基本医疗保险缴费经费。</w:t>
      </w:r>
    </w:p>
    <w:p>
      <w:pPr>
        <w:spacing w:line="620" w:lineRule="exact"/>
        <w:ind w:firstLineChars="200" w:firstLine="640"/>
        <w:jc w:val="left"/>
        <w:rPr>
          <w:rFonts w:ascii="仿宋_GB2312" w:eastAsia="仿宋_GB2312" w:cs="仿宋_GB2312"/>
          <w:color w:val="333333"/>
          <w:kern w:val="0"/>
          <w:sz w:val="32"/>
          <w:szCs w:val="32"/>
          <w:shd w:val="clear" w:color="auto" w:fill="FFFFFF"/>
        </w:rPr>
      </w:pPr>
      <w:r>
        <w:rPr>
          <w:rFonts w:ascii="仿宋_GB2312" w:eastAsia="仿宋_GB2312" w:cs="仿宋_GB2312"/>
          <w:b/>
          <w:bCs/>
          <w:color w:val="333333"/>
          <w:kern w:val="0"/>
          <w:sz w:val="32"/>
          <w:szCs w:val="32"/>
          <w:shd w:val="clear" w:color="auto" w:fill="FFFFFF"/>
        </w:rPr>
        <w:t>9</w:t>
      </w:r>
      <w:r>
        <w:rPr>
          <w:rFonts w:ascii="仿宋_GB2312" w:eastAsia="仿宋_GB2312" w:cs="仿宋_GB2312" w:hint="eastAsia"/>
          <w:b/>
          <w:bCs/>
          <w:color w:val="333333"/>
          <w:kern w:val="0"/>
          <w:sz w:val="32"/>
          <w:szCs w:val="32"/>
          <w:shd w:val="clear" w:color="auto" w:fill="FFFFFF"/>
        </w:rPr>
        <w:t>.住房保障（类）住房改革（款）住房公积金（项）：</w:t>
      </w:r>
      <w:r>
        <w:rPr>
          <w:rFonts w:ascii="仿宋_GB2312" w:eastAsia="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600" w:lineRule="exact"/>
        <w:jc w:val="left"/>
        <w:rPr>
          <w:rFonts w:ascii="宋体" w:cs="宋体"/>
          <w:color w:val="333333"/>
          <w:kern w:val="0"/>
          <w:sz w:val="36"/>
          <w:szCs w:val="36"/>
          <w:shd w:val="clear" w:color="auto" w:fill="FFFFFF"/>
        </w:rPr>
      </w:pPr>
    </w:p>
    <w:p>
      <w:pPr>
        <w:spacing w:line="700" w:lineRule="exact"/>
        <w:jc w:val="center"/>
        <w:rPr>
          <w:rFonts w:ascii="黑体" w:eastAsia="黑体"/>
          <w:sz w:val="36"/>
          <w:szCs w:val="36"/>
        </w:rPr>
      </w:pPr>
      <w:r>
        <w:rPr>
          <w:rFonts w:ascii="黑体" w:eastAsia="黑体" w:cs="宋体" w:hint="eastAsia"/>
          <w:color w:val="333333"/>
          <w:kern w:val="0"/>
          <w:sz w:val="36"/>
          <w:szCs w:val="36"/>
        </w:rPr>
        <w:t>第四部分 2022年</w:t>
      </w:r>
      <w:r>
        <w:rPr>
          <w:rFonts w:ascii="黑体" w:eastAsia="黑体" w:hint="eastAsia"/>
          <w:sz w:val="36"/>
          <w:szCs w:val="36"/>
        </w:rPr>
        <w:t>中共朝阳市龙城区委朝阳市</w:t>
      </w:r>
    </w:p>
    <w:p>
      <w:pPr>
        <w:spacing w:line="700" w:lineRule="exact"/>
        <w:jc w:val="center"/>
        <w:rPr>
          <w:rFonts w:ascii="黑体" w:eastAsia="黑体" w:hint="eastAsia"/>
          <w:sz w:val="36"/>
          <w:szCs w:val="36"/>
        </w:rPr>
      </w:pPr>
      <w:r>
        <w:rPr>
          <w:rFonts w:ascii="黑体" w:eastAsia="黑体" w:hint="eastAsia"/>
          <w:sz w:val="36"/>
          <w:szCs w:val="36"/>
        </w:rPr>
        <w:t>龙城区人民政府信访局</w:t>
      </w:r>
      <w:r>
        <w:rPr>
          <w:rFonts w:ascii="黑体" w:eastAsia="黑体" w:cs="宋体" w:hint="eastAsia"/>
          <w:color w:val="333333"/>
          <w:kern w:val="0"/>
          <w:sz w:val="36"/>
          <w:szCs w:val="36"/>
        </w:rPr>
        <w:t>部门预算批复表</w:t>
      </w:r>
      <w:bookmarkStart w:id="0" w:name="_GoBack"/>
      <w:bookmarkEnd w:id="0"/>
    </w:p>
    <w:p>
      <w:pPr>
        <w:widowControl/>
        <w:spacing w:line="600" w:lineRule="exact"/>
        <w:jc w:val="left"/>
        <w:rPr>
          <w:rFonts w:ascii="仿宋_GB2312" w:eastAsia="仿宋_GB2312" w:cs="宋体"/>
          <w:color w:val="333333"/>
          <w:kern w:val="0"/>
          <w:sz w:val="36"/>
          <w:szCs w:val="36"/>
          <w:shd w:val="clear" w:color="auto" w:fill="FFFFFF"/>
        </w:rPr>
      </w:pPr>
    </w:p>
    <w:p>
      <w:pPr>
        <w:widowControl/>
        <w:spacing w:line="600" w:lineRule="exact"/>
        <w:jc w:val="left"/>
        <w:rPr>
          <w:rFonts w:ascii="仿宋_GB2312" w:eastAsia="仿宋_GB2312" w:cs="宋体"/>
          <w:kern w:val="0"/>
          <w:sz w:val="36"/>
          <w:szCs w:val="36"/>
        </w:rPr>
      </w:pPr>
      <w:r>
        <w:rPr>
          <w:rFonts w:ascii="仿宋_GB2312" w:eastAsia="仿宋_GB2312" w:cs="宋体" w:hint="eastAsia"/>
          <w:color w:val="333333"/>
          <w:kern w:val="0"/>
          <w:sz w:val="32"/>
          <w:szCs w:val="32"/>
          <w:shd w:val="clear" w:color="auto" w:fill="FFFFFF"/>
        </w:rPr>
        <w:t>详见附表：</w:t>
      </w:r>
      <w:r>
        <w:rPr>
          <w:rFonts w:ascii="仿宋_GB2312" w:eastAsia="仿宋_GB2312" w:cs="宋体" w:hint="eastAsia"/>
          <w:color w:val="333333"/>
          <w:kern w:val="0"/>
          <w:sz w:val="32"/>
          <w:szCs w:val="32"/>
        </w:rPr>
        <w:t>2022年龙城区</w:t>
      </w:r>
      <w:r>
        <w:rPr>
          <w:rFonts w:ascii="仿宋_GB2312" w:eastAsia="仿宋_GB2312" w:cs="宋体"/>
          <w:color w:val="333333"/>
          <w:kern w:val="0"/>
          <w:sz w:val="32"/>
          <w:szCs w:val="32"/>
        </w:rPr>
        <w:t>信访</w:t>
      </w:r>
      <w:r>
        <w:rPr>
          <w:rFonts w:ascii="仿宋_GB2312" w:eastAsia="仿宋_GB2312" w:cs="宋体" w:hint="eastAsia"/>
          <w:color w:val="333333"/>
          <w:kern w:val="0"/>
          <w:sz w:val="32"/>
          <w:szCs w:val="32"/>
        </w:rPr>
        <w:t>局部门预算批复表</w:t>
      </w:r>
    </w:p>
    <w:p>
      <w:pPr>
        <w:spacing w:line="600" w:lineRule="exact"/>
        <w:jc w:val="left"/>
        <w:rPr>
          <w:rFonts w:ascii="仿宋_GB2312" w:eastAsia="仿宋_GB2312"/>
          <w:sz w:val="36"/>
          <w:szCs w:val="36"/>
          <w:highlight w:val="yellow"/>
        </w:rPr>
      </w:pPr>
    </w:p>
    <w:sectPr>
      <w:footerReference w:type="default" r:id="rId2"/>
      <w:pgSz w:w="11906" w:h="16838"/>
      <w:pgMar w:top="1701" w:right="1418" w:bottom="1701" w:left="1701" w:header="851" w:footer="992"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楷体_GB2312">
    <w:altName w:val="楷体"/>
    <w:panose1 w:val="00000000000000000000"/>
    <w:charset w:val="86"/>
    <w:family w:val="auto"/>
    <w:pitch w:val="variable"/>
    <w:sig w:usb0="00000000" w:usb1="080E0000" w:usb2="0000000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76199" distR="76199" simplePos="0" relativeHeight="12" behindDoc="0" locked="0" layoutInCell="1" hidden="0" allowOverlap="1">
              <wp:simplePos x="0" y="0"/>
              <wp:positionH relativeFrom="margin">
                <wp:align>center</wp:align>
              </wp:positionH>
              <wp:positionV relativeFrom="paragraph">
                <wp:posOffset>0</wp:posOffset>
              </wp:positionV>
              <wp:extent cx="57950" cy="139560"/>
              <wp:effectExtent l="0" t="0" r="0" b="0"/>
              <wp:wrapNone/>
              <wp:docPr id="1" name="_x0000_s3073 3"/>
              <wp:cNvGraphicFramePr>
                <a:graphicFrameLocks noChangeAspect="0"/>
              </wp:cNvGraphicFramePr>
              <a:graphic>
                <a:graphicData uri="http://schemas.microsoft.com/office/word/2010/wordprocessingShape">
                  <wps:wsp>
                    <wps:cNvSpPr/>
                    <wps:spPr>
                      <a:xfrm rot="0">
                        <a:off x="0" y="0"/>
                        <a:ext cx="57950" cy="139560"/>
                      </a:xfrm>
                      <a:prstGeom prst="rect"/>
                      <a:noFill/>
                      <a:ln w="9525" cmpd="sng" cap="flat">
                        <a:noFill/>
                        <a:prstDash val="solid"/>
                        <a:miter/>
                      </a:ln>
                    </wps:spPr>
                    <wps:txbx id="2">
                      <w:txbxContent>
                        <w:p>
                          <w:pPr>
                            <w:pStyle w:val="16"/>
                            <w:tabs>
                              <w:tab w:val="center" w:pos="4153"/>
                              <w:tab w:val="right" w:pos="8306"/>
                            </w:tabs>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shape type="#_x0000_t202" id="_x0000_s3073 3 3" o:spid="_x0000_s3" filled="f" stroked="f" style="position:absolute;margin-left:0.0pt;margin-top:0.0pt;width:4.563pt;height:10.989pt;z-index:12;mso-position-horizontal:center;mso-position-horizontal-relative:margin;mso-position-vertical:absolute;mso-wrap-distance-left:5.9999247pt;mso-wrap-distance-right:5.9999247pt;mso-wrap-style:none;">
              <v:stroke color="#000000"/>
              <v:textbox id="848" inset="0mm,0mm,0mm,0mm" o:insetmode="custom" style="layout-flow:horizontal;v-text-anchor:top;mso-fit-shape-to-text:t;">
                <w:txbxContent>
                  <w:p>
                    <w:pPr>
                      <w:pStyle w:val="16"/>
                      <w:tabs>
                        <w:tab w:val="center" w:pos="4153"/>
                        <w:tab w:val="right" w:pos="8306"/>
                      </w:tabs>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Arial" w:hAnsi="Calibri"/>
      <w:kern w:val="2"/>
      <w:sz w:val="21"/>
      <w:szCs w:val="22"/>
      <w:lang w:val="en-US" w:eastAsia="zh-CN" w:bidi="ar-SA"/>
    </w:rPr>
  </w:style>
  <w:style w:type="paragraph" w:styleId="1">
    <w:name w:val="heading 1"/>
    <w:qFormat/>
    <w:basedOn w:val="0"/>
    <w:next w:val="0"/>
    <w:pPr>
      <w:widowControl/>
      <w:spacing w:before="100" w:beforeAutospacing="1" w:after="100" w:afterAutospacing="1"/>
      <w:jc w:val="left"/>
      <w:outlineLvl w:val="0"/>
    </w:pPr>
    <w:rPr>
      <w:rFonts w:ascii="宋体" w:cs="宋体"/>
      <w:b/>
      <w:bCs/>
      <w:kern w:val="36"/>
      <w:sz w:val="48"/>
      <w:szCs w:val="48"/>
    </w:rPr>
  </w:style>
  <w:style w:type="paragraph" w:styleId="2">
    <w:name w:val="heading 2"/>
    <w:qFormat/>
    <w:basedOn w:val="0"/>
    <w:next w:val="0"/>
    <w:pPr>
      <w:widowControl/>
      <w:spacing w:before="100" w:beforeAutospacing="1" w:after="100" w:afterAutospacing="1"/>
      <w:jc w:val="left"/>
      <w:outlineLvl w:val="1"/>
    </w:pPr>
    <w:rPr>
      <w:rFonts w:ascii="宋体" w:cs="宋体"/>
      <w:b/>
      <w:bCs/>
      <w:kern w:val="0"/>
      <w:sz w:val="36"/>
      <w:szCs w:val="36"/>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Balloon Text"/>
    <w:qFormat/>
    <w:basedOn w:val="0"/>
    <w:rPr>
      <w:sz w:val="18"/>
      <w:szCs w:val="18"/>
    </w:rPr>
  </w:style>
  <w:style w:type="paragraph" w:styleId="16">
    <w:name w:val="footer"/>
    <w:qFormat/>
    <w:basedOn w:val="0"/>
    <w:pPr>
      <w:tabs>
        <w:tab w:val="center" w:pos="4153"/>
        <w:tab w:val="right" w:pos="8306"/>
      </w:tabs>
      <w:snapToGrid w:val="0"/>
      <w:jc w:val="left"/>
    </w:pPr>
    <w:rPr>
      <w:sz w:val="18"/>
      <w:szCs w:val="18"/>
    </w:rPr>
  </w:style>
  <w:style w:type="paragraph" w:styleId="17">
    <w:name w:val="header"/>
    <w:qFormat/>
    <w:basedOn w:val="0"/>
    <w:pPr>
      <w:pBdr>
        <w:bottom w:val="single" w:sz="6" w:space="1" w:color="auto"/>
      </w:pBdr>
      <w:tabs>
        <w:tab w:val="center" w:pos="4153"/>
        <w:tab w:val="right" w:pos="8306"/>
      </w:tabs>
      <w:snapToGrid w:val="0"/>
      <w:jc w:val="center"/>
    </w:pPr>
    <w:rPr>
      <w:sz w:val="18"/>
      <w:szCs w:val="18"/>
    </w:rPr>
  </w:style>
  <w:style w:type="paragraph" w:styleId="18">
    <w:name w:val="Normal (Web)"/>
    <w:qFormat/>
    <w:basedOn w:val="0"/>
    <w:pPr>
      <w:widowControl/>
      <w:spacing w:before="100" w:beforeAutospacing="1" w:after="100" w:afterAutospacing="1"/>
      <w:jc w:val="left"/>
    </w:pPr>
    <w:rPr>
      <w:rFonts w:ascii="宋体" w:cs="宋体"/>
      <w:kern w:val="0"/>
      <w:sz w:val="24"/>
      <w:szCs w:val="24"/>
    </w:rPr>
  </w:style>
  <w:style w:type="character" w:styleId="19">
    <w:name w:val="Strong"/>
    <w:qFormat/>
    <w:basedOn w:val="10"/>
    <w:rPr>
      <w:b/>
      <w:bCs/>
    </w:rPr>
  </w:style>
  <w:style w:type="character" w:styleId="20">
    <w:name w:val="Hyperlink"/>
    <w:qFormat/>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138</TotalTime>
  <Application>Yozo_Office27021597764231180</Application>
  <Pages>9</Pages>
  <Words>0</Words>
  <Characters>1819</Characters>
  <Lines>0</Lines>
  <Paragraphs>136</Paragraphs>
  <CharactersWithSpaces>2426</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霍晓军</cp:lastModifiedBy>
  <cp:revision>43</cp:revision>
  <cp:lastPrinted>2022-01-06T02:11:00Z</cp:lastPrinted>
  <dcterms:created xsi:type="dcterms:W3CDTF">2022-01-04T06:44:00Z</dcterms:created>
  <dcterms:modified xsi:type="dcterms:W3CDTF">2022-01-11T10:29:27Z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2052-11.1.0.11194</vt:lpwstr>
  </property>
  <property fmtid="{D5CDD505-2E9C-101B-9397-08002B2CF9AE}" pid="3" name="ICV">
    <vt:lpwstr>0A46C5CB5A25427DA26057A03F87D632</vt:lpwstr>
  </property>
</Properties>
</file>