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15" w:rsidRDefault="00537C15">
      <w:pPr>
        <w:spacing w:line="600" w:lineRule="exact"/>
        <w:jc w:val="left"/>
        <w:rPr>
          <w:b/>
          <w:sz w:val="44"/>
          <w:szCs w:val="44"/>
          <w:u w:val="single"/>
        </w:rPr>
      </w:pPr>
    </w:p>
    <w:p w:rsidR="00537C15" w:rsidRDefault="00537C15">
      <w:pPr>
        <w:spacing w:line="600" w:lineRule="exact"/>
        <w:jc w:val="left"/>
        <w:rPr>
          <w:b/>
          <w:sz w:val="44"/>
          <w:szCs w:val="44"/>
          <w:u w:val="single"/>
        </w:rPr>
      </w:pPr>
    </w:p>
    <w:p w:rsidR="00537C15" w:rsidRDefault="00537C15">
      <w:pPr>
        <w:spacing w:line="600" w:lineRule="exact"/>
        <w:jc w:val="left"/>
        <w:rPr>
          <w:b/>
          <w:sz w:val="44"/>
          <w:szCs w:val="44"/>
          <w:u w:val="single"/>
        </w:rPr>
      </w:pPr>
    </w:p>
    <w:p w:rsidR="00537C15" w:rsidRDefault="00537C15">
      <w:pPr>
        <w:spacing w:line="600" w:lineRule="exact"/>
        <w:jc w:val="left"/>
        <w:rPr>
          <w:b/>
          <w:sz w:val="44"/>
          <w:szCs w:val="44"/>
          <w:u w:val="single"/>
        </w:rPr>
      </w:pPr>
    </w:p>
    <w:p w:rsidR="00537C15" w:rsidRDefault="00537C15">
      <w:pPr>
        <w:spacing w:line="600" w:lineRule="exact"/>
        <w:jc w:val="left"/>
        <w:rPr>
          <w:rFonts w:asciiTheme="majorEastAsia" w:eastAsiaTheme="majorEastAsia" w:hAnsiTheme="majorEastAsia"/>
          <w:b/>
          <w:sz w:val="44"/>
          <w:szCs w:val="44"/>
        </w:rPr>
      </w:pPr>
    </w:p>
    <w:p w:rsidR="00537C15" w:rsidRDefault="00537C15">
      <w:pPr>
        <w:spacing w:line="600" w:lineRule="exact"/>
        <w:jc w:val="left"/>
        <w:rPr>
          <w:rFonts w:asciiTheme="majorEastAsia" w:eastAsiaTheme="majorEastAsia" w:hAnsiTheme="majorEastAsia"/>
          <w:b/>
          <w:sz w:val="44"/>
          <w:szCs w:val="44"/>
        </w:rPr>
      </w:pPr>
    </w:p>
    <w:p w:rsidR="00537C15" w:rsidRDefault="00537C15">
      <w:pPr>
        <w:spacing w:line="600" w:lineRule="exact"/>
        <w:jc w:val="left"/>
        <w:rPr>
          <w:rFonts w:asciiTheme="majorEastAsia" w:eastAsiaTheme="majorEastAsia" w:hAnsiTheme="majorEastAsia"/>
          <w:b/>
          <w:sz w:val="44"/>
          <w:szCs w:val="44"/>
        </w:rPr>
      </w:pPr>
    </w:p>
    <w:p w:rsidR="00537C15" w:rsidRDefault="00537C15">
      <w:pPr>
        <w:spacing w:line="600" w:lineRule="exact"/>
        <w:jc w:val="left"/>
        <w:rPr>
          <w:rFonts w:asciiTheme="majorEastAsia" w:eastAsiaTheme="majorEastAsia" w:hAnsiTheme="majorEastAsia"/>
          <w:b/>
          <w:sz w:val="44"/>
          <w:szCs w:val="44"/>
        </w:rPr>
      </w:pPr>
    </w:p>
    <w:p w:rsidR="00537C15" w:rsidRDefault="00F741EB">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龙城区档案局部门预算</w:t>
      </w:r>
    </w:p>
    <w:p w:rsidR="00537C15" w:rsidRDefault="00F741EB">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（2022年）</w:t>
      </w:r>
    </w:p>
    <w:p w:rsidR="00537C15" w:rsidRDefault="00537C15">
      <w:pPr>
        <w:spacing w:line="600" w:lineRule="exact"/>
        <w:jc w:val="left"/>
        <w:rPr>
          <w:rFonts w:ascii="Times New Roman" w:eastAsia="宋体" w:hAnsi="Times New Roman"/>
          <w:b/>
          <w:sz w:val="52"/>
          <w:szCs w:val="52"/>
          <w:u w:val="single"/>
        </w:rPr>
      </w:pPr>
    </w:p>
    <w:p w:rsidR="00537C15" w:rsidRDefault="00537C15">
      <w:pPr>
        <w:spacing w:line="600" w:lineRule="exact"/>
        <w:jc w:val="left"/>
        <w:rPr>
          <w:b/>
          <w:sz w:val="44"/>
          <w:szCs w:val="44"/>
          <w:u w:val="single"/>
        </w:rPr>
      </w:pPr>
    </w:p>
    <w:p w:rsidR="00537C15" w:rsidRDefault="00537C15">
      <w:pPr>
        <w:spacing w:line="600" w:lineRule="exact"/>
        <w:jc w:val="left"/>
        <w:rPr>
          <w:b/>
          <w:sz w:val="44"/>
          <w:szCs w:val="44"/>
          <w:u w:val="single"/>
        </w:rPr>
      </w:pPr>
    </w:p>
    <w:p w:rsidR="00537C15" w:rsidRDefault="00537C15">
      <w:pPr>
        <w:spacing w:line="600" w:lineRule="exact"/>
        <w:jc w:val="left"/>
        <w:rPr>
          <w:b/>
          <w:sz w:val="44"/>
          <w:szCs w:val="44"/>
          <w:u w:val="single"/>
        </w:rPr>
      </w:pPr>
    </w:p>
    <w:p w:rsidR="00537C15" w:rsidRDefault="00537C15">
      <w:pPr>
        <w:spacing w:line="600" w:lineRule="exact"/>
        <w:jc w:val="left"/>
        <w:rPr>
          <w:b/>
          <w:sz w:val="44"/>
          <w:szCs w:val="44"/>
          <w:u w:val="single"/>
        </w:rPr>
      </w:pPr>
    </w:p>
    <w:p w:rsidR="00537C15" w:rsidRDefault="00537C15">
      <w:pPr>
        <w:spacing w:line="600" w:lineRule="exact"/>
        <w:jc w:val="left"/>
        <w:rPr>
          <w:b/>
          <w:sz w:val="44"/>
          <w:szCs w:val="44"/>
          <w:u w:val="single"/>
        </w:rPr>
      </w:pPr>
    </w:p>
    <w:p w:rsidR="00537C15" w:rsidRDefault="00537C15">
      <w:pPr>
        <w:spacing w:line="600" w:lineRule="exact"/>
        <w:jc w:val="left"/>
        <w:rPr>
          <w:b/>
          <w:sz w:val="44"/>
          <w:szCs w:val="44"/>
          <w:u w:val="single"/>
        </w:rPr>
      </w:pPr>
    </w:p>
    <w:p w:rsidR="00537C15" w:rsidRDefault="00537C15">
      <w:pPr>
        <w:spacing w:line="600" w:lineRule="exact"/>
        <w:jc w:val="left"/>
        <w:rPr>
          <w:b/>
          <w:sz w:val="44"/>
          <w:szCs w:val="44"/>
          <w:u w:val="single"/>
        </w:rPr>
      </w:pPr>
    </w:p>
    <w:p w:rsidR="00537C15" w:rsidRDefault="00537C15">
      <w:pPr>
        <w:spacing w:line="600" w:lineRule="exact"/>
        <w:jc w:val="left"/>
        <w:rPr>
          <w:b/>
          <w:sz w:val="44"/>
          <w:szCs w:val="44"/>
          <w:u w:val="single"/>
        </w:rPr>
      </w:pPr>
    </w:p>
    <w:p w:rsidR="00537C15" w:rsidRDefault="00537C15">
      <w:pPr>
        <w:spacing w:line="600" w:lineRule="exact"/>
        <w:jc w:val="left"/>
        <w:rPr>
          <w:b/>
          <w:sz w:val="44"/>
          <w:szCs w:val="44"/>
          <w:u w:val="single"/>
        </w:rPr>
      </w:pPr>
    </w:p>
    <w:p w:rsidR="00537C15" w:rsidRDefault="00537C15">
      <w:pPr>
        <w:spacing w:line="600" w:lineRule="exact"/>
        <w:jc w:val="left"/>
        <w:rPr>
          <w:b/>
          <w:sz w:val="44"/>
          <w:szCs w:val="44"/>
          <w:u w:val="single"/>
        </w:rPr>
      </w:pPr>
    </w:p>
    <w:p w:rsidR="00537C15" w:rsidRDefault="00537C15">
      <w:pPr>
        <w:spacing w:line="600" w:lineRule="exact"/>
        <w:jc w:val="left"/>
        <w:rPr>
          <w:b/>
          <w:sz w:val="44"/>
          <w:szCs w:val="44"/>
          <w:u w:val="single"/>
        </w:rPr>
      </w:pPr>
    </w:p>
    <w:p w:rsidR="00537C15" w:rsidRDefault="00537C15">
      <w:pPr>
        <w:widowControl/>
        <w:spacing w:line="600" w:lineRule="exact"/>
        <w:outlineLvl w:val="0"/>
        <w:rPr>
          <w:rFonts w:asciiTheme="majorEastAsia" w:eastAsiaTheme="majorEastAsia" w:hAnsiTheme="majorEastAsia" w:cs="宋体"/>
          <w:b/>
          <w:bCs/>
          <w:kern w:val="36"/>
          <w:sz w:val="44"/>
          <w:szCs w:val="44"/>
        </w:rPr>
        <w:sectPr w:rsidR="00537C15">
          <w:pgSz w:w="11906" w:h="16838"/>
          <w:pgMar w:top="1701" w:right="1418" w:bottom="1701" w:left="1701" w:header="851" w:footer="992" w:gutter="0"/>
          <w:cols w:space="425"/>
          <w:docGrid w:type="lines" w:linePitch="312"/>
        </w:sectPr>
      </w:pPr>
    </w:p>
    <w:p w:rsidR="00537C15" w:rsidRDefault="00F741EB">
      <w:pPr>
        <w:widowControl/>
        <w:spacing w:line="600" w:lineRule="exact"/>
        <w:jc w:val="center"/>
        <w:outlineLvl w:val="0"/>
        <w:rPr>
          <w:rFonts w:asciiTheme="majorEastAsia" w:eastAsiaTheme="majorEastAsia" w:hAnsiTheme="majorEastAsia" w:cs="宋体"/>
          <w:b/>
          <w:bCs/>
          <w:kern w:val="36"/>
          <w:sz w:val="44"/>
          <w:szCs w:val="44"/>
        </w:rPr>
      </w:pPr>
      <w:r>
        <w:rPr>
          <w:rFonts w:asciiTheme="majorEastAsia" w:eastAsiaTheme="majorEastAsia" w:hAnsiTheme="majorEastAsia" w:cs="宋体" w:hint="eastAsia"/>
          <w:b/>
          <w:bCs/>
          <w:kern w:val="36"/>
          <w:sz w:val="44"/>
          <w:szCs w:val="44"/>
        </w:rPr>
        <w:lastRenderedPageBreak/>
        <w:t>2022年龙城区档案局部门预算</w:t>
      </w:r>
    </w:p>
    <w:p w:rsidR="00537C15" w:rsidRDefault="00537C15">
      <w:pPr>
        <w:widowControl/>
        <w:spacing w:line="300" w:lineRule="exact"/>
        <w:jc w:val="center"/>
        <w:outlineLvl w:val="0"/>
        <w:rPr>
          <w:rFonts w:asciiTheme="majorEastAsia" w:eastAsiaTheme="majorEastAsia" w:hAnsiTheme="majorEastAsia" w:cs="宋体"/>
          <w:b/>
          <w:bCs/>
          <w:kern w:val="36"/>
          <w:sz w:val="44"/>
          <w:szCs w:val="44"/>
        </w:rPr>
      </w:pPr>
    </w:p>
    <w:p w:rsidR="00537C15" w:rsidRDefault="00F741EB">
      <w:pPr>
        <w:widowControl/>
        <w:spacing w:line="600" w:lineRule="exact"/>
        <w:jc w:val="center"/>
        <w:rPr>
          <w:rFonts w:asciiTheme="majorEastAsia" w:eastAsiaTheme="majorEastAsia" w:hAnsiTheme="majorEastAsia" w:cs="宋体"/>
          <w:b/>
          <w:bCs/>
          <w:kern w:val="0"/>
          <w:sz w:val="36"/>
          <w:szCs w:val="36"/>
        </w:rPr>
      </w:pPr>
      <w:r>
        <w:rPr>
          <w:rFonts w:asciiTheme="majorEastAsia" w:eastAsiaTheme="majorEastAsia" w:hAnsiTheme="majorEastAsia" w:cs="宋体" w:hint="eastAsia"/>
          <w:b/>
          <w:bCs/>
          <w:kern w:val="0"/>
          <w:sz w:val="36"/>
          <w:szCs w:val="36"/>
        </w:rPr>
        <w:t>目    录</w:t>
      </w:r>
    </w:p>
    <w:p w:rsidR="00537C15" w:rsidRDefault="00537C15">
      <w:pPr>
        <w:widowControl/>
        <w:spacing w:line="300" w:lineRule="exact"/>
        <w:jc w:val="center"/>
        <w:rPr>
          <w:rFonts w:asciiTheme="majorEastAsia" w:eastAsiaTheme="majorEastAsia" w:hAnsiTheme="majorEastAsia" w:cs="宋体"/>
          <w:b/>
          <w:bCs/>
          <w:kern w:val="0"/>
          <w:sz w:val="36"/>
          <w:szCs w:val="36"/>
        </w:rPr>
      </w:pPr>
    </w:p>
    <w:p w:rsidR="00537C15" w:rsidRDefault="00F741EB">
      <w:pPr>
        <w:widowControl/>
        <w:spacing w:line="500" w:lineRule="exact"/>
        <w:jc w:val="left"/>
        <w:rPr>
          <w:rFonts w:ascii="宋体" w:eastAsia="宋体" w:hAnsi="宋体" w:cs="宋体"/>
          <w:bCs/>
          <w:kern w:val="0"/>
          <w:sz w:val="32"/>
          <w:szCs w:val="32"/>
          <w:shd w:val="clear" w:color="auto" w:fill="FFFFFF"/>
        </w:rPr>
      </w:pPr>
      <w:r>
        <w:rPr>
          <w:rFonts w:ascii="黑体" w:eastAsia="黑体" w:hAnsi="黑体" w:cs="宋体" w:hint="eastAsia"/>
          <w:bCs/>
          <w:kern w:val="0"/>
          <w:sz w:val="32"/>
          <w:szCs w:val="32"/>
          <w:shd w:val="clear" w:color="auto" w:fill="FFFFFF"/>
        </w:rPr>
        <w:t>第一部分   龙城区档案局概况</w:t>
      </w:r>
    </w:p>
    <w:p w:rsidR="00537C15" w:rsidRDefault="00F741EB">
      <w:pPr>
        <w:widowControl/>
        <w:spacing w:line="500" w:lineRule="exact"/>
        <w:ind w:firstLineChars="200" w:firstLine="640"/>
        <w:jc w:val="left"/>
        <w:rPr>
          <w:rFonts w:ascii="宋体" w:eastAsia="宋体" w:hAnsi="宋体" w:cs="宋体"/>
          <w:bCs/>
          <w:kern w:val="0"/>
          <w:sz w:val="32"/>
          <w:szCs w:val="32"/>
          <w:shd w:val="clear" w:color="auto" w:fill="FFFFFF"/>
        </w:rPr>
      </w:pPr>
      <w:r>
        <w:rPr>
          <w:rFonts w:ascii="宋体" w:eastAsia="宋体" w:hAnsi="宋体" w:cs="宋体" w:hint="eastAsia"/>
          <w:bCs/>
          <w:kern w:val="0"/>
          <w:sz w:val="32"/>
          <w:szCs w:val="32"/>
          <w:shd w:val="clear" w:color="auto" w:fill="FFFFFF"/>
        </w:rPr>
        <w:t>一、主要职责</w:t>
      </w:r>
    </w:p>
    <w:p w:rsidR="00537C15" w:rsidRDefault="00F741EB">
      <w:pPr>
        <w:widowControl/>
        <w:spacing w:line="500" w:lineRule="exact"/>
        <w:ind w:firstLineChars="200" w:firstLine="640"/>
        <w:jc w:val="left"/>
        <w:rPr>
          <w:rFonts w:ascii="宋体" w:eastAsia="宋体" w:hAnsi="宋体" w:cs="宋体"/>
          <w:bCs/>
          <w:kern w:val="0"/>
          <w:sz w:val="32"/>
          <w:szCs w:val="32"/>
          <w:shd w:val="clear" w:color="auto" w:fill="FFFFFF"/>
        </w:rPr>
      </w:pPr>
      <w:r>
        <w:rPr>
          <w:rFonts w:ascii="宋体" w:eastAsia="宋体" w:hAnsi="宋体" w:cs="宋体" w:hint="eastAsia"/>
          <w:bCs/>
          <w:kern w:val="0"/>
          <w:sz w:val="32"/>
          <w:szCs w:val="32"/>
          <w:shd w:val="clear" w:color="auto" w:fill="FFFFFF"/>
        </w:rPr>
        <w:t>二、部门预算单位构成</w:t>
      </w:r>
    </w:p>
    <w:p w:rsidR="00537C15" w:rsidRDefault="00F741EB">
      <w:pPr>
        <w:widowControl/>
        <w:spacing w:line="500" w:lineRule="exact"/>
        <w:jc w:val="left"/>
        <w:rPr>
          <w:rFonts w:ascii="黑体" w:eastAsia="黑体" w:hAnsi="黑体" w:cs="宋体"/>
          <w:bCs/>
          <w:kern w:val="0"/>
          <w:sz w:val="32"/>
          <w:szCs w:val="32"/>
        </w:rPr>
      </w:pPr>
      <w:r>
        <w:rPr>
          <w:rFonts w:ascii="黑体" w:eastAsia="黑体" w:hAnsi="黑体" w:cs="宋体" w:hint="eastAsia"/>
          <w:bCs/>
          <w:kern w:val="0"/>
          <w:sz w:val="32"/>
          <w:szCs w:val="32"/>
          <w:shd w:val="clear" w:color="auto" w:fill="FFFFFF"/>
        </w:rPr>
        <w:t>第二部分    龙城区档案局2022年部门预算情况说明</w:t>
      </w:r>
    </w:p>
    <w:p w:rsidR="00537C15" w:rsidRDefault="00F741EB">
      <w:pPr>
        <w:widowControl/>
        <w:spacing w:line="500" w:lineRule="exact"/>
        <w:jc w:val="left"/>
        <w:rPr>
          <w:rFonts w:ascii="黑体" w:eastAsia="黑体" w:hAnsi="黑体" w:cs="宋体"/>
          <w:bCs/>
          <w:kern w:val="0"/>
          <w:sz w:val="32"/>
          <w:szCs w:val="32"/>
          <w:shd w:val="clear" w:color="auto" w:fill="FFFFFF"/>
        </w:rPr>
      </w:pPr>
      <w:r>
        <w:rPr>
          <w:rFonts w:ascii="黑体" w:eastAsia="黑体" w:hAnsi="黑体" w:cs="宋体" w:hint="eastAsia"/>
          <w:bCs/>
          <w:kern w:val="0"/>
          <w:sz w:val="32"/>
          <w:szCs w:val="32"/>
          <w:shd w:val="clear" w:color="auto" w:fill="FFFFFF"/>
        </w:rPr>
        <w:t>第三部分    名词解释</w:t>
      </w:r>
    </w:p>
    <w:p w:rsidR="00537C15" w:rsidRDefault="00F741EB">
      <w:pPr>
        <w:widowControl/>
        <w:spacing w:line="500" w:lineRule="exact"/>
        <w:jc w:val="left"/>
        <w:rPr>
          <w:rFonts w:ascii="黑体" w:eastAsia="黑体" w:hAnsi="黑体" w:cs="宋体"/>
          <w:bCs/>
          <w:kern w:val="0"/>
          <w:sz w:val="32"/>
          <w:szCs w:val="32"/>
        </w:rPr>
      </w:pPr>
      <w:r>
        <w:rPr>
          <w:rFonts w:ascii="黑体" w:eastAsia="黑体" w:hAnsi="黑体" w:cs="宋体" w:hint="eastAsia"/>
          <w:bCs/>
          <w:kern w:val="0"/>
          <w:sz w:val="32"/>
          <w:szCs w:val="32"/>
          <w:shd w:val="clear" w:color="auto" w:fill="FFFFFF"/>
        </w:rPr>
        <w:t xml:space="preserve">第四部分    </w:t>
      </w:r>
      <w:r>
        <w:rPr>
          <w:rFonts w:ascii="黑体" w:eastAsia="黑体" w:hAnsi="黑体" w:cs="宋体" w:hint="eastAsia"/>
          <w:bCs/>
          <w:kern w:val="0"/>
          <w:sz w:val="32"/>
          <w:szCs w:val="32"/>
        </w:rPr>
        <w:t>2022年龙城区档案局部门预算批复表</w:t>
      </w:r>
    </w:p>
    <w:p w:rsidR="00537C15" w:rsidRDefault="00F741EB">
      <w:pPr>
        <w:widowControl/>
        <w:spacing w:line="50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一、收支预算总表</w:t>
      </w:r>
    </w:p>
    <w:p w:rsidR="00537C15" w:rsidRDefault="00F741EB">
      <w:pPr>
        <w:widowControl/>
        <w:spacing w:line="50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二、收入预算总表</w:t>
      </w:r>
    </w:p>
    <w:p w:rsidR="00537C15" w:rsidRDefault="00F741EB">
      <w:pPr>
        <w:widowControl/>
        <w:spacing w:line="50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三、支出预算总表</w:t>
      </w:r>
    </w:p>
    <w:p w:rsidR="00537C15" w:rsidRDefault="00F741EB">
      <w:pPr>
        <w:widowControl/>
        <w:spacing w:line="50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四、财政拨款收支预算总表</w:t>
      </w:r>
    </w:p>
    <w:p w:rsidR="00537C15" w:rsidRDefault="00F741EB">
      <w:pPr>
        <w:widowControl/>
        <w:spacing w:line="50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五、一般公共预算支出表</w:t>
      </w:r>
    </w:p>
    <w:p w:rsidR="00537C15" w:rsidRDefault="00F741EB">
      <w:pPr>
        <w:widowControl/>
        <w:spacing w:line="50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六、一般公共预算基本支出表</w:t>
      </w:r>
    </w:p>
    <w:p w:rsidR="00537C15" w:rsidRDefault="00F741EB">
      <w:pPr>
        <w:widowControl/>
        <w:spacing w:line="50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七、一般公共预算“三公”经费支出表</w:t>
      </w:r>
    </w:p>
    <w:p w:rsidR="00537C15" w:rsidRDefault="00F741EB">
      <w:pPr>
        <w:widowControl/>
        <w:spacing w:line="50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八、政府性基金预算支出表</w:t>
      </w:r>
    </w:p>
    <w:p w:rsidR="00537C15" w:rsidRDefault="00F741EB">
      <w:pPr>
        <w:widowControl/>
        <w:spacing w:line="50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九、项目支出预算表</w:t>
      </w:r>
    </w:p>
    <w:p w:rsidR="00537C15" w:rsidRDefault="00F741EB">
      <w:pPr>
        <w:widowControl/>
        <w:spacing w:line="50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十、支出功能分类预算表</w:t>
      </w:r>
    </w:p>
    <w:p w:rsidR="00537C15" w:rsidRDefault="00F741EB">
      <w:pPr>
        <w:widowControl/>
        <w:spacing w:line="50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十一、支出经济分类预算表（政府预算）</w:t>
      </w:r>
    </w:p>
    <w:p w:rsidR="00537C15" w:rsidRDefault="00F741EB">
      <w:pPr>
        <w:widowControl/>
        <w:spacing w:line="50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十二、支出经济分类预算表（部门预算）</w:t>
      </w:r>
    </w:p>
    <w:p w:rsidR="00537C15" w:rsidRDefault="00F741EB">
      <w:pPr>
        <w:widowControl/>
        <w:spacing w:line="50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十三、债务支出预算表</w:t>
      </w:r>
    </w:p>
    <w:p w:rsidR="00537C15" w:rsidRDefault="00F741EB">
      <w:pPr>
        <w:widowControl/>
        <w:spacing w:line="50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十四、政府采购支出预算表</w:t>
      </w:r>
    </w:p>
    <w:p w:rsidR="00537C15" w:rsidRDefault="00F741EB">
      <w:pPr>
        <w:widowControl/>
        <w:spacing w:line="50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十五、政府购买服务支出预算表</w:t>
      </w:r>
    </w:p>
    <w:p w:rsidR="00537C15" w:rsidRDefault="00F741EB">
      <w:pPr>
        <w:widowControl/>
        <w:spacing w:line="50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十六、部门（单位）整体绩效目标表</w:t>
      </w:r>
    </w:p>
    <w:p w:rsidR="00537C15" w:rsidRDefault="00F741EB">
      <w:pPr>
        <w:widowControl/>
        <w:spacing w:line="50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十七、部门预算项目（政策）绩效目标表</w:t>
      </w:r>
    </w:p>
    <w:p w:rsidR="00537C15" w:rsidRDefault="00F741EB">
      <w:pPr>
        <w:widowControl/>
        <w:spacing w:line="600" w:lineRule="exact"/>
        <w:jc w:val="center"/>
        <w:rPr>
          <w:rFonts w:ascii="黑体" w:eastAsia="黑体" w:hAnsi="黑体" w:cs="黑体"/>
          <w:kern w:val="0"/>
          <w:sz w:val="36"/>
          <w:szCs w:val="36"/>
        </w:rPr>
      </w:pPr>
      <w:r>
        <w:rPr>
          <w:rFonts w:ascii="黑体" w:eastAsia="黑体" w:hAnsi="黑体" w:cs="黑体" w:hint="eastAsia"/>
          <w:kern w:val="0"/>
          <w:sz w:val="36"/>
          <w:szCs w:val="36"/>
        </w:rPr>
        <w:lastRenderedPageBreak/>
        <w:t>第一部分 龙城区档案局概况</w:t>
      </w:r>
    </w:p>
    <w:p w:rsidR="00537C15" w:rsidRDefault="00537C15">
      <w:pPr>
        <w:widowControl/>
        <w:spacing w:line="600" w:lineRule="exact"/>
        <w:jc w:val="center"/>
        <w:rPr>
          <w:rFonts w:ascii="宋体" w:eastAsia="宋体" w:hAnsi="宋体" w:cs="宋体"/>
          <w:kern w:val="0"/>
          <w:sz w:val="32"/>
          <w:szCs w:val="32"/>
        </w:rPr>
      </w:pPr>
    </w:p>
    <w:p w:rsidR="00537C15" w:rsidRDefault="00F741EB">
      <w:pPr>
        <w:widowControl/>
        <w:spacing w:line="560" w:lineRule="exact"/>
        <w:jc w:val="left"/>
        <w:rPr>
          <w:rFonts w:ascii="楷体_GB2312" w:eastAsia="楷体_GB2312" w:hAnsi="楷体_GB2312" w:cs="楷体_GB2312"/>
          <w:b/>
          <w:kern w:val="0"/>
          <w:sz w:val="32"/>
          <w:szCs w:val="32"/>
          <w:shd w:val="clear" w:color="auto" w:fill="FFFFFF"/>
        </w:rPr>
      </w:pPr>
      <w:r>
        <w:rPr>
          <w:rFonts w:ascii="楷体_GB2312" w:eastAsia="楷体_GB2312" w:hAnsi="楷体_GB2312" w:cs="楷体_GB2312" w:hint="eastAsia"/>
          <w:b/>
          <w:kern w:val="0"/>
          <w:sz w:val="32"/>
          <w:szCs w:val="32"/>
          <w:shd w:val="clear" w:color="auto" w:fill="FFFFFF"/>
        </w:rPr>
        <w:t xml:space="preserve">    一、主要职责</w:t>
      </w:r>
    </w:p>
    <w:p w:rsidR="00537C15" w:rsidRDefault="00F741EB">
      <w:pPr>
        <w:widowControl/>
        <w:spacing w:line="560" w:lineRule="exact"/>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 xml:space="preserve">    贯彻执行党和国家有关档案工作的方针、政策、和法律、法规；拟订档案管理地方性法规、档案事业发展规划和档案工作规章制度；组织、指导、检查、监督、协调区直机关、群众团体及乡（镇）街和企事业单位的档案业务工作；对全区档案工作实行统筹规划，宏观管理；依法查处档案违法行为；对全区档案事业实行管理，集中统一管理我区各历史时期的档案资料，保守党和国家机密，维护档案资料完整，保障档案资料安全。负责接收区直机关、团体、企事业单位的档案，并进行系统化整理；调查、征集与我区有关的档案资料。负责全区档案信息的开发、开放、管理和提供服务工作。</w:t>
      </w:r>
    </w:p>
    <w:p w:rsidR="00537C15" w:rsidRDefault="00F741EB">
      <w:pPr>
        <w:widowControl/>
        <w:spacing w:line="560" w:lineRule="exact"/>
        <w:jc w:val="left"/>
        <w:rPr>
          <w:rFonts w:ascii="楷体_GB2312" w:eastAsia="楷体_GB2312" w:hAnsi="楷体_GB2312" w:cs="楷体_GB2312"/>
          <w:b/>
          <w:kern w:val="0"/>
          <w:sz w:val="32"/>
          <w:szCs w:val="32"/>
          <w:shd w:val="clear" w:color="auto" w:fill="FFFFFF"/>
        </w:rPr>
      </w:pPr>
      <w:r>
        <w:rPr>
          <w:rFonts w:ascii="楷体_GB2312" w:eastAsia="楷体_GB2312" w:hAnsi="楷体_GB2312" w:cs="楷体_GB2312" w:hint="eastAsia"/>
          <w:b/>
          <w:kern w:val="0"/>
          <w:sz w:val="32"/>
          <w:szCs w:val="32"/>
          <w:shd w:val="clear" w:color="auto" w:fill="FFFFFF"/>
        </w:rPr>
        <w:t xml:space="preserve">    二、部门预算单位构成</w:t>
      </w:r>
    </w:p>
    <w:p w:rsidR="00537C15" w:rsidRDefault="00F741EB">
      <w:pPr>
        <w:widowControl/>
        <w:spacing w:line="560" w:lineRule="exact"/>
        <w:jc w:val="left"/>
        <w:rPr>
          <w:rFonts w:ascii="仿宋_GB2312" w:eastAsia="仿宋_GB2312" w:hAnsi="宋体" w:cs="宋体"/>
          <w:bCs/>
          <w:kern w:val="0"/>
          <w:sz w:val="32"/>
          <w:szCs w:val="32"/>
          <w:shd w:val="clear" w:color="auto" w:fill="FFFFFF"/>
        </w:rPr>
      </w:pPr>
      <w:r>
        <w:rPr>
          <w:rFonts w:ascii="仿宋_GB2312" w:eastAsia="仿宋_GB2312" w:hAnsi="宋体" w:cs="宋体" w:hint="eastAsia"/>
          <w:bCs/>
          <w:kern w:val="0"/>
          <w:sz w:val="32"/>
          <w:szCs w:val="32"/>
          <w:shd w:val="clear" w:color="auto" w:fill="FFFFFF"/>
        </w:rPr>
        <w:t xml:space="preserve">    纳入2022年部门预算编制范围的预算单位包括：</w:t>
      </w:r>
    </w:p>
    <w:p w:rsidR="00537C15" w:rsidRDefault="00F741EB">
      <w:pPr>
        <w:widowControl/>
        <w:spacing w:line="560" w:lineRule="exact"/>
        <w:ind w:firstLineChars="200" w:firstLine="640"/>
        <w:jc w:val="left"/>
        <w:rPr>
          <w:rFonts w:ascii="仿宋_GB2312" w:eastAsia="仿宋_GB2312" w:hAnsi="宋体" w:cs="宋体"/>
          <w:bCs/>
          <w:kern w:val="0"/>
          <w:sz w:val="32"/>
          <w:szCs w:val="32"/>
          <w:shd w:val="clear" w:color="auto" w:fill="FFFFFF"/>
        </w:rPr>
      </w:pPr>
      <w:r>
        <w:rPr>
          <w:rFonts w:ascii="仿宋_GB2312" w:eastAsia="仿宋_GB2312" w:hAnsi="宋体" w:cs="宋体" w:hint="eastAsia"/>
          <w:bCs/>
          <w:kern w:val="0"/>
          <w:sz w:val="32"/>
          <w:szCs w:val="32"/>
          <w:shd w:val="clear" w:color="auto" w:fill="FFFFFF"/>
        </w:rPr>
        <w:t>1、龙城区档案局本级</w:t>
      </w:r>
    </w:p>
    <w:p w:rsidR="00537C15" w:rsidRDefault="00537C15">
      <w:pPr>
        <w:widowControl/>
        <w:spacing w:line="560" w:lineRule="exact"/>
        <w:jc w:val="left"/>
        <w:rPr>
          <w:rFonts w:ascii="仿宋_GB2312" w:eastAsia="仿宋_GB2312" w:hAnsi="宋体" w:cs="宋体"/>
          <w:bCs/>
          <w:kern w:val="0"/>
          <w:sz w:val="32"/>
          <w:szCs w:val="32"/>
          <w:shd w:val="clear" w:color="auto" w:fill="FFFFFF"/>
        </w:rPr>
      </w:pPr>
    </w:p>
    <w:p w:rsidR="00537C15" w:rsidRDefault="00537C15">
      <w:pPr>
        <w:widowControl/>
        <w:spacing w:line="600" w:lineRule="exact"/>
        <w:jc w:val="left"/>
        <w:rPr>
          <w:rFonts w:ascii="宋体" w:eastAsia="宋体" w:hAnsi="宋体" w:cs="宋体"/>
          <w:kern w:val="0"/>
          <w:sz w:val="36"/>
          <w:szCs w:val="36"/>
          <w:shd w:val="clear" w:color="auto" w:fill="FFFFFF"/>
        </w:rPr>
      </w:pPr>
    </w:p>
    <w:p w:rsidR="00537C15" w:rsidRDefault="00537C15">
      <w:pPr>
        <w:widowControl/>
        <w:spacing w:line="600" w:lineRule="exact"/>
        <w:jc w:val="left"/>
        <w:rPr>
          <w:rFonts w:ascii="宋体" w:eastAsia="宋体" w:hAnsi="宋体" w:cs="宋体"/>
          <w:kern w:val="0"/>
          <w:sz w:val="36"/>
          <w:szCs w:val="36"/>
          <w:shd w:val="clear" w:color="auto" w:fill="FFFFFF"/>
        </w:rPr>
      </w:pPr>
    </w:p>
    <w:p w:rsidR="00537C15" w:rsidRDefault="00537C15">
      <w:pPr>
        <w:widowControl/>
        <w:spacing w:line="600" w:lineRule="exact"/>
        <w:jc w:val="left"/>
        <w:rPr>
          <w:rFonts w:ascii="宋体" w:eastAsia="宋体" w:hAnsi="宋体" w:cs="宋体"/>
          <w:kern w:val="0"/>
          <w:sz w:val="36"/>
          <w:szCs w:val="36"/>
          <w:shd w:val="clear" w:color="auto" w:fill="FFFFFF"/>
        </w:rPr>
      </w:pPr>
    </w:p>
    <w:p w:rsidR="00537C15" w:rsidRDefault="00537C15">
      <w:pPr>
        <w:widowControl/>
        <w:spacing w:line="600" w:lineRule="exact"/>
        <w:jc w:val="left"/>
        <w:rPr>
          <w:rFonts w:ascii="宋体" w:eastAsia="宋体" w:hAnsi="宋体" w:cs="宋体"/>
          <w:kern w:val="0"/>
          <w:sz w:val="36"/>
          <w:szCs w:val="36"/>
          <w:shd w:val="clear" w:color="auto" w:fill="FFFFFF"/>
        </w:rPr>
      </w:pPr>
    </w:p>
    <w:p w:rsidR="00537C15" w:rsidRDefault="00537C15">
      <w:pPr>
        <w:widowControl/>
        <w:spacing w:line="600" w:lineRule="exact"/>
        <w:jc w:val="left"/>
        <w:rPr>
          <w:rFonts w:ascii="宋体" w:eastAsia="宋体" w:hAnsi="宋体" w:cs="宋体"/>
          <w:kern w:val="0"/>
          <w:sz w:val="36"/>
          <w:szCs w:val="36"/>
          <w:shd w:val="clear" w:color="auto" w:fill="FFFFFF"/>
        </w:rPr>
      </w:pPr>
    </w:p>
    <w:p w:rsidR="00537C15" w:rsidRDefault="00537C15">
      <w:pPr>
        <w:widowControl/>
        <w:spacing w:line="600" w:lineRule="exact"/>
        <w:jc w:val="left"/>
        <w:rPr>
          <w:rFonts w:ascii="宋体" w:eastAsia="宋体" w:hAnsi="宋体" w:cs="宋体"/>
          <w:kern w:val="0"/>
          <w:sz w:val="36"/>
          <w:szCs w:val="36"/>
          <w:shd w:val="clear" w:color="auto" w:fill="FFFFFF"/>
        </w:rPr>
      </w:pPr>
    </w:p>
    <w:p w:rsidR="00537C15" w:rsidRDefault="00F741EB">
      <w:pPr>
        <w:widowControl/>
        <w:spacing w:line="600" w:lineRule="exact"/>
        <w:jc w:val="center"/>
        <w:rPr>
          <w:rFonts w:ascii="黑体" w:eastAsia="黑体" w:hAnsi="黑体" w:cs="黑体"/>
          <w:kern w:val="0"/>
          <w:sz w:val="36"/>
          <w:szCs w:val="36"/>
        </w:rPr>
      </w:pPr>
      <w:r>
        <w:rPr>
          <w:rFonts w:ascii="黑体" w:eastAsia="黑体" w:hAnsi="黑体" w:cs="黑体" w:hint="eastAsia"/>
          <w:kern w:val="0"/>
          <w:sz w:val="36"/>
          <w:szCs w:val="36"/>
        </w:rPr>
        <w:lastRenderedPageBreak/>
        <w:t>第二部分 龙城区档案局2022年部门预算情况说明</w:t>
      </w:r>
    </w:p>
    <w:p w:rsidR="00537C15" w:rsidRDefault="00537C15">
      <w:pPr>
        <w:widowControl/>
        <w:spacing w:line="560" w:lineRule="exact"/>
        <w:ind w:firstLineChars="200" w:firstLine="720"/>
        <w:jc w:val="left"/>
        <w:rPr>
          <w:rFonts w:ascii="宋体" w:eastAsia="宋体" w:hAnsi="宋体" w:cs="宋体"/>
          <w:kern w:val="0"/>
          <w:sz w:val="36"/>
          <w:szCs w:val="36"/>
        </w:rPr>
      </w:pPr>
    </w:p>
    <w:p w:rsidR="00537C15" w:rsidRDefault="00F741EB">
      <w:pPr>
        <w:widowControl/>
        <w:spacing w:line="600" w:lineRule="exact"/>
        <w:jc w:val="left"/>
        <w:rPr>
          <w:rFonts w:ascii="宋体" w:eastAsia="宋体" w:hAnsi="宋体" w:cs="宋体"/>
          <w:kern w:val="0"/>
          <w:sz w:val="32"/>
          <w:szCs w:val="32"/>
        </w:rPr>
      </w:pPr>
      <w:r>
        <w:rPr>
          <w:rFonts w:ascii="楷体_GB2312" w:eastAsia="楷体_GB2312" w:hAnsi="楷体_GB2312" w:cs="楷体_GB2312" w:hint="eastAsia"/>
          <w:b/>
          <w:bCs/>
          <w:kern w:val="0"/>
          <w:sz w:val="32"/>
          <w:szCs w:val="32"/>
        </w:rPr>
        <w:t xml:space="preserve">    一、收支预算的总体情况</w:t>
      </w:r>
    </w:p>
    <w:p w:rsidR="00537C15" w:rsidRDefault="00F741E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按照综合预算的原则，2022 年所有收入和支出均纳入部门预算管理。其中：</w:t>
      </w:r>
    </w:p>
    <w:p w:rsidR="00537C15" w:rsidRDefault="00F741E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（一）收入预算70.76万元，包括：</w:t>
      </w:r>
    </w:p>
    <w:p w:rsidR="00537C15" w:rsidRDefault="00F741E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1.一般公共预算拨款收入70.76万元；</w:t>
      </w:r>
    </w:p>
    <w:p w:rsidR="00537C15" w:rsidRDefault="00F741E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2.政府性基金预算拨款收入0万元；</w:t>
      </w:r>
    </w:p>
    <w:p w:rsidR="00537C15" w:rsidRDefault="00F741E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3.国有资本经营预算拨款收入0万元；</w:t>
      </w:r>
    </w:p>
    <w:p w:rsidR="00537C15" w:rsidRDefault="00F741E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4.财政专户管理资金收入0万元；</w:t>
      </w:r>
    </w:p>
    <w:p w:rsidR="00537C15" w:rsidRDefault="00F741E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5.单位资金收入0万元；</w:t>
      </w:r>
    </w:p>
    <w:p w:rsidR="00537C15" w:rsidRDefault="00F741E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6.上年结转结余0万元。</w:t>
      </w:r>
    </w:p>
    <w:p w:rsidR="00537C15" w:rsidRDefault="00F741E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（二）支出预算70.76万元，包括：</w:t>
      </w:r>
    </w:p>
    <w:p w:rsidR="00537C15" w:rsidRDefault="00F741E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1.基本支出60.76万元；</w:t>
      </w:r>
    </w:p>
    <w:p w:rsidR="00537C15" w:rsidRDefault="00F741E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2.项目支出10万元。</w:t>
      </w:r>
    </w:p>
    <w:p w:rsidR="00537C15" w:rsidRDefault="00F741E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在支出预算70.76万元中，债务支出0万元，政府采购支出0万元，政府购买服务支出0万元。</w:t>
      </w:r>
    </w:p>
    <w:p w:rsidR="00537C15" w:rsidRDefault="00F741E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2022年预算收支比 2021 年增加10.13万元。</w:t>
      </w:r>
    </w:p>
    <w:p w:rsidR="00537C15" w:rsidRDefault="00F741EB">
      <w:pPr>
        <w:widowControl/>
        <w:spacing w:line="600" w:lineRule="exact"/>
        <w:ind w:firstLineChars="200" w:firstLine="643"/>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二、机关运行经费安排情况</w:t>
      </w:r>
    </w:p>
    <w:p w:rsidR="00537C15" w:rsidRDefault="00F741EB">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2022年机关运行经费预算为3.29万元。主要包括办公费、邮电费、工会经费、其他交通费用等。</w:t>
      </w:r>
    </w:p>
    <w:p w:rsidR="00537C15" w:rsidRDefault="00F741EB">
      <w:pPr>
        <w:widowControl/>
        <w:spacing w:line="540" w:lineRule="exact"/>
        <w:ind w:firstLineChars="200" w:firstLine="643"/>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三、政府采购情况</w:t>
      </w:r>
    </w:p>
    <w:p w:rsidR="00537C15" w:rsidRDefault="00F741EB">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2022年预算无政府采购项目。</w:t>
      </w:r>
    </w:p>
    <w:p w:rsidR="00537C15" w:rsidRDefault="00F741EB">
      <w:pPr>
        <w:widowControl/>
        <w:spacing w:line="540" w:lineRule="exact"/>
        <w:ind w:firstLineChars="200" w:firstLine="643"/>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四、 “三公”经费预算情况</w:t>
      </w:r>
    </w:p>
    <w:p w:rsidR="00537C15" w:rsidRDefault="00F741EB">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0万元，与上年持平。其中：</w:t>
      </w:r>
    </w:p>
    <w:p w:rsidR="00537C15" w:rsidRDefault="00F741EB">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因公出国（境）费0万元，与上年持平。</w:t>
      </w:r>
    </w:p>
    <w:p w:rsidR="00537C15" w:rsidRDefault="00F741EB">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公务接待费0万元，与上年持平；</w:t>
      </w:r>
    </w:p>
    <w:p w:rsidR="00537C15" w:rsidRDefault="00F741EB">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公务用车运行费0万元，与上年持平。</w:t>
      </w:r>
    </w:p>
    <w:p w:rsidR="00537C15" w:rsidRDefault="00F741EB">
      <w:pPr>
        <w:widowControl/>
        <w:spacing w:line="540" w:lineRule="exact"/>
        <w:ind w:firstLineChars="200" w:firstLine="643"/>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五、国有资产占用情况</w:t>
      </w:r>
    </w:p>
    <w:p w:rsidR="00537C15" w:rsidRDefault="00F741EB">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2022年年初预算购置车辆 0台，金额 0万元，单位价值 50 万元以上的通用设备0 台，单位价值 100万元以上的专用设备 0台。</w:t>
      </w:r>
    </w:p>
    <w:p w:rsidR="00537C15" w:rsidRDefault="00F741EB">
      <w:pPr>
        <w:widowControl/>
        <w:spacing w:line="540" w:lineRule="exact"/>
        <w:ind w:firstLineChars="200" w:firstLine="643"/>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六、预算绩效目标情况</w:t>
      </w:r>
    </w:p>
    <w:p w:rsidR="00537C15" w:rsidRDefault="00F741EB">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预算绩效管理要求，2022年应编制部门（单位）整体绩效目标共1个，实际编制部门（单位）整体绩效目标共1个，编制部门（单位）整体绩效目标覆盖率（实际编制绩效目标的数量/应编制绩效目标的数量）为100%。应编制绩效目标的特定目标类项目共0个，实际编制绩效目标的特定目标类项目共 0个,涉及资金0万元，编制特定目标的项目覆盖率（实际编制绩效目标的数量/应编制绩效目标的数量）为100%。</w:t>
      </w:r>
    </w:p>
    <w:p w:rsidR="00537C15" w:rsidRDefault="00537C15">
      <w:pPr>
        <w:widowControl/>
        <w:spacing w:line="540" w:lineRule="exact"/>
        <w:ind w:firstLineChars="200" w:firstLine="640"/>
        <w:jc w:val="left"/>
        <w:rPr>
          <w:rFonts w:ascii="仿宋_GB2312" w:eastAsia="仿宋_GB2312" w:hAnsi="仿宋_GB2312" w:cs="仿宋_GB2312"/>
          <w:kern w:val="0"/>
          <w:sz w:val="32"/>
          <w:szCs w:val="32"/>
        </w:rPr>
      </w:pPr>
    </w:p>
    <w:p w:rsidR="00537C15" w:rsidRDefault="00537C15">
      <w:pPr>
        <w:widowControl/>
        <w:spacing w:line="540" w:lineRule="exact"/>
        <w:ind w:firstLineChars="200" w:firstLine="640"/>
        <w:jc w:val="left"/>
        <w:rPr>
          <w:rFonts w:ascii="仿宋_GB2312" w:eastAsia="仿宋_GB2312" w:hAnsi="仿宋_GB2312" w:cs="仿宋_GB2312"/>
          <w:kern w:val="0"/>
          <w:sz w:val="32"/>
          <w:szCs w:val="32"/>
        </w:rPr>
      </w:pPr>
    </w:p>
    <w:p w:rsidR="00537C15" w:rsidRDefault="00537C15">
      <w:pPr>
        <w:widowControl/>
        <w:spacing w:line="540" w:lineRule="exact"/>
        <w:ind w:firstLineChars="200" w:firstLine="640"/>
        <w:jc w:val="left"/>
        <w:rPr>
          <w:rFonts w:ascii="仿宋_GB2312" w:eastAsia="仿宋_GB2312" w:hAnsi="仿宋_GB2312" w:cs="仿宋_GB2312"/>
          <w:kern w:val="0"/>
          <w:sz w:val="32"/>
          <w:szCs w:val="32"/>
        </w:rPr>
      </w:pPr>
    </w:p>
    <w:p w:rsidR="00537C15" w:rsidRDefault="00F741EB">
      <w:pPr>
        <w:widowControl/>
        <w:spacing w:line="600" w:lineRule="exact"/>
        <w:jc w:val="center"/>
        <w:rPr>
          <w:rFonts w:ascii="黑体" w:eastAsia="黑体" w:hAnsi="黑体" w:cs="黑体"/>
          <w:kern w:val="0"/>
          <w:sz w:val="36"/>
          <w:szCs w:val="36"/>
        </w:rPr>
      </w:pPr>
      <w:r>
        <w:rPr>
          <w:rFonts w:ascii="黑体" w:eastAsia="黑体" w:hAnsi="黑体" w:cs="黑体" w:hint="eastAsia"/>
          <w:kern w:val="0"/>
          <w:sz w:val="36"/>
          <w:szCs w:val="36"/>
        </w:rPr>
        <w:lastRenderedPageBreak/>
        <w:t>第三部分 名词解释</w:t>
      </w:r>
    </w:p>
    <w:p w:rsidR="00537C15" w:rsidRDefault="00537C15">
      <w:pPr>
        <w:widowControl/>
        <w:spacing w:line="600" w:lineRule="exact"/>
        <w:jc w:val="center"/>
        <w:rPr>
          <w:rFonts w:ascii="宋体" w:eastAsia="宋体" w:hAnsi="宋体" w:cs="宋体"/>
          <w:kern w:val="0"/>
          <w:sz w:val="36"/>
          <w:szCs w:val="36"/>
        </w:rPr>
      </w:pPr>
    </w:p>
    <w:p w:rsidR="00537C15" w:rsidRDefault="00F741EB">
      <w:pPr>
        <w:spacing w:line="620" w:lineRule="exact"/>
        <w:ind w:firstLineChars="200" w:firstLine="643"/>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1.一般公共预算拨款收入：</w:t>
      </w:r>
      <w:r>
        <w:rPr>
          <w:rFonts w:ascii="仿宋_GB2312" w:eastAsia="仿宋_GB2312" w:hAnsi="仿宋_GB2312" w:cs="仿宋_GB2312" w:hint="eastAsia"/>
          <w:kern w:val="0"/>
          <w:sz w:val="32"/>
          <w:szCs w:val="32"/>
          <w:shd w:val="clear" w:color="auto" w:fill="FFFFFF"/>
        </w:rPr>
        <w:t>指区级财政当年拨付的资金。</w:t>
      </w:r>
    </w:p>
    <w:p w:rsidR="00537C15" w:rsidRDefault="00F741EB">
      <w:pPr>
        <w:spacing w:line="620" w:lineRule="exact"/>
        <w:ind w:firstLineChars="200" w:firstLine="643"/>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2.基本支出：</w:t>
      </w:r>
      <w:r>
        <w:rPr>
          <w:rFonts w:ascii="仿宋_GB2312" w:eastAsia="仿宋_GB2312" w:hAnsi="仿宋_GB2312" w:cs="仿宋_GB2312" w:hint="eastAsia"/>
          <w:kern w:val="0"/>
          <w:sz w:val="32"/>
          <w:szCs w:val="32"/>
          <w:shd w:val="clear" w:color="auto" w:fill="FFFFFF"/>
        </w:rPr>
        <w:t>指保障机构正常运转、完成日常工作任务而发生的人员经费和公用经费。</w:t>
      </w:r>
    </w:p>
    <w:p w:rsidR="00537C15" w:rsidRDefault="00F741EB">
      <w:pPr>
        <w:spacing w:line="620" w:lineRule="exact"/>
        <w:ind w:firstLineChars="200" w:firstLine="643"/>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3.项目支出：</w:t>
      </w:r>
      <w:r>
        <w:rPr>
          <w:rFonts w:ascii="仿宋_GB2312" w:eastAsia="仿宋_GB2312" w:hAnsi="仿宋_GB2312" w:cs="仿宋_GB2312" w:hint="eastAsia"/>
          <w:kern w:val="0"/>
          <w:sz w:val="32"/>
          <w:szCs w:val="32"/>
          <w:shd w:val="clear" w:color="auto" w:fill="FFFFFF"/>
        </w:rPr>
        <w:t>指在基本支出之外为完成特定工作任务和事业发展目标所发生的支出。</w:t>
      </w:r>
    </w:p>
    <w:p w:rsidR="00537C15" w:rsidRDefault="00F741EB">
      <w:pPr>
        <w:spacing w:line="620" w:lineRule="exact"/>
        <w:ind w:firstLineChars="200" w:firstLine="643"/>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4.“三公”经费：</w:t>
      </w:r>
      <w:r>
        <w:rPr>
          <w:rFonts w:ascii="仿宋_GB2312" w:eastAsia="仿宋_GB2312" w:hAnsi="仿宋_GB2312" w:cs="仿宋_GB2312" w:hint="eastAsia"/>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537C15" w:rsidRDefault="00F741EB">
      <w:pPr>
        <w:spacing w:line="620" w:lineRule="exact"/>
        <w:ind w:firstLineChars="200" w:firstLine="643"/>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5.一般公共服务支出（类）档案事务（款）行政运行（项）：</w:t>
      </w:r>
      <w:r>
        <w:rPr>
          <w:rFonts w:ascii="仿宋_GB2312" w:eastAsia="仿宋_GB2312" w:hAnsi="仿宋_GB2312" w:cs="仿宋_GB2312" w:hint="eastAsia"/>
          <w:kern w:val="0"/>
          <w:sz w:val="32"/>
          <w:szCs w:val="32"/>
          <w:shd w:val="clear" w:color="auto" w:fill="FFFFFF"/>
        </w:rPr>
        <w:t>反映行政单位（包括实行公务员管理的事业单位）的基本支出。</w:t>
      </w:r>
    </w:p>
    <w:p w:rsidR="00537C15" w:rsidRDefault="00F741EB">
      <w:pPr>
        <w:spacing w:line="620" w:lineRule="exact"/>
        <w:ind w:firstLineChars="200" w:firstLine="643"/>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6.社会保障和就业支出（类）行政事业单位养老支出（款）行政单位离退休（项）：</w:t>
      </w:r>
      <w:r>
        <w:rPr>
          <w:rFonts w:ascii="仿宋_GB2312" w:eastAsia="仿宋_GB2312" w:hAnsi="仿宋_GB2312" w:cs="仿宋_GB2312" w:hint="eastAsia"/>
          <w:kern w:val="0"/>
          <w:sz w:val="32"/>
          <w:szCs w:val="32"/>
          <w:shd w:val="clear" w:color="auto" w:fill="FFFFFF"/>
        </w:rPr>
        <w:t>反映行政单位（包括实行公务员管理的事业单位）开支的离退休经费。</w:t>
      </w:r>
    </w:p>
    <w:p w:rsidR="00537C15" w:rsidRDefault="00F741EB">
      <w:pPr>
        <w:spacing w:line="620" w:lineRule="exact"/>
        <w:ind w:firstLineChars="200" w:firstLine="643"/>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7.社会保障和就业支出（类）行政事业单位养老支出（款）事业单位离退休（项）：</w:t>
      </w:r>
      <w:r>
        <w:rPr>
          <w:rFonts w:ascii="仿宋_GB2312" w:eastAsia="仿宋_GB2312" w:hAnsi="仿宋_GB2312" w:cs="仿宋_GB2312" w:hint="eastAsia"/>
          <w:kern w:val="0"/>
          <w:sz w:val="32"/>
          <w:szCs w:val="32"/>
          <w:shd w:val="clear" w:color="auto" w:fill="FFFFFF"/>
        </w:rPr>
        <w:t>反映事业单位开支的离退休经费。</w:t>
      </w:r>
    </w:p>
    <w:p w:rsidR="00537C15" w:rsidRDefault="00F741EB">
      <w:pPr>
        <w:spacing w:line="62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lastRenderedPageBreak/>
        <w:t>8.</w:t>
      </w:r>
      <w:r>
        <w:rPr>
          <w:rFonts w:ascii="仿宋_GB2312" w:eastAsia="仿宋_GB2312" w:hAnsi="仿宋_GB2312" w:cs="仿宋_GB2312" w:hint="eastAsia"/>
          <w:b/>
          <w:bCs/>
          <w:kern w:val="0"/>
          <w:sz w:val="32"/>
          <w:szCs w:val="32"/>
          <w:shd w:val="clear" w:color="auto" w:fill="FFFFFF"/>
        </w:rPr>
        <w:t>社会保障和就业支出（类）行政事业单位养老支出（款）机关事业单位基本养老保险缴费支出（项）：</w:t>
      </w:r>
      <w:r>
        <w:rPr>
          <w:rFonts w:ascii="仿宋_GB2312" w:eastAsia="仿宋_GB2312" w:hAnsi="仿宋_GB2312" w:cs="仿宋_GB2312" w:hint="eastAsia"/>
          <w:kern w:val="0"/>
          <w:sz w:val="32"/>
          <w:szCs w:val="32"/>
          <w:shd w:val="clear" w:color="auto" w:fill="FFFFFF"/>
        </w:rPr>
        <w:t>反映机关事业单位实施养老保险制度由单位缴纳的基本养老保险费支出。</w:t>
      </w:r>
    </w:p>
    <w:p w:rsidR="00537C15" w:rsidRDefault="00F741EB">
      <w:pPr>
        <w:spacing w:line="62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9.</w:t>
      </w:r>
      <w:r>
        <w:rPr>
          <w:rFonts w:ascii="仿宋_GB2312" w:eastAsia="仿宋_GB2312" w:hAnsi="仿宋_GB2312" w:cs="仿宋_GB2312" w:hint="eastAsia"/>
          <w:b/>
          <w:bCs/>
          <w:kern w:val="0"/>
          <w:sz w:val="32"/>
          <w:szCs w:val="32"/>
          <w:shd w:val="clear" w:color="auto" w:fill="FFFFFF"/>
        </w:rPr>
        <w:t>社会保障和就业支出（类）行政事业单位养老支出（款）</w:t>
      </w:r>
      <w:r>
        <w:rPr>
          <w:rFonts w:ascii="仿宋_GB2312" w:eastAsia="仿宋_GB2312" w:hAnsi="仿宋_GB2312" w:cs="仿宋_GB2312" w:hint="eastAsia"/>
          <w:kern w:val="0"/>
          <w:sz w:val="32"/>
          <w:szCs w:val="32"/>
          <w:shd w:val="clear" w:color="auto" w:fill="FFFFFF"/>
        </w:rPr>
        <w:t>机关事业单位职业年金缴费支出</w:t>
      </w:r>
      <w:r>
        <w:rPr>
          <w:rFonts w:ascii="仿宋_GB2312" w:eastAsia="仿宋_GB2312" w:hAnsi="仿宋_GB2312" w:cs="仿宋_GB2312" w:hint="eastAsia"/>
          <w:b/>
          <w:bCs/>
          <w:kern w:val="0"/>
          <w:sz w:val="32"/>
          <w:szCs w:val="32"/>
          <w:shd w:val="clear" w:color="auto" w:fill="FFFFFF"/>
        </w:rPr>
        <w:t>（项）：</w:t>
      </w:r>
      <w:r>
        <w:rPr>
          <w:rFonts w:ascii="仿宋_GB2312" w:eastAsia="仿宋_GB2312" w:hAnsi="仿宋_GB2312" w:cs="仿宋_GB2312" w:hint="eastAsia"/>
          <w:kern w:val="0"/>
          <w:sz w:val="32"/>
          <w:szCs w:val="32"/>
          <w:shd w:val="clear" w:color="auto" w:fill="FFFFFF"/>
        </w:rPr>
        <w:t>反映机关事业单位实施养老保险制度由单位实际缴纳的职业年金支出。</w:t>
      </w:r>
    </w:p>
    <w:p w:rsidR="00537C15" w:rsidRDefault="00F741EB">
      <w:pPr>
        <w:spacing w:line="620" w:lineRule="exact"/>
        <w:ind w:firstLineChars="200" w:firstLine="643"/>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10.卫生健康支出 （类）行政事业单位医疗（款）事业单位医疗（项）：</w:t>
      </w:r>
      <w:r>
        <w:rPr>
          <w:rFonts w:ascii="仿宋_GB2312" w:eastAsia="仿宋_GB2312" w:hAnsi="仿宋_GB2312" w:cs="仿宋_GB2312" w:hint="eastAsia"/>
          <w:kern w:val="0"/>
          <w:sz w:val="32"/>
          <w:szCs w:val="32"/>
          <w:shd w:val="clear" w:color="auto" w:fill="FFFFFF"/>
        </w:rPr>
        <w:t>反映财政部门安排的事业单位基本医疗保险缴费经费，未参加医疗保险的事业单位的公费医疗经费，按国家规定享受离退休人员待遇的医疗经费。</w:t>
      </w:r>
    </w:p>
    <w:p w:rsidR="00537C15" w:rsidRDefault="00F741EB">
      <w:pPr>
        <w:spacing w:line="620" w:lineRule="exact"/>
        <w:ind w:firstLineChars="200" w:firstLine="643"/>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11.住房保障支出（类）住房改革支出（款）住房公积金（项）：</w:t>
      </w:r>
      <w:r>
        <w:rPr>
          <w:rFonts w:ascii="仿宋_GB2312" w:eastAsia="仿宋_GB2312" w:hAnsi="仿宋_GB2312" w:cs="仿宋_GB2312" w:hint="eastAsia"/>
          <w:kern w:val="0"/>
          <w:sz w:val="32"/>
          <w:szCs w:val="32"/>
          <w:shd w:val="clear" w:color="auto" w:fill="FFFFFF"/>
        </w:rPr>
        <w:t>反映行政事业单位按人力资源和社会保障部、财政部规定的基本工资和津贴补贴以及规定比例为职工缴纳的住房公积金。</w:t>
      </w: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bookmarkStart w:id="0" w:name="_GoBack"/>
      <w:bookmarkEnd w:id="0"/>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537C15">
      <w:pPr>
        <w:spacing w:line="600" w:lineRule="exact"/>
        <w:jc w:val="left"/>
        <w:rPr>
          <w:rFonts w:ascii="宋体" w:eastAsia="宋体" w:hAnsi="宋体" w:cs="宋体"/>
          <w:kern w:val="0"/>
          <w:sz w:val="36"/>
          <w:szCs w:val="36"/>
          <w:shd w:val="clear" w:color="auto" w:fill="FFFFFF"/>
        </w:rPr>
      </w:pPr>
    </w:p>
    <w:p w:rsidR="00537C15" w:rsidRDefault="00F741EB">
      <w:pPr>
        <w:widowControl/>
        <w:spacing w:line="600" w:lineRule="exact"/>
        <w:jc w:val="center"/>
        <w:rPr>
          <w:rFonts w:ascii="黑体" w:eastAsia="黑体" w:hAnsi="黑体" w:cs="宋体"/>
          <w:kern w:val="0"/>
          <w:sz w:val="36"/>
          <w:szCs w:val="36"/>
        </w:rPr>
      </w:pPr>
      <w:r>
        <w:rPr>
          <w:rFonts w:ascii="黑体" w:eastAsia="黑体" w:hAnsi="黑体" w:cs="宋体" w:hint="eastAsia"/>
          <w:kern w:val="0"/>
          <w:sz w:val="36"/>
          <w:szCs w:val="36"/>
        </w:rPr>
        <w:lastRenderedPageBreak/>
        <w:t>第四部分 2022年龙城区档案局部门预算批复表</w:t>
      </w:r>
    </w:p>
    <w:p w:rsidR="00537C15" w:rsidRDefault="00537C15">
      <w:pPr>
        <w:widowControl/>
        <w:spacing w:line="600" w:lineRule="exact"/>
        <w:jc w:val="left"/>
        <w:rPr>
          <w:rFonts w:ascii="仿宋_GB2312" w:eastAsia="仿宋_GB2312" w:hAnsi="宋体" w:cs="宋体"/>
          <w:kern w:val="0"/>
          <w:sz w:val="36"/>
          <w:szCs w:val="36"/>
          <w:shd w:val="clear" w:color="auto" w:fill="FFFFFF"/>
        </w:rPr>
      </w:pPr>
    </w:p>
    <w:p w:rsidR="00537C15" w:rsidRDefault="00F741EB">
      <w:pPr>
        <w:widowControl/>
        <w:spacing w:line="600" w:lineRule="exact"/>
        <w:jc w:val="left"/>
        <w:rPr>
          <w:rFonts w:ascii="仿宋_GB2312" w:eastAsia="仿宋_GB2312" w:hAnsi="宋体" w:cs="宋体"/>
          <w:kern w:val="0"/>
          <w:sz w:val="36"/>
          <w:szCs w:val="36"/>
        </w:rPr>
      </w:pPr>
      <w:r>
        <w:rPr>
          <w:rFonts w:ascii="仿宋_GB2312" w:eastAsia="仿宋_GB2312" w:hAnsi="宋体" w:cs="宋体" w:hint="eastAsia"/>
          <w:kern w:val="0"/>
          <w:sz w:val="32"/>
          <w:szCs w:val="32"/>
          <w:shd w:val="clear" w:color="auto" w:fill="FFFFFF"/>
        </w:rPr>
        <w:t>详见附表：</w:t>
      </w:r>
      <w:r>
        <w:rPr>
          <w:rFonts w:ascii="仿宋_GB2312" w:eastAsia="仿宋_GB2312" w:hAnsi="宋体" w:cs="宋体" w:hint="eastAsia"/>
          <w:kern w:val="0"/>
          <w:sz w:val="32"/>
          <w:szCs w:val="32"/>
        </w:rPr>
        <w:t>2022</w:t>
      </w:r>
      <w:r w:rsidRPr="00CF16F2">
        <w:rPr>
          <w:rFonts w:ascii="仿宋_GB2312" w:eastAsia="仿宋_GB2312" w:hAnsi="宋体" w:cs="宋体" w:hint="eastAsia"/>
          <w:kern w:val="0"/>
          <w:sz w:val="32"/>
          <w:szCs w:val="32"/>
        </w:rPr>
        <w:t>年龙城区</w:t>
      </w:r>
      <w:r w:rsidR="00CF16F2" w:rsidRPr="00CF16F2">
        <w:rPr>
          <w:rFonts w:ascii="仿宋_GB2312" w:eastAsia="仿宋_GB2312" w:hAnsi="宋体" w:cs="宋体" w:hint="eastAsia"/>
          <w:kern w:val="0"/>
          <w:sz w:val="32"/>
          <w:szCs w:val="32"/>
        </w:rPr>
        <w:t>档案</w:t>
      </w:r>
      <w:r w:rsidRPr="00CF16F2">
        <w:rPr>
          <w:rFonts w:ascii="仿宋_GB2312" w:eastAsia="仿宋_GB2312" w:hAnsi="宋体" w:cs="宋体" w:hint="eastAsia"/>
          <w:kern w:val="0"/>
          <w:sz w:val="32"/>
          <w:szCs w:val="32"/>
        </w:rPr>
        <w:t>局部门预算批</w:t>
      </w:r>
      <w:r>
        <w:rPr>
          <w:rFonts w:ascii="仿宋_GB2312" w:eastAsia="仿宋_GB2312" w:hAnsi="宋体" w:cs="宋体" w:hint="eastAsia"/>
          <w:kern w:val="0"/>
          <w:sz w:val="32"/>
          <w:szCs w:val="32"/>
        </w:rPr>
        <w:t>复表</w:t>
      </w:r>
    </w:p>
    <w:p w:rsidR="00537C15" w:rsidRDefault="00537C15">
      <w:pPr>
        <w:spacing w:line="600" w:lineRule="exact"/>
        <w:jc w:val="left"/>
        <w:rPr>
          <w:rFonts w:ascii="仿宋_GB2312" w:eastAsia="仿宋_GB2312"/>
          <w:sz w:val="36"/>
          <w:szCs w:val="36"/>
        </w:rPr>
      </w:pPr>
    </w:p>
    <w:sectPr w:rsidR="00537C15" w:rsidSect="00537C15">
      <w:footerReference w:type="default" r:id="rId7"/>
      <w:pgSz w:w="11906" w:h="16838"/>
      <w:pgMar w:top="1701" w:right="1418"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73C" w:rsidRDefault="001C573C" w:rsidP="00537C15">
      <w:r>
        <w:separator/>
      </w:r>
    </w:p>
  </w:endnote>
  <w:endnote w:type="continuationSeparator" w:id="1">
    <w:p w:rsidR="001C573C" w:rsidRDefault="001C573C" w:rsidP="00537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15" w:rsidRDefault="004A381C">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537C15" w:rsidRDefault="004A381C">
                <w:pPr>
                  <w:pStyle w:val="a4"/>
                </w:pPr>
                <w:r>
                  <w:fldChar w:fldCharType="begin"/>
                </w:r>
                <w:r w:rsidR="00F741EB">
                  <w:instrText xml:space="preserve"> PAGE  \* MERGEFORMAT </w:instrText>
                </w:r>
                <w:r>
                  <w:fldChar w:fldCharType="separate"/>
                </w:r>
                <w:r w:rsidR="00CF16F2">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73C" w:rsidRDefault="001C573C" w:rsidP="00537C15">
      <w:r>
        <w:separator/>
      </w:r>
    </w:p>
  </w:footnote>
  <w:footnote w:type="continuationSeparator" w:id="1">
    <w:p w:rsidR="001C573C" w:rsidRDefault="001C573C" w:rsidP="00537C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1C573C"/>
    <w:rsid w:val="0020245D"/>
    <w:rsid w:val="0021024E"/>
    <w:rsid w:val="00213E50"/>
    <w:rsid w:val="00220C5F"/>
    <w:rsid w:val="00225BC5"/>
    <w:rsid w:val="0023397A"/>
    <w:rsid w:val="00234682"/>
    <w:rsid w:val="002732A0"/>
    <w:rsid w:val="00276547"/>
    <w:rsid w:val="002B4F24"/>
    <w:rsid w:val="003163EE"/>
    <w:rsid w:val="00355960"/>
    <w:rsid w:val="003C4405"/>
    <w:rsid w:val="003D2678"/>
    <w:rsid w:val="00402944"/>
    <w:rsid w:val="00410883"/>
    <w:rsid w:val="00431D1D"/>
    <w:rsid w:val="00432CF0"/>
    <w:rsid w:val="00445E2C"/>
    <w:rsid w:val="004A381C"/>
    <w:rsid w:val="004B6C5D"/>
    <w:rsid w:val="004C674C"/>
    <w:rsid w:val="004D7509"/>
    <w:rsid w:val="00501CE0"/>
    <w:rsid w:val="00527D20"/>
    <w:rsid w:val="00537C15"/>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7D0E7A"/>
    <w:rsid w:val="00800800"/>
    <w:rsid w:val="00860B2B"/>
    <w:rsid w:val="00872639"/>
    <w:rsid w:val="008735FF"/>
    <w:rsid w:val="008C0176"/>
    <w:rsid w:val="008F639A"/>
    <w:rsid w:val="009222EF"/>
    <w:rsid w:val="00926E8E"/>
    <w:rsid w:val="00930000"/>
    <w:rsid w:val="00937B7A"/>
    <w:rsid w:val="00970F52"/>
    <w:rsid w:val="00975103"/>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CF16F2"/>
    <w:rsid w:val="00D31DCF"/>
    <w:rsid w:val="00D37C8C"/>
    <w:rsid w:val="00D407E3"/>
    <w:rsid w:val="00D644D6"/>
    <w:rsid w:val="00D64855"/>
    <w:rsid w:val="00D828A5"/>
    <w:rsid w:val="00DB0F6C"/>
    <w:rsid w:val="00DC359B"/>
    <w:rsid w:val="00E13AF1"/>
    <w:rsid w:val="00E317BA"/>
    <w:rsid w:val="00E4354B"/>
    <w:rsid w:val="00E61702"/>
    <w:rsid w:val="00E71B15"/>
    <w:rsid w:val="00E73E69"/>
    <w:rsid w:val="00EB52FA"/>
    <w:rsid w:val="00EB5C42"/>
    <w:rsid w:val="00ED6420"/>
    <w:rsid w:val="00EF2A3A"/>
    <w:rsid w:val="00F06896"/>
    <w:rsid w:val="00F20F4C"/>
    <w:rsid w:val="00F24E44"/>
    <w:rsid w:val="00F33DE8"/>
    <w:rsid w:val="00F404C5"/>
    <w:rsid w:val="00F6157F"/>
    <w:rsid w:val="00F741EB"/>
    <w:rsid w:val="00F80D8D"/>
    <w:rsid w:val="00F81352"/>
    <w:rsid w:val="00FA6620"/>
    <w:rsid w:val="00FC7F22"/>
    <w:rsid w:val="00FF0E8C"/>
    <w:rsid w:val="00FF3ABD"/>
    <w:rsid w:val="00FF61DC"/>
    <w:rsid w:val="05645DD5"/>
    <w:rsid w:val="0FF03899"/>
    <w:rsid w:val="1D11562F"/>
    <w:rsid w:val="23446E27"/>
    <w:rsid w:val="2F7B6838"/>
    <w:rsid w:val="3C6077A7"/>
    <w:rsid w:val="42B740A7"/>
    <w:rsid w:val="604B01CA"/>
    <w:rsid w:val="65C63716"/>
    <w:rsid w:val="6E5B298D"/>
    <w:rsid w:val="701F4FF2"/>
    <w:rsid w:val="723B31C2"/>
    <w:rsid w:val="73392B0C"/>
    <w:rsid w:val="79615874"/>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C1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537C1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537C1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37C15"/>
    <w:rPr>
      <w:sz w:val="18"/>
      <w:szCs w:val="18"/>
    </w:rPr>
  </w:style>
  <w:style w:type="paragraph" w:styleId="a4">
    <w:name w:val="footer"/>
    <w:basedOn w:val="a"/>
    <w:link w:val="Char0"/>
    <w:uiPriority w:val="99"/>
    <w:semiHidden/>
    <w:unhideWhenUsed/>
    <w:qFormat/>
    <w:rsid w:val="00537C1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537C1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537C1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37C15"/>
    <w:rPr>
      <w:b/>
      <w:bCs/>
    </w:rPr>
  </w:style>
  <w:style w:type="character" w:styleId="a8">
    <w:name w:val="Hyperlink"/>
    <w:basedOn w:val="a0"/>
    <w:uiPriority w:val="99"/>
    <w:semiHidden/>
    <w:unhideWhenUsed/>
    <w:qFormat/>
    <w:rsid w:val="00537C15"/>
    <w:rPr>
      <w:color w:val="0000FF"/>
      <w:u w:val="single"/>
    </w:rPr>
  </w:style>
  <w:style w:type="character" w:customStyle="1" w:styleId="1Char">
    <w:name w:val="标题 1 Char"/>
    <w:basedOn w:val="a0"/>
    <w:link w:val="1"/>
    <w:uiPriority w:val="9"/>
    <w:qFormat/>
    <w:rsid w:val="00537C15"/>
    <w:rPr>
      <w:rFonts w:ascii="宋体" w:eastAsia="宋体" w:hAnsi="宋体" w:cs="宋体"/>
      <w:b/>
      <w:bCs/>
      <w:kern w:val="36"/>
      <w:sz w:val="48"/>
      <w:szCs w:val="48"/>
    </w:rPr>
  </w:style>
  <w:style w:type="character" w:customStyle="1" w:styleId="2Char">
    <w:name w:val="标题 2 Char"/>
    <w:basedOn w:val="a0"/>
    <w:link w:val="2"/>
    <w:uiPriority w:val="9"/>
    <w:qFormat/>
    <w:rsid w:val="00537C15"/>
    <w:rPr>
      <w:rFonts w:ascii="宋体" w:eastAsia="宋体" w:hAnsi="宋体" w:cs="宋体"/>
      <w:b/>
      <w:bCs/>
      <w:kern w:val="0"/>
      <w:sz w:val="36"/>
      <w:szCs w:val="36"/>
    </w:rPr>
  </w:style>
  <w:style w:type="character" w:customStyle="1" w:styleId="Char1">
    <w:name w:val="页眉 Char"/>
    <w:basedOn w:val="a0"/>
    <w:link w:val="a5"/>
    <w:uiPriority w:val="99"/>
    <w:semiHidden/>
    <w:qFormat/>
    <w:rsid w:val="00537C15"/>
    <w:rPr>
      <w:sz w:val="18"/>
      <w:szCs w:val="18"/>
    </w:rPr>
  </w:style>
  <w:style w:type="character" w:customStyle="1" w:styleId="Char0">
    <w:name w:val="页脚 Char"/>
    <w:basedOn w:val="a0"/>
    <w:link w:val="a4"/>
    <w:uiPriority w:val="99"/>
    <w:semiHidden/>
    <w:qFormat/>
    <w:rsid w:val="00537C15"/>
    <w:rPr>
      <w:sz w:val="18"/>
      <w:szCs w:val="18"/>
    </w:rPr>
  </w:style>
  <w:style w:type="character" w:customStyle="1" w:styleId="Char">
    <w:name w:val="批注框文本 Char"/>
    <w:basedOn w:val="a0"/>
    <w:link w:val="a3"/>
    <w:uiPriority w:val="99"/>
    <w:semiHidden/>
    <w:qFormat/>
    <w:rsid w:val="00537C1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374</Words>
  <Characters>2137</Characters>
  <Application>Microsoft Office Word</Application>
  <DocSecurity>0</DocSecurity>
  <Lines>17</Lines>
  <Paragraphs>5</Paragraphs>
  <ScaleCrop>false</ScaleCrop>
  <Company>微软中国</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47</cp:revision>
  <cp:lastPrinted>2022-01-06T02:11:00Z</cp:lastPrinted>
  <dcterms:created xsi:type="dcterms:W3CDTF">2022-01-04T06:44:00Z</dcterms:created>
  <dcterms:modified xsi:type="dcterms:W3CDTF">2022-01-14T01:40:00Z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0A46C5CB5A25427DA26057A03F87D632</vt:lpwstr>
  </property>
</Properties>
</file>