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龙城区营商环境建设局部门预算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cs="宋体" w:asciiTheme="majorEastAsia" w:hAnsiTheme="majorEastAsia" w:eastAsiaTheme="majorEastAsia"/>
          <w:b/>
          <w:bCs/>
          <w:color w:val="333333"/>
          <w:spacing w:val="0"/>
          <w:kern w:val="36"/>
          <w:sz w:val="44"/>
          <w:szCs w:val="44"/>
        </w:rPr>
      </w:pPr>
      <w:r>
        <w:rPr>
          <w:rFonts w:hint="eastAsia" w:cs="宋体" w:asciiTheme="majorEastAsia" w:hAnsiTheme="majorEastAsia" w:eastAsiaTheme="majorEastAsia"/>
          <w:b/>
          <w:bCs/>
          <w:color w:val="333333"/>
          <w:spacing w:val="0"/>
          <w:kern w:val="36"/>
          <w:sz w:val="44"/>
          <w:szCs w:val="44"/>
        </w:rPr>
        <w:t>2022年龙城区营商环境建设局部门预算</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cs="宋体" w:asciiTheme="majorEastAsia" w:hAnsiTheme="majorEastAsia" w:eastAsiaTheme="majorEastAsia"/>
          <w:b/>
          <w:bCs/>
          <w:color w:val="333333"/>
          <w:spacing w:val="0"/>
          <w:kern w:val="36"/>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cs="宋体" w:asciiTheme="majorEastAsia" w:hAnsiTheme="majorEastAsia" w:eastAsiaTheme="majorEastAsia"/>
          <w:b/>
          <w:bCs/>
          <w:color w:val="333333"/>
          <w:spacing w:val="0"/>
          <w:kern w:val="0"/>
          <w:sz w:val="36"/>
          <w:szCs w:val="36"/>
        </w:rPr>
      </w:pPr>
      <w:r>
        <w:rPr>
          <w:rFonts w:hint="eastAsia" w:cs="宋体" w:asciiTheme="majorEastAsia" w:hAnsiTheme="majorEastAsia" w:eastAsiaTheme="majorEastAsia"/>
          <w:b/>
          <w:bCs/>
          <w:color w:val="333333"/>
          <w:spacing w:val="0"/>
          <w:kern w:val="0"/>
          <w:sz w:val="36"/>
          <w:szCs w:val="36"/>
        </w:rPr>
        <w:t>目    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cs="宋体" w:asciiTheme="majorEastAsia" w:hAnsiTheme="majorEastAsia" w:eastAsiaTheme="majorEastAsia"/>
          <w:b/>
          <w:bCs/>
          <w:color w:val="333333"/>
          <w:spacing w:val="0"/>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宋体" w:cs="宋体"/>
          <w:bCs/>
          <w:color w:val="333333"/>
          <w:spacing w:val="0"/>
          <w:kern w:val="0"/>
          <w:sz w:val="32"/>
          <w:szCs w:val="32"/>
          <w:shd w:val="clear" w:color="auto" w:fill="FFFFFF"/>
        </w:rPr>
      </w:pPr>
      <w:r>
        <w:rPr>
          <w:rFonts w:hint="eastAsia" w:ascii="黑体" w:hAnsi="黑体" w:eastAsia="黑体" w:cs="宋体"/>
          <w:bCs/>
          <w:color w:val="333333"/>
          <w:spacing w:val="0"/>
          <w:kern w:val="0"/>
          <w:sz w:val="32"/>
          <w:szCs w:val="32"/>
          <w:shd w:val="clear" w:color="auto" w:fill="FFFFFF"/>
        </w:rPr>
        <w:t>第一部分   龙城区营商环境建设局概况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bCs/>
          <w:color w:val="333333"/>
          <w:spacing w:val="0"/>
          <w:kern w:val="0"/>
          <w:sz w:val="32"/>
          <w:szCs w:val="32"/>
          <w:shd w:val="clear" w:color="auto" w:fill="FFFFFF"/>
        </w:rPr>
      </w:pPr>
      <w:r>
        <w:rPr>
          <w:rFonts w:hint="eastAsia" w:ascii="宋体" w:hAnsi="宋体" w:eastAsia="宋体" w:cs="宋体"/>
          <w:bCs/>
          <w:color w:val="333333"/>
          <w:spacing w:val="0"/>
          <w:kern w:val="0"/>
          <w:sz w:val="32"/>
          <w:szCs w:val="32"/>
          <w:shd w:val="clear" w:color="auto" w:fill="FFFFFF"/>
        </w:rPr>
        <w:t>一、主要职责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bCs/>
          <w:color w:val="333333"/>
          <w:spacing w:val="0"/>
          <w:kern w:val="0"/>
          <w:sz w:val="32"/>
          <w:szCs w:val="32"/>
          <w:shd w:val="clear" w:color="auto" w:fill="FFFFFF"/>
        </w:rPr>
      </w:pPr>
      <w:r>
        <w:rPr>
          <w:rFonts w:hint="eastAsia" w:ascii="宋体" w:hAnsi="宋体" w:eastAsia="宋体" w:cs="宋体"/>
          <w:bCs/>
          <w:color w:val="333333"/>
          <w:spacing w:val="0"/>
          <w:kern w:val="0"/>
          <w:sz w:val="32"/>
          <w:szCs w:val="32"/>
          <w:shd w:val="clear" w:color="auto" w:fill="FFFFFF"/>
        </w:rPr>
        <w:t>二、部门预算单位构成</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黑体" w:eastAsia="黑体" w:cs="宋体"/>
          <w:bCs/>
          <w:color w:val="333333"/>
          <w:spacing w:val="0"/>
          <w:kern w:val="0"/>
          <w:sz w:val="32"/>
          <w:szCs w:val="32"/>
        </w:rPr>
      </w:pPr>
      <w:r>
        <w:rPr>
          <w:rFonts w:hint="eastAsia" w:ascii="黑体" w:hAnsi="黑体" w:eastAsia="黑体" w:cs="宋体"/>
          <w:bCs/>
          <w:color w:val="333333"/>
          <w:spacing w:val="0"/>
          <w:kern w:val="0"/>
          <w:sz w:val="32"/>
          <w:szCs w:val="32"/>
          <w:shd w:val="clear" w:color="auto" w:fill="FFFFFF"/>
        </w:rPr>
        <w:t>第二部分    龙城区营商环境建设局2022年部门预算情况说明</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黑体" w:eastAsia="黑体" w:cs="宋体"/>
          <w:bCs/>
          <w:color w:val="333333"/>
          <w:spacing w:val="0"/>
          <w:kern w:val="0"/>
          <w:sz w:val="32"/>
          <w:szCs w:val="32"/>
          <w:shd w:val="clear" w:color="auto" w:fill="FFFFFF"/>
        </w:rPr>
      </w:pPr>
      <w:r>
        <w:rPr>
          <w:rFonts w:hint="eastAsia" w:ascii="黑体" w:hAnsi="黑体" w:eastAsia="黑体" w:cs="宋体"/>
          <w:bCs/>
          <w:color w:val="333333"/>
          <w:spacing w:val="0"/>
          <w:kern w:val="0"/>
          <w:sz w:val="32"/>
          <w:szCs w:val="32"/>
          <w:shd w:val="clear" w:color="auto" w:fill="FFFFFF"/>
        </w:rPr>
        <w:t>第三部分    名词解释</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黑体" w:hAnsi="黑体" w:eastAsia="黑体" w:cs="宋体"/>
          <w:bCs/>
          <w:color w:val="333333"/>
          <w:spacing w:val="0"/>
          <w:kern w:val="0"/>
          <w:sz w:val="32"/>
          <w:szCs w:val="32"/>
        </w:rPr>
      </w:pPr>
      <w:r>
        <w:rPr>
          <w:rFonts w:hint="eastAsia" w:ascii="黑体" w:hAnsi="黑体" w:eastAsia="黑体" w:cs="宋体"/>
          <w:bCs/>
          <w:color w:val="333333"/>
          <w:spacing w:val="0"/>
          <w:kern w:val="0"/>
          <w:sz w:val="32"/>
          <w:szCs w:val="32"/>
          <w:shd w:val="clear" w:color="auto" w:fill="FFFFFF"/>
        </w:rPr>
        <w:t xml:space="preserve">第四部分    </w:t>
      </w:r>
      <w:r>
        <w:rPr>
          <w:rFonts w:hint="eastAsia" w:ascii="黑体" w:hAnsi="黑体" w:eastAsia="黑体" w:cs="宋体"/>
          <w:bCs/>
          <w:color w:val="333333"/>
          <w:spacing w:val="0"/>
          <w:kern w:val="0"/>
          <w:sz w:val="32"/>
          <w:szCs w:val="32"/>
        </w:rPr>
        <w:t>2022年龙城区</w:t>
      </w:r>
      <w:r>
        <w:rPr>
          <w:rFonts w:hint="eastAsia" w:ascii="黑体" w:hAnsi="黑体" w:eastAsia="黑体" w:cs="宋体"/>
          <w:bCs/>
          <w:color w:val="333333"/>
          <w:spacing w:val="0"/>
          <w:kern w:val="0"/>
          <w:sz w:val="32"/>
          <w:szCs w:val="32"/>
          <w:shd w:val="clear" w:color="auto" w:fill="FFFFFF"/>
        </w:rPr>
        <w:t>营商环境建设</w:t>
      </w:r>
      <w:r>
        <w:rPr>
          <w:rFonts w:hint="eastAsia" w:ascii="黑体" w:hAnsi="黑体" w:eastAsia="黑体" w:cs="宋体"/>
          <w:bCs/>
          <w:color w:val="333333"/>
          <w:spacing w:val="0"/>
          <w:kern w:val="0"/>
          <w:sz w:val="32"/>
          <w:szCs w:val="32"/>
        </w:rPr>
        <w:t>局部门预算批复表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一、收支预算总表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二、收入预算总表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三、支出预算总表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四、财政拨款收支预算总表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五、一般公共预算支出表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六、一般公共预算基本支出表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七、一般公共预算“三公”经费支出表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八、政府性基金预算支出表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九、项目支出预算表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十、支出功能分类预算表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十一、支出经济分类预算表（政府预算）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十二、支出经济分类预算表（部门预算）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十三、债务支出预算表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十四、政府采购支出预算表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十五、政府购买服务支出预算表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十六、部门（单位）整体绩效目标表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333333"/>
          <w:spacing w:val="0"/>
          <w:kern w:val="0"/>
          <w:sz w:val="32"/>
          <w:szCs w:val="32"/>
        </w:rPr>
      </w:pPr>
      <w:r>
        <w:rPr>
          <w:rFonts w:hint="eastAsia" w:ascii="宋体" w:hAnsi="宋体" w:eastAsia="宋体" w:cs="宋体"/>
          <w:color w:val="333333"/>
          <w:spacing w:val="0"/>
          <w:kern w:val="0"/>
          <w:sz w:val="32"/>
          <w:szCs w:val="32"/>
        </w:rPr>
        <w:t>十七、部门预算项目（政策）绩效目标表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color w:val="333333"/>
          <w:spacing w:val="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黑体"/>
          <w:color w:val="333333"/>
          <w:spacing w:val="0"/>
          <w:kern w:val="0"/>
          <w:sz w:val="36"/>
          <w:szCs w:val="36"/>
        </w:rPr>
      </w:pPr>
      <w:r>
        <w:rPr>
          <w:rFonts w:hint="eastAsia" w:ascii="黑体" w:hAnsi="黑体" w:eastAsia="黑体" w:cs="黑体"/>
          <w:color w:val="333333"/>
          <w:spacing w:val="0"/>
          <w:kern w:val="0"/>
          <w:sz w:val="36"/>
          <w:szCs w:val="36"/>
        </w:rPr>
        <w:t>第一部分 龙城区营商环境建设局概况</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color w:val="333333"/>
          <w:spacing w:val="0"/>
          <w:kern w:val="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color w:val="333333"/>
          <w:spacing w:val="0"/>
          <w:kern w:val="0"/>
          <w:sz w:val="32"/>
          <w:szCs w:val="32"/>
          <w:shd w:val="clear" w:color="auto" w:fill="FFFFFF"/>
        </w:rPr>
      </w:pPr>
      <w:r>
        <w:rPr>
          <w:rFonts w:hint="eastAsia" w:ascii="楷体_GB2312" w:hAnsi="楷体_GB2312" w:eastAsia="楷体_GB2312" w:cs="楷体_GB2312"/>
          <w:b/>
          <w:color w:val="333333"/>
          <w:spacing w:val="0"/>
          <w:kern w:val="0"/>
          <w:sz w:val="32"/>
          <w:szCs w:val="32"/>
          <w:shd w:val="clear" w:color="auto" w:fill="FFFFFF"/>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贯彻落实党中央、国务院、省委、省政府、市委、市政府、区委和区政府关于加强和优化营商环境建设以及行政审批相关工作的法律法规和方针政策，组织起草区政府规章草案，组织贯彻落实《辽宁省优化营商环境条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(二)拟订全区营商环境建设工作规划和年度计划，拟订加强和优化全区营商环境建设的政策、措施和制度并组织实施，组织指导、统筹协调全区营商环境建设工作。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(三)负责全区营商环境建设监督检查工作，受理相关投诉、举报，查处营商环境建设违法违纪行为，建立营商环境监督检查与纪检监察、行政审计和刑事司法相衔接的工作机制。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(四)配合有关部门对全区贯彻落实区委、区政府关于优化营商环境建设工作部署情况进行绩效考评，建立营商环境建设与领导班子和领导干部考核、奖惩、使用的挂钩机制。</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(五)负责推进和指导全区简政放权、放管结合、优化服务改革及行政审批制度改革工作。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六)负责全区行政权力运行制度系统、行政权力电子监察系统建设等工作，统筹负责“互联网+政务”建设推进和8890服务平台的大数据管理和应用。负责8890非紧急类服务平台规划建设和日常运行监管工作，指导区民心网工作。负责龙城政务服务网和行政审批与事中事后监管网络对接系统的建设和管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(七)负责行政审批规范化体系建设，建立、完善相应工作机制，研究制定行政审批各项规章制度和管理办法，并负责组织实施。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(八)负责经省政府批准划入区行政审批局行使的建设项目、市场准入、文教卫计、农业、林业、水务、社会事务等事项的行政审批工作，研究解决相关事项调整、流程再造、环节优化、时限压缩等问题。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(九)负责全区政务服务工作的运行和管理。负责全区各级公共行政服务中心的运行、监督和指导；负责以“三集中四到位”方式进驻审批大厅的政务服务事项的组织协调、监督管理和指导服务。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(十)承担区营商环境建设工作领导小组、区行政审批制度改革工作领导小组日常工作。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(十一)完成区委、区政府交办的其他任务。</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shd w:val="clear" w:color="auto" w:fill="FFFFFF"/>
        </w:rPr>
      </w:pPr>
      <w:r>
        <w:rPr>
          <w:rFonts w:hint="eastAsia" w:ascii="仿宋_GB2312" w:hAnsi="仿宋_GB2312" w:eastAsia="仿宋_GB2312" w:cs="仿宋_GB2312"/>
          <w:spacing w:val="0"/>
          <w:sz w:val="32"/>
          <w:szCs w:val="32"/>
        </w:rPr>
        <w:t>(十二)逐渐建立完善部门工会组织，以维护本部门职工合法权益，丰富职工精神文化生活，保障职工享有相应福利待遇。</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仿宋_GB2312" w:hAnsi="宋体" w:eastAsia="仿宋_GB2312" w:cs="宋体"/>
          <w:bCs/>
          <w:color w:val="333333"/>
          <w:spacing w:val="0"/>
          <w:kern w:val="0"/>
          <w:sz w:val="32"/>
          <w:szCs w:val="32"/>
          <w:shd w:val="clear" w:color="auto" w:fill="FFFFFF"/>
        </w:rPr>
      </w:pPr>
      <w:r>
        <w:rPr>
          <w:rFonts w:hint="eastAsia" w:ascii="楷体_GB2312" w:hAnsi="楷体_GB2312" w:eastAsia="楷体_GB2312" w:cs="楷体_GB2312"/>
          <w:b/>
          <w:color w:val="333333"/>
          <w:spacing w:val="0"/>
          <w:kern w:val="0"/>
          <w:sz w:val="32"/>
          <w:szCs w:val="32"/>
          <w:shd w:val="clear" w:color="auto" w:fill="FFFFFF"/>
        </w:rPr>
        <w:t xml:space="preserve">    二、部门预算单位构成</w:t>
      </w:r>
      <w:r>
        <w:rPr>
          <w:rFonts w:hint="eastAsia" w:ascii="宋体" w:hAnsi="宋体" w:eastAsia="宋体" w:cs="宋体"/>
          <w:color w:val="333333"/>
          <w:spacing w:val="0"/>
          <w:kern w:val="0"/>
          <w:sz w:val="32"/>
          <w:szCs w:val="32"/>
        </w:rPr>
        <w:br w:type="textWrapping"/>
      </w:r>
      <w:r>
        <w:rPr>
          <w:rFonts w:hint="eastAsia" w:ascii="仿宋_GB2312" w:hAnsi="宋体" w:eastAsia="仿宋_GB2312" w:cs="宋体"/>
          <w:bCs/>
          <w:color w:val="333333"/>
          <w:spacing w:val="0"/>
          <w:kern w:val="0"/>
          <w:sz w:val="32"/>
          <w:szCs w:val="32"/>
          <w:shd w:val="clear" w:color="auto" w:fill="FFFFFF"/>
        </w:rPr>
        <w:t xml:space="preserve">    纳入2022年部门预算编制范围的预算单位包括：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bCs/>
          <w:color w:val="333333"/>
          <w:spacing w:val="0"/>
          <w:kern w:val="0"/>
          <w:sz w:val="32"/>
          <w:szCs w:val="32"/>
          <w:shd w:val="clear" w:color="auto" w:fill="FFFFFF"/>
        </w:rPr>
      </w:pPr>
      <w:r>
        <w:rPr>
          <w:rFonts w:hint="eastAsia" w:ascii="仿宋_GB2312" w:hAnsi="宋体" w:eastAsia="仿宋_GB2312" w:cs="宋体"/>
          <w:bCs/>
          <w:color w:val="333333"/>
          <w:spacing w:val="0"/>
          <w:kern w:val="0"/>
          <w:sz w:val="32"/>
          <w:szCs w:val="32"/>
          <w:shd w:val="clear" w:color="auto" w:fill="FFFFFF"/>
        </w:rPr>
        <w:t>1、龙城区营商环境建设局本级</w:t>
      </w:r>
    </w:p>
    <w:p>
      <w:pPr>
        <w:keepNext w:val="0"/>
        <w:keepLines w:val="0"/>
        <w:pageBreakBefore w:val="0"/>
        <w:widowControl/>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宋体" w:eastAsia="仿宋_GB2312" w:cs="宋体"/>
          <w:bCs/>
          <w:color w:val="333333"/>
          <w:spacing w:val="0"/>
          <w:kern w:val="0"/>
          <w:sz w:val="32"/>
          <w:szCs w:val="32"/>
          <w:shd w:val="clear" w:color="auto" w:fill="FFFFFF"/>
        </w:rPr>
      </w:pPr>
      <w:r>
        <w:rPr>
          <w:rFonts w:hint="eastAsia" w:ascii="仿宋_GB2312" w:hAnsi="宋体" w:eastAsia="仿宋_GB2312" w:cs="宋体"/>
          <w:bCs/>
          <w:color w:val="333333"/>
          <w:spacing w:val="0"/>
          <w:kern w:val="0"/>
          <w:sz w:val="32"/>
          <w:szCs w:val="32"/>
          <w:shd w:val="clear" w:color="auto" w:fill="FFFFFF"/>
        </w:rPr>
        <w:t>无二级预算单位</w:t>
      </w:r>
    </w:p>
    <w:p>
      <w:pPr>
        <w:keepNext w:val="0"/>
        <w:keepLines w:val="0"/>
        <w:pageBreakBefore w:val="0"/>
        <w:widowControl/>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宋体" w:eastAsia="仿宋_GB2312" w:cs="宋体"/>
          <w:bCs/>
          <w:color w:val="333333"/>
          <w:spacing w:val="0"/>
          <w:kern w:val="0"/>
          <w:sz w:val="32"/>
          <w:szCs w:val="32"/>
          <w:shd w:val="clear" w:color="auto" w:fill="FFFFFF"/>
        </w:rPr>
      </w:pPr>
    </w:p>
    <w:p>
      <w:pPr>
        <w:keepNext w:val="0"/>
        <w:keepLines w:val="0"/>
        <w:pageBreakBefore w:val="0"/>
        <w:widowControl/>
        <w:numPr>
          <w:ilvl w:val="0"/>
          <w:numId w:val="2"/>
        </w:numPr>
        <w:kinsoku/>
        <w:wordWrap/>
        <w:overflowPunct/>
        <w:topLinePunct w:val="0"/>
        <w:autoSpaceDE/>
        <w:autoSpaceDN/>
        <w:bidi w:val="0"/>
        <w:adjustRightInd/>
        <w:snapToGrid/>
        <w:spacing w:line="560" w:lineRule="exact"/>
        <w:jc w:val="center"/>
        <w:textAlignment w:val="auto"/>
        <w:rPr>
          <w:rFonts w:ascii="黑体" w:hAnsi="黑体" w:eastAsia="黑体" w:cs="黑体"/>
          <w:color w:val="333333"/>
          <w:spacing w:val="0"/>
          <w:kern w:val="0"/>
          <w:sz w:val="36"/>
          <w:szCs w:val="36"/>
        </w:rPr>
      </w:pPr>
      <w:r>
        <w:rPr>
          <w:rFonts w:hint="eastAsia" w:ascii="黑体" w:hAnsi="黑体" w:eastAsia="黑体" w:cs="黑体"/>
          <w:color w:val="333333"/>
          <w:spacing w:val="0"/>
          <w:kern w:val="0"/>
          <w:sz w:val="36"/>
          <w:szCs w:val="36"/>
        </w:rPr>
        <w:t>龙城区营商环境建设局2022年</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333333"/>
          <w:spacing w:val="0"/>
          <w:kern w:val="0"/>
          <w:sz w:val="36"/>
          <w:szCs w:val="36"/>
        </w:rPr>
      </w:pPr>
      <w:r>
        <w:rPr>
          <w:rFonts w:hint="eastAsia" w:ascii="黑体" w:hAnsi="黑体" w:eastAsia="黑体" w:cs="黑体"/>
          <w:color w:val="333333"/>
          <w:spacing w:val="0"/>
          <w:kern w:val="0"/>
          <w:sz w:val="36"/>
          <w:szCs w:val="36"/>
        </w:rPr>
        <w:t>部门预算情况说明</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333333"/>
          <w:spacing w:val="0"/>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宋体" w:hAnsi="宋体" w:eastAsia="宋体" w:cs="宋体"/>
          <w:color w:val="333333"/>
          <w:spacing w:val="0"/>
          <w:kern w:val="0"/>
          <w:sz w:val="32"/>
          <w:szCs w:val="32"/>
        </w:rPr>
      </w:pPr>
      <w:r>
        <w:rPr>
          <w:rFonts w:hint="eastAsia" w:ascii="楷体_GB2312" w:hAnsi="楷体_GB2312" w:eastAsia="楷体_GB2312" w:cs="楷体_GB2312"/>
          <w:b/>
          <w:bCs/>
          <w:color w:val="333333"/>
          <w:spacing w:val="0"/>
          <w:kern w:val="0"/>
          <w:sz w:val="32"/>
          <w:szCs w:val="32"/>
        </w:rPr>
        <w:t xml:space="preserve">    一、收支预算的总体情况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按照综合预算的原则，2022 年所有收入和支出均纳入部门预算管理。其中：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（一）收入预</w:t>
      </w:r>
      <w:r>
        <w:rPr>
          <w:rFonts w:hint="eastAsia" w:ascii="仿宋_GB2312" w:hAnsi="仿宋_GB2312" w:eastAsia="仿宋_GB2312" w:cs="仿宋_GB2312"/>
          <w:color w:val="333333"/>
          <w:spacing w:val="0"/>
          <w:kern w:val="0"/>
          <w:sz w:val="32"/>
          <w:szCs w:val="32"/>
          <w:highlight w:val="none"/>
        </w:rPr>
        <w:t>算</w:t>
      </w:r>
      <w:r>
        <w:rPr>
          <w:rFonts w:hint="eastAsia" w:ascii="仿宋_GB2312" w:hAnsi="仿宋_GB2312" w:eastAsia="仿宋_GB2312" w:cs="仿宋_GB2312"/>
          <w:color w:val="333333"/>
          <w:spacing w:val="0"/>
          <w:kern w:val="0"/>
          <w:sz w:val="32"/>
          <w:szCs w:val="32"/>
          <w:highlight w:val="none"/>
          <w:lang w:val="en-US" w:eastAsia="zh-CN"/>
        </w:rPr>
        <w:t>389.5</w:t>
      </w:r>
      <w:r>
        <w:rPr>
          <w:rFonts w:hint="eastAsia" w:ascii="仿宋_GB2312" w:hAnsi="仿宋_GB2312" w:eastAsia="仿宋_GB2312" w:cs="仿宋_GB2312"/>
          <w:color w:val="333333"/>
          <w:spacing w:val="0"/>
          <w:kern w:val="0"/>
          <w:sz w:val="32"/>
          <w:szCs w:val="32"/>
          <w:highlight w:val="none"/>
        </w:rPr>
        <w:t>万元，</w:t>
      </w:r>
      <w:r>
        <w:rPr>
          <w:rFonts w:hint="eastAsia" w:ascii="仿宋_GB2312" w:hAnsi="仿宋_GB2312" w:eastAsia="仿宋_GB2312" w:cs="仿宋_GB2312"/>
          <w:color w:val="333333"/>
          <w:spacing w:val="0"/>
          <w:kern w:val="0"/>
          <w:sz w:val="32"/>
          <w:szCs w:val="32"/>
        </w:rPr>
        <w:t>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1.一般公共预算拨款收入389.5万元；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2.政府性基金预算拨款收入0万元；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3.国有资本经营预算拨款收入0万元；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4.财政专户管理资金收入0万元；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5.单位资金收入0万元；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6.上年结转结余0万元。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（二）支出预算389.5万元，包括：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1.基本支出389.5万元；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2.项目支出0万元。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在支出预算389.5万元中，债务支出0万元，政府采购支出0万元，政府购买服务支出0万元。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2022年预算收支比 2021 年增加55.88万元。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楷体_GB2312" w:hAnsi="楷体_GB2312" w:eastAsia="楷体_GB2312" w:cs="楷体_GB2312"/>
          <w:b/>
          <w:bCs/>
          <w:color w:val="333333"/>
          <w:spacing w:val="0"/>
          <w:kern w:val="0"/>
          <w:sz w:val="32"/>
          <w:szCs w:val="32"/>
        </w:rPr>
      </w:pPr>
      <w:r>
        <w:rPr>
          <w:rFonts w:hint="eastAsia" w:ascii="楷体_GB2312" w:hAnsi="楷体_GB2312" w:eastAsia="楷体_GB2312" w:cs="楷体_GB2312"/>
          <w:b/>
          <w:bCs/>
          <w:color w:val="333333"/>
          <w:spacing w:val="0"/>
          <w:kern w:val="0"/>
          <w:sz w:val="32"/>
          <w:szCs w:val="32"/>
        </w:rPr>
        <w:t>二、机关运行经费安排情况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2022年机关运行经费预算为39.28万元。主要包括办公费、印刷费、邮电费、差旅费、劳务费、工会经费、公务用车运行维护费、其他交通费用、其他商品和服务支出。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楷体_GB2312" w:hAnsi="楷体_GB2312" w:eastAsia="楷体_GB2312" w:cs="楷体_GB2312"/>
          <w:b/>
          <w:bCs/>
          <w:color w:val="333333"/>
          <w:spacing w:val="0"/>
          <w:kern w:val="0"/>
          <w:sz w:val="32"/>
          <w:szCs w:val="32"/>
        </w:rPr>
      </w:pPr>
      <w:r>
        <w:rPr>
          <w:rFonts w:hint="eastAsia" w:ascii="楷体_GB2312" w:hAnsi="楷体_GB2312" w:eastAsia="楷体_GB2312" w:cs="楷体_GB2312"/>
          <w:b/>
          <w:bCs/>
          <w:color w:val="333333"/>
          <w:spacing w:val="0"/>
          <w:kern w:val="0"/>
          <w:sz w:val="32"/>
          <w:szCs w:val="32"/>
        </w:rPr>
        <w:t>三、政府采购情况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2022年预算无政府采购项目。</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楷体_GB2312" w:hAnsi="楷体_GB2312" w:eastAsia="楷体_GB2312" w:cs="楷体_GB2312"/>
          <w:b/>
          <w:bCs/>
          <w:color w:val="333333"/>
          <w:spacing w:val="0"/>
          <w:kern w:val="0"/>
          <w:sz w:val="32"/>
          <w:szCs w:val="32"/>
        </w:rPr>
      </w:pPr>
      <w:r>
        <w:rPr>
          <w:rFonts w:hint="eastAsia" w:ascii="楷体_GB2312" w:hAnsi="楷体_GB2312" w:eastAsia="楷体_GB2312" w:cs="楷体_GB2312"/>
          <w:b/>
          <w:bCs/>
          <w:color w:val="333333"/>
          <w:spacing w:val="0"/>
          <w:kern w:val="0"/>
          <w:sz w:val="32"/>
          <w:szCs w:val="32"/>
        </w:rPr>
        <w:t>四、“三公”经费预算情况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7.5万元，比上年增加0万元。其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因公出国（境）费0万元，与上年持平。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公务接待费0万元，与上年持平；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公务用车运行费7.5万元，与上年持平。</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楷体_GB2312" w:hAnsi="楷体_GB2312" w:eastAsia="楷体_GB2312" w:cs="楷体_GB2312"/>
          <w:b/>
          <w:bCs/>
          <w:color w:val="333333"/>
          <w:spacing w:val="0"/>
          <w:kern w:val="0"/>
          <w:sz w:val="32"/>
          <w:szCs w:val="32"/>
        </w:rPr>
      </w:pPr>
      <w:r>
        <w:rPr>
          <w:rFonts w:hint="eastAsia" w:ascii="楷体_GB2312" w:hAnsi="楷体_GB2312" w:eastAsia="楷体_GB2312" w:cs="楷体_GB2312"/>
          <w:b/>
          <w:bCs/>
          <w:color w:val="333333"/>
          <w:spacing w:val="0"/>
          <w:kern w:val="0"/>
          <w:sz w:val="32"/>
          <w:szCs w:val="32"/>
        </w:rPr>
        <w:t>五、国有资产占用情况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2022年年初预算购置车辆 0台，金额0万元，单位价值 50 万元以</w:t>
      </w:r>
      <w:bookmarkStart w:id="0" w:name="_GoBack"/>
      <w:bookmarkEnd w:id="0"/>
      <w:r>
        <w:rPr>
          <w:rFonts w:hint="eastAsia" w:ascii="仿宋_GB2312" w:hAnsi="仿宋_GB2312" w:eastAsia="仿宋_GB2312" w:cs="仿宋_GB2312"/>
          <w:color w:val="333333"/>
          <w:spacing w:val="0"/>
          <w:kern w:val="0"/>
          <w:sz w:val="32"/>
          <w:szCs w:val="32"/>
        </w:rPr>
        <w:t>上的通用设备 0台，单位价值 100万元以上的专用设备 0台。</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楷体_GB2312" w:hAnsi="楷体_GB2312" w:eastAsia="楷体_GB2312" w:cs="楷体_GB2312"/>
          <w:b/>
          <w:bCs/>
          <w:color w:val="333333"/>
          <w:spacing w:val="0"/>
          <w:kern w:val="0"/>
          <w:sz w:val="32"/>
          <w:szCs w:val="32"/>
        </w:rPr>
      </w:pPr>
      <w:r>
        <w:rPr>
          <w:rFonts w:hint="eastAsia" w:ascii="楷体_GB2312" w:hAnsi="楷体_GB2312" w:eastAsia="楷体_GB2312" w:cs="楷体_GB2312"/>
          <w:b/>
          <w:bCs/>
          <w:color w:val="333333"/>
          <w:spacing w:val="0"/>
          <w:kern w:val="0"/>
          <w:sz w:val="32"/>
          <w:szCs w:val="32"/>
        </w:rPr>
        <w:t>六、预算绩效目标情况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333333"/>
          <w:spacing w:val="0"/>
          <w:kern w:val="0"/>
          <w:sz w:val="32"/>
          <w:szCs w:val="32"/>
        </w:rPr>
      </w:pPr>
      <w:r>
        <w:rPr>
          <w:rFonts w:hint="eastAsia" w:ascii="仿宋_GB2312" w:hAnsi="仿宋_GB2312" w:eastAsia="仿宋_GB2312" w:cs="仿宋_GB2312"/>
          <w:color w:val="333333"/>
          <w:spacing w:val="0"/>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0个，实际编制绩效目标的特定目标类项目共 0个,涉及资金0万元，编制特定目标的项目覆盖率（实际编制绩效目标的数量/应编制绩效目标的数量）为100%。</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333333"/>
          <w:spacing w:val="0"/>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黑体"/>
          <w:color w:val="333333"/>
          <w:spacing w:val="0"/>
          <w:kern w:val="0"/>
          <w:sz w:val="36"/>
          <w:szCs w:val="36"/>
        </w:rPr>
      </w:pPr>
      <w:r>
        <w:rPr>
          <w:rFonts w:hint="eastAsia" w:ascii="黑体" w:hAnsi="黑体" w:eastAsia="黑体" w:cs="黑体"/>
          <w:color w:val="333333"/>
          <w:spacing w:val="0"/>
          <w:kern w:val="0"/>
          <w:sz w:val="36"/>
          <w:szCs w:val="36"/>
        </w:rPr>
        <w:t>第三部分 名词解释</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宋体" w:hAnsi="宋体" w:eastAsia="宋体" w:cs="宋体"/>
          <w:color w:val="333333"/>
          <w:spacing w:val="0"/>
          <w:kern w:val="0"/>
          <w:sz w:val="36"/>
          <w:szCs w:val="36"/>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333333"/>
          <w:spacing w:val="0"/>
          <w:kern w:val="0"/>
          <w:sz w:val="32"/>
          <w:szCs w:val="32"/>
          <w:shd w:val="clear" w:color="auto" w:fill="FFFFFF"/>
        </w:rPr>
      </w:pPr>
      <w:r>
        <w:rPr>
          <w:rFonts w:hint="eastAsia" w:ascii="仿宋_GB2312" w:hAnsi="仿宋_GB2312" w:eastAsia="仿宋_GB2312" w:cs="仿宋_GB2312"/>
          <w:b/>
          <w:bCs/>
          <w:color w:val="333333"/>
          <w:spacing w:val="0"/>
          <w:kern w:val="0"/>
          <w:sz w:val="32"/>
          <w:szCs w:val="32"/>
          <w:shd w:val="clear" w:color="auto" w:fill="FFFFFF"/>
        </w:rPr>
        <w:t>1.一般公共预算拨款收入：</w:t>
      </w:r>
      <w:r>
        <w:rPr>
          <w:rFonts w:hint="eastAsia" w:ascii="仿宋_GB2312" w:hAnsi="仿宋_GB2312" w:eastAsia="仿宋_GB2312" w:cs="仿宋_GB2312"/>
          <w:color w:val="333333"/>
          <w:spacing w:val="0"/>
          <w:kern w:val="0"/>
          <w:sz w:val="32"/>
          <w:szCs w:val="32"/>
          <w:shd w:val="clear" w:color="auto" w:fill="FFFFFF"/>
        </w:rPr>
        <w:t>指区级财政当年拨付的资金。</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333333"/>
          <w:spacing w:val="0"/>
          <w:kern w:val="0"/>
          <w:sz w:val="32"/>
          <w:szCs w:val="32"/>
          <w:shd w:val="clear" w:color="auto" w:fill="FFFFFF"/>
        </w:rPr>
      </w:pPr>
      <w:r>
        <w:rPr>
          <w:rFonts w:hint="eastAsia" w:ascii="仿宋_GB2312" w:hAnsi="仿宋_GB2312" w:eastAsia="仿宋_GB2312" w:cs="仿宋_GB2312"/>
          <w:b/>
          <w:bCs/>
          <w:color w:val="333333"/>
          <w:spacing w:val="0"/>
          <w:kern w:val="0"/>
          <w:sz w:val="32"/>
          <w:szCs w:val="32"/>
          <w:shd w:val="clear" w:color="auto" w:fill="FFFFFF"/>
        </w:rPr>
        <w:t>2.基本支出：</w:t>
      </w:r>
      <w:r>
        <w:rPr>
          <w:rFonts w:hint="eastAsia" w:ascii="仿宋_GB2312" w:hAnsi="仿宋_GB2312" w:eastAsia="仿宋_GB2312" w:cs="仿宋_GB2312"/>
          <w:color w:val="333333"/>
          <w:spacing w:val="0"/>
          <w:kern w:val="0"/>
          <w:sz w:val="32"/>
          <w:szCs w:val="32"/>
          <w:shd w:val="clear" w:color="auto" w:fill="FFFFFF"/>
        </w:rPr>
        <w:t>指保障机构正常运转、完成日常工作任务而发生的人员经费和公用经费。</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333333"/>
          <w:spacing w:val="0"/>
          <w:kern w:val="0"/>
          <w:sz w:val="32"/>
          <w:szCs w:val="32"/>
          <w:shd w:val="clear" w:color="auto" w:fill="FFFFFF"/>
        </w:rPr>
      </w:pPr>
      <w:r>
        <w:rPr>
          <w:rFonts w:hint="eastAsia" w:ascii="仿宋_GB2312" w:hAnsi="仿宋_GB2312" w:eastAsia="仿宋_GB2312" w:cs="仿宋_GB2312"/>
          <w:b/>
          <w:bCs/>
          <w:color w:val="333333"/>
          <w:spacing w:val="0"/>
          <w:kern w:val="0"/>
          <w:sz w:val="32"/>
          <w:szCs w:val="32"/>
          <w:shd w:val="clear" w:color="auto" w:fill="FFFFFF"/>
        </w:rPr>
        <w:t>3.项目支出：</w:t>
      </w:r>
      <w:r>
        <w:rPr>
          <w:rFonts w:hint="eastAsia" w:ascii="仿宋_GB2312" w:hAnsi="仿宋_GB2312" w:eastAsia="仿宋_GB2312" w:cs="仿宋_GB2312"/>
          <w:color w:val="333333"/>
          <w:spacing w:val="0"/>
          <w:kern w:val="0"/>
          <w:sz w:val="32"/>
          <w:szCs w:val="32"/>
          <w:shd w:val="clear" w:color="auto" w:fill="FFFFFF"/>
        </w:rPr>
        <w:t>指在基本支出之外为完成特定工作任务和事业发展目标所发生的支出。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333333"/>
          <w:spacing w:val="0"/>
          <w:kern w:val="0"/>
          <w:sz w:val="32"/>
          <w:szCs w:val="32"/>
          <w:shd w:val="clear" w:color="auto" w:fill="FFFFFF"/>
        </w:rPr>
      </w:pPr>
      <w:r>
        <w:rPr>
          <w:rFonts w:hint="eastAsia" w:ascii="仿宋_GB2312" w:hAnsi="仿宋_GB2312" w:eastAsia="仿宋_GB2312" w:cs="仿宋_GB2312"/>
          <w:b/>
          <w:bCs/>
          <w:color w:val="333333"/>
          <w:spacing w:val="0"/>
          <w:kern w:val="0"/>
          <w:sz w:val="32"/>
          <w:szCs w:val="32"/>
          <w:shd w:val="clear" w:color="auto" w:fill="FFFFFF"/>
        </w:rPr>
        <w:t>4.“三公”经费：</w:t>
      </w:r>
      <w:r>
        <w:rPr>
          <w:rFonts w:hint="eastAsia" w:ascii="仿宋_GB2312" w:hAnsi="仿宋_GB2312" w:eastAsia="仿宋_GB2312" w:cs="仿宋_GB2312"/>
          <w:color w:val="333333"/>
          <w:spacing w:val="0"/>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333333"/>
          <w:spacing w:val="0"/>
          <w:kern w:val="0"/>
          <w:sz w:val="32"/>
          <w:szCs w:val="32"/>
          <w:shd w:val="clear" w:color="auto" w:fill="FFFFFF"/>
        </w:rPr>
      </w:pPr>
      <w:r>
        <w:rPr>
          <w:rFonts w:hint="eastAsia" w:ascii="仿宋_GB2312" w:hAnsi="仿宋_GB2312" w:eastAsia="仿宋_GB2312" w:cs="仿宋_GB2312"/>
          <w:b/>
          <w:bCs/>
          <w:color w:val="333333"/>
          <w:spacing w:val="0"/>
          <w:kern w:val="0"/>
          <w:sz w:val="32"/>
          <w:szCs w:val="32"/>
          <w:shd w:val="clear" w:color="auto" w:fill="FFFFFF"/>
        </w:rPr>
        <w:t>5.一般公共服务（类）政府办公厅（室）及相关机构事务03（款）行政运行01（项）：</w:t>
      </w:r>
      <w:r>
        <w:rPr>
          <w:rFonts w:hint="eastAsia" w:ascii="仿宋_GB2312" w:hAnsi="仿宋_GB2312" w:eastAsia="仿宋_GB2312" w:cs="仿宋_GB2312"/>
          <w:color w:val="333333"/>
          <w:spacing w:val="0"/>
          <w:kern w:val="0"/>
          <w:sz w:val="32"/>
          <w:szCs w:val="32"/>
          <w:shd w:val="clear" w:color="auto" w:fill="FFFFFF"/>
        </w:rPr>
        <w:t>反映行政单位（包括实行公务员管理的事业单位）的基本支出。</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333333"/>
          <w:spacing w:val="0"/>
          <w:kern w:val="0"/>
          <w:sz w:val="32"/>
          <w:szCs w:val="32"/>
          <w:shd w:val="clear" w:color="auto" w:fill="FFFFFF"/>
        </w:rPr>
      </w:pPr>
      <w:r>
        <w:rPr>
          <w:rFonts w:hint="eastAsia" w:ascii="仿宋_GB2312" w:hAnsi="仿宋_GB2312" w:eastAsia="仿宋_GB2312" w:cs="仿宋_GB2312"/>
          <w:b/>
          <w:bCs/>
          <w:color w:val="333333"/>
          <w:spacing w:val="0"/>
          <w:kern w:val="0"/>
          <w:sz w:val="32"/>
          <w:szCs w:val="32"/>
          <w:highlight w:val="none"/>
          <w:shd w:val="clear" w:color="auto" w:fill="FFFFFF"/>
          <w:lang w:val="en-US" w:eastAsia="zh-CN"/>
        </w:rPr>
        <w:t>6</w:t>
      </w:r>
      <w:r>
        <w:rPr>
          <w:rFonts w:hint="eastAsia" w:ascii="仿宋_GB2312" w:hAnsi="仿宋_GB2312" w:eastAsia="仿宋_GB2312" w:cs="仿宋_GB2312"/>
          <w:b/>
          <w:bCs/>
          <w:color w:val="333333"/>
          <w:spacing w:val="0"/>
          <w:kern w:val="0"/>
          <w:sz w:val="32"/>
          <w:szCs w:val="32"/>
          <w:shd w:val="clear" w:color="auto" w:fill="FFFFFF"/>
        </w:rPr>
        <w:t>.社会保障和就业（类）行政事业单位离退休05（款）归口管理的行政单位离退休01（项）：</w:t>
      </w:r>
      <w:r>
        <w:rPr>
          <w:rFonts w:hint="eastAsia" w:ascii="仿宋_GB2312" w:hAnsi="仿宋_GB2312" w:eastAsia="仿宋_GB2312" w:cs="仿宋_GB2312"/>
          <w:color w:val="333333"/>
          <w:spacing w:val="0"/>
          <w:kern w:val="0"/>
          <w:sz w:val="32"/>
          <w:szCs w:val="32"/>
          <w:shd w:val="clear" w:color="auto" w:fill="FFFFFF"/>
        </w:rPr>
        <w:t>反映行政单位（包括实行公务员管理的事业单位）开支的离退休经费。</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b/>
          <w:bCs/>
          <w:color w:val="333333"/>
          <w:spacing w:val="0"/>
          <w:kern w:val="0"/>
          <w:sz w:val="32"/>
          <w:szCs w:val="32"/>
          <w:shd w:val="clear" w:color="auto" w:fill="FFFFFF"/>
        </w:rPr>
      </w:pPr>
      <w:r>
        <w:rPr>
          <w:rFonts w:hint="eastAsia" w:ascii="仿宋_GB2312" w:hAnsi="仿宋_GB2312" w:eastAsia="仿宋_GB2312" w:cs="仿宋_GB2312"/>
          <w:b/>
          <w:bCs/>
          <w:color w:val="333333"/>
          <w:spacing w:val="0"/>
          <w:kern w:val="0"/>
          <w:sz w:val="32"/>
          <w:szCs w:val="32"/>
          <w:shd w:val="clear" w:color="auto" w:fill="FFFFFF"/>
          <w:lang w:val="en-US" w:eastAsia="zh-CN"/>
        </w:rPr>
        <w:t>7</w:t>
      </w:r>
      <w:r>
        <w:rPr>
          <w:rFonts w:hint="eastAsia" w:ascii="仿宋_GB2312" w:hAnsi="仿宋_GB2312" w:eastAsia="仿宋_GB2312" w:cs="仿宋_GB2312"/>
          <w:b/>
          <w:bCs/>
          <w:color w:val="333333"/>
          <w:spacing w:val="0"/>
          <w:kern w:val="0"/>
          <w:sz w:val="32"/>
          <w:szCs w:val="32"/>
          <w:shd w:val="clear" w:color="auto" w:fill="FFFFFF"/>
        </w:rPr>
        <w:t>.社会保障和就业（类）行政事业单位养老支出05（款）基本养老保险单位缴费05（项）：</w:t>
      </w:r>
      <w:r>
        <w:rPr>
          <w:rFonts w:hint="eastAsia" w:ascii="仿宋_GB2312" w:hAnsi="仿宋_GB2312" w:eastAsia="仿宋_GB2312" w:cs="仿宋_GB2312"/>
          <w:color w:val="333333"/>
          <w:spacing w:val="0"/>
          <w:kern w:val="0"/>
          <w:sz w:val="32"/>
          <w:szCs w:val="32"/>
          <w:shd w:val="clear" w:color="auto" w:fill="FFFFFF"/>
        </w:rPr>
        <w:t>反映机关事业单位实施养老保险制度由单位实际缴纳的基本养老保险费支出。</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333333"/>
          <w:spacing w:val="0"/>
          <w:kern w:val="0"/>
          <w:sz w:val="32"/>
          <w:szCs w:val="32"/>
          <w:shd w:val="clear" w:color="auto" w:fill="FFFFFF"/>
        </w:rPr>
      </w:pPr>
      <w:r>
        <w:rPr>
          <w:rFonts w:hint="eastAsia" w:ascii="仿宋_GB2312" w:hAnsi="仿宋_GB2312" w:eastAsia="仿宋_GB2312" w:cs="仿宋_GB2312"/>
          <w:b/>
          <w:bCs/>
          <w:color w:val="333333"/>
          <w:spacing w:val="0"/>
          <w:kern w:val="0"/>
          <w:sz w:val="32"/>
          <w:szCs w:val="32"/>
          <w:shd w:val="clear" w:color="auto" w:fill="FFFFFF"/>
          <w:lang w:val="en-US" w:eastAsia="zh-CN"/>
        </w:rPr>
        <w:t>8</w:t>
      </w:r>
      <w:r>
        <w:rPr>
          <w:rFonts w:hint="eastAsia" w:ascii="仿宋_GB2312" w:hAnsi="仿宋_GB2312" w:eastAsia="仿宋_GB2312" w:cs="仿宋_GB2312"/>
          <w:b/>
          <w:bCs/>
          <w:color w:val="333333"/>
          <w:spacing w:val="0"/>
          <w:kern w:val="0"/>
          <w:sz w:val="32"/>
          <w:szCs w:val="32"/>
          <w:shd w:val="clear" w:color="auto" w:fill="FFFFFF"/>
        </w:rPr>
        <w:t>.住房保障（类）住房改革02（款）住房公积金01（项）：</w:t>
      </w:r>
      <w:r>
        <w:rPr>
          <w:rFonts w:hint="eastAsia" w:ascii="仿宋_GB2312" w:hAnsi="仿宋_GB2312" w:eastAsia="仿宋_GB2312" w:cs="仿宋_GB2312"/>
          <w:color w:val="333333"/>
          <w:spacing w:val="0"/>
          <w:kern w:val="0"/>
          <w:sz w:val="32"/>
          <w:szCs w:val="32"/>
          <w:shd w:val="clear" w:color="auto" w:fill="FFFFFF"/>
        </w:rPr>
        <w:t>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333333"/>
          <w:spacing w:val="0"/>
          <w:kern w:val="0"/>
          <w:sz w:val="32"/>
          <w:szCs w:val="32"/>
          <w:shd w:val="clear" w:color="auto" w:fill="FFFFFF"/>
        </w:rPr>
      </w:pPr>
      <w:r>
        <w:rPr>
          <w:rFonts w:hint="eastAsia" w:ascii="仿宋_GB2312" w:hAnsi="仿宋_GB2312" w:eastAsia="仿宋_GB2312" w:cs="仿宋_GB2312"/>
          <w:b/>
          <w:bCs/>
          <w:color w:val="333333"/>
          <w:spacing w:val="0"/>
          <w:kern w:val="0"/>
          <w:sz w:val="32"/>
          <w:szCs w:val="32"/>
          <w:shd w:val="clear" w:color="auto" w:fill="FFFFFF"/>
          <w:lang w:val="en-US" w:eastAsia="zh-CN"/>
        </w:rPr>
        <w:t>9</w:t>
      </w:r>
      <w:r>
        <w:rPr>
          <w:rFonts w:hint="eastAsia" w:ascii="仿宋_GB2312" w:hAnsi="仿宋_GB2312" w:eastAsia="仿宋_GB2312" w:cs="仿宋_GB2312"/>
          <w:b/>
          <w:bCs/>
          <w:color w:val="333333"/>
          <w:spacing w:val="0"/>
          <w:kern w:val="0"/>
          <w:sz w:val="32"/>
          <w:szCs w:val="32"/>
          <w:shd w:val="clear" w:color="auto" w:fill="FFFFFF"/>
        </w:rPr>
        <w:t>.卫生健康支出（类）行政事业单位医疗11（款）行政单位医疗01（项）：</w:t>
      </w:r>
      <w:r>
        <w:rPr>
          <w:rFonts w:hint="eastAsia" w:ascii="仿宋_GB2312" w:hAnsi="仿宋_GB2312" w:eastAsia="仿宋_GB2312" w:cs="仿宋_GB2312"/>
          <w:color w:val="333333"/>
          <w:spacing w:val="0"/>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333333"/>
          <w:spacing w:val="0"/>
          <w:kern w:val="0"/>
          <w:sz w:val="32"/>
          <w:szCs w:val="32"/>
          <w:shd w:val="clear" w:color="auto" w:fill="FFFFFF"/>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宋体"/>
          <w:color w:val="333333"/>
          <w:spacing w:val="0"/>
          <w:kern w:val="0"/>
          <w:sz w:val="36"/>
          <w:szCs w:val="36"/>
          <w:highlight w:val="yellow"/>
        </w:rPr>
      </w:pPr>
      <w:r>
        <w:rPr>
          <w:rFonts w:hint="eastAsia" w:ascii="黑体" w:hAnsi="黑体" w:eastAsia="黑体" w:cs="黑体"/>
          <w:color w:val="333333"/>
          <w:spacing w:val="0"/>
          <w:kern w:val="0"/>
          <w:sz w:val="36"/>
          <w:szCs w:val="36"/>
        </w:rPr>
        <w:t>第</w:t>
      </w:r>
      <w:r>
        <w:rPr>
          <w:rFonts w:hint="eastAsia" w:ascii="黑体" w:hAnsi="黑体" w:eastAsia="黑体" w:cs="黑体"/>
          <w:color w:val="333333"/>
          <w:spacing w:val="0"/>
          <w:kern w:val="0"/>
          <w:sz w:val="36"/>
          <w:szCs w:val="36"/>
          <w:lang w:eastAsia="zh-CN"/>
        </w:rPr>
        <w:t>四</w:t>
      </w:r>
      <w:r>
        <w:rPr>
          <w:rFonts w:hint="eastAsia" w:ascii="黑体" w:hAnsi="黑体" w:eastAsia="黑体" w:cs="黑体"/>
          <w:color w:val="333333"/>
          <w:spacing w:val="0"/>
          <w:kern w:val="0"/>
          <w:sz w:val="36"/>
          <w:szCs w:val="36"/>
        </w:rPr>
        <w:t>部分</w:t>
      </w:r>
      <w:r>
        <w:rPr>
          <w:rFonts w:hint="eastAsia" w:ascii="黑体" w:hAnsi="黑体" w:eastAsia="黑体" w:cs="黑体"/>
          <w:color w:val="333333"/>
          <w:spacing w:val="0"/>
          <w:kern w:val="0"/>
          <w:sz w:val="36"/>
          <w:szCs w:val="36"/>
          <w:lang w:val="en-US" w:eastAsia="zh-CN"/>
        </w:rPr>
        <w:t xml:space="preserve"> </w:t>
      </w:r>
      <w:r>
        <w:rPr>
          <w:rFonts w:hint="eastAsia" w:ascii="黑体" w:hAnsi="黑体" w:eastAsia="黑体" w:cs="宋体"/>
          <w:color w:val="333333"/>
          <w:spacing w:val="0"/>
          <w:kern w:val="0"/>
          <w:sz w:val="36"/>
          <w:szCs w:val="36"/>
        </w:rPr>
        <w:t>2022年龙城区</w:t>
      </w:r>
      <w:r>
        <w:rPr>
          <w:rFonts w:hint="eastAsia" w:ascii="黑体" w:hAnsi="黑体" w:eastAsia="黑体" w:cs="宋体"/>
          <w:color w:val="333333"/>
          <w:spacing w:val="0"/>
          <w:kern w:val="0"/>
          <w:sz w:val="36"/>
          <w:szCs w:val="36"/>
          <w:lang w:eastAsia="zh-CN"/>
        </w:rPr>
        <w:t>营商环境建设</w:t>
      </w:r>
      <w:r>
        <w:rPr>
          <w:rFonts w:hint="eastAsia" w:ascii="黑体" w:hAnsi="黑体" w:eastAsia="黑体" w:cs="宋体"/>
          <w:color w:val="333333"/>
          <w:spacing w:val="0"/>
          <w:kern w:val="0"/>
          <w:sz w:val="36"/>
          <w:szCs w:val="36"/>
          <w:highlight w:val="none"/>
        </w:rPr>
        <w:t>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center"/>
        <w:textAlignment w:val="auto"/>
        <w:rPr>
          <w:rFonts w:ascii="黑体" w:hAnsi="黑体" w:eastAsia="黑体" w:cs="宋体"/>
          <w:color w:val="333333"/>
          <w:spacing w:val="0"/>
          <w:kern w:val="0"/>
          <w:sz w:val="36"/>
          <w:szCs w:val="36"/>
        </w:rPr>
      </w:pPr>
      <w:r>
        <w:rPr>
          <w:rFonts w:hint="eastAsia" w:ascii="黑体" w:hAnsi="黑体" w:eastAsia="黑体" w:cs="宋体"/>
          <w:color w:val="333333"/>
          <w:spacing w:val="0"/>
          <w:kern w:val="0"/>
          <w:sz w:val="36"/>
          <w:szCs w:val="36"/>
        </w:rPr>
        <w:t>部门预算批复表</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333333"/>
          <w:spacing w:val="0"/>
          <w:kern w:val="0"/>
          <w:sz w:val="36"/>
          <w:szCs w:val="36"/>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spacing w:val="0"/>
          <w:kern w:val="0"/>
          <w:sz w:val="36"/>
          <w:szCs w:val="36"/>
        </w:rPr>
      </w:pPr>
      <w:r>
        <w:rPr>
          <w:rFonts w:hint="eastAsia" w:ascii="仿宋_GB2312" w:hAnsi="宋体" w:eastAsia="仿宋_GB2312" w:cs="宋体"/>
          <w:color w:val="333333"/>
          <w:spacing w:val="0"/>
          <w:kern w:val="0"/>
          <w:sz w:val="32"/>
          <w:szCs w:val="32"/>
          <w:shd w:val="clear" w:color="auto" w:fill="FFFFFF"/>
        </w:rPr>
        <w:t>详见附表：</w:t>
      </w:r>
      <w:r>
        <w:rPr>
          <w:rFonts w:hint="eastAsia" w:ascii="仿宋_GB2312" w:hAnsi="宋体" w:eastAsia="仿宋_GB2312" w:cs="宋体"/>
          <w:color w:val="333333"/>
          <w:spacing w:val="0"/>
          <w:kern w:val="0"/>
          <w:sz w:val="32"/>
          <w:szCs w:val="32"/>
        </w:rPr>
        <w:t>2022年龙城</w:t>
      </w:r>
      <w:r>
        <w:rPr>
          <w:rFonts w:hint="eastAsia" w:ascii="仿宋_GB2312" w:hAnsi="宋体" w:eastAsia="仿宋_GB2312" w:cs="宋体"/>
          <w:color w:val="333333"/>
          <w:spacing w:val="0"/>
          <w:kern w:val="0"/>
          <w:sz w:val="32"/>
          <w:szCs w:val="32"/>
          <w:highlight w:val="none"/>
        </w:rPr>
        <w:t>区</w:t>
      </w:r>
      <w:r>
        <w:rPr>
          <w:rFonts w:hint="eastAsia" w:ascii="仿宋_GB2312" w:hAnsi="宋体" w:eastAsia="仿宋_GB2312" w:cs="宋体"/>
          <w:color w:val="333333"/>
          <w:spacing w:val="0"/>
          <w:kern w:val="0"/>
          <w:sz w:val="32"/>
          <w:szCs w:val="32"/>
          <w:highlight w:val="none"/>
          <w:lang w:eastAsia="zh-CN"/>
        </w:rPr>
        <w:t>营商环境建设</w:t>
      </w:r>
      <w:r>
        <w:rPr>
          <w:rFonts w:hint="eastAsia" w:ascii="仿宋_GB2312" w:hAnsi="宋体" w:eastAsia="仿宋_GB2312" w:cs="宋体"/>
          <w:color w:val="333333"/>
          <w:spacing w:val="0"/>
          <w:kern w:val="0"/>
          <w:sz w:val="32"/>
          <w:szCs w:val="32"/>
          <w:highlight w:val="none"/>
        </w:rPr>
        <w:t>局部门预</w:t>
      </w:r>
      <w:r>
        <w:rPr>
          <w:rFonts w:hint="eastAsia" w:ascii="仿宋_GB2312" w:hAnsi="宋体" w:eastAsia="仿宋_GB2312" w:cs="宋体"/>
          <w:color w:val="333333"/>
          <w:spacing w:val="0"/>
          <w:kern w:val="0"/>
          <w:sz w:val="32"/>
          <w:szCs w:val="32"/>
        </w:rPr>
        <w:t>算批复表</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仿宋_GB2312" w:eastAsia="仿宋_GB2312"/>
          <w:spacing w:val="0"/>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88D16"/>
    <w:multiLevelType w:val="singleLevel"/>
    <w:tmpl w:val="05388D16"/>
    <w:lvl w:ilvl="0" w:tentative="0">
      <w:start w:val="2"/>
      <w:numFmt w:val="chineseCounting"/>
      <w:suff w:val="space"/>
      <w:lvlText w:val="第%1部分"/>
      <w:lvlJc w:val="left"/>
      <w:rPr>
        <w:rFonts w:hint="eastAsia"/>
      </w:rPr>
    </w:lvl>
  </w:abstractNum>
  <w:abstractNum w:abstractNumId="1">
    <w:nsid w:val="179F06F7"/>
    <w:multiLevelType w:val="singleLevel"/>
    <w:tmpl w:val="179F06F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16D6E"/>
    <w:rsid w:val="00220C5F"/>
    <w:rsid w:val="00225BC5"/>
    <w:rsid w:val="0023397A"/>
    <w:rsid w:val="00234682"/>
    <w:rsid w:val="002732A0"/>
    <w:rsid w:val="00276547"/>
    <w:rsid w:val="00292080"/>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346A4"/>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0ED9"/>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3383090"/>
    <w:rsid w:val="05645DD5"/>
    <w:rsid w:val="069A0522"/>
    <w:rsid w:val="07577003"/>
    <w:rsid w:val="09E72BD8"/>
    <w:rsid w:val="0A36131A"/>
    <w:rsid w:val="0AB56D99"/>
    <w:rsid w:val="0BA565F7"/>
    <w:rsid w:val="0BDA647E"/>
    <w:rsid w:val="0C35242B"/>
    <w:rsid w:val="0F591929"/>
    <w:rsid w:val="0FF03899"/>
    <w:rsid w:val="104F3F68"/>
    <w:rsid w:val="117440E6"/>
    <w:rsid w:val="11E76422"/>
    <w:rsid w:val="12CB18A0"/>
    <w:rsid w:val="13CC58CF"/>
    <w:rsid w:val="14427960"/>
    <w:rsid w:val="158E2CBD"/>
    <w:rsid w:val="1A765A93"/>
    <w:rsid w:val="1D11562F"/>
    <w:rsid w:val="21C1397C"/>
    <w:rsid w:val="21D17276"/>
    <w:rsid w:val="22E542B8"/>
    <w:rsid w:val="23446E27"/>
    <w:rsid w:val="236C6124"/>
    <w:rsid w:val="23B26890"/>
    <w:rsid w:val="249B7324"/>
    <w:rsid w:val="26695A88"/>
    <w:rsid w:val="2D241E80"/>
    <w:rsid w:val="2F6173BC"/>
    <w:rsid w:val="32556A4E"/>
    <w:rsid w:val="3472519E"/>
    <w:rsid w:val="3B441E7E"/>
    <w:rsid w:val="3C6077A7"/>
    <w:rsid w:val="43DB7B6E"/>
    <w:rsid w:val="43F93103"/>
    <w:rsid w:val="445C5E8E"/>
    <w:rsid w:val="46CD67DA"/>
    <w:rsid w:val="46D4694A"/>
    <w:rsid w:val="473009C5"/>
    <w:rsid w:val="4A070779"/>
    <w:rsid w:val="4AFD458C"/>
    <w:rsid w:val="4C9128A0"/>
    <w:rsid w:val="4CC96874"/>
    <w:rsid w:val="51DD247A"/>
    <w:rsid w:val="52B7716F"/>
    <w:rsid w:val="541B5AFB"/>
    <w:rsid w:val="575E4DE2"/>
    <w:rsid w:val="5CBA6F65"/>
    <w:rsid w:val="5DAF12A2"/>
    <w:rsid w:val="5DBF724B"/>
    <w:rsid w:val="604B01CA"/>
    <w:rsid w:val="61225E25"/>
    <w:rsid w:val="61437529"/>
    <w:rsid w:val="625422E5"/>
    <w:rsid w:val="62757F11"/>
    <w:rsid w:val="631D52D5"/>
    <w:rsid w:val="65C63716"/>
    <w:rsid w:val="65DF0A5F"/>
    <w:rsid w:val="662A7F2C"/>
    <w:rsid w:val="69F3213C"/>
    <w:rsid w:val="6AE306AA"/>
    <w:rsid w:val="6BE13612"/>
    <w:rsid w:val="6D920165"/>
    <w:rsid w:val="6E5B298D"/>
    <w:rsid w:val="6EA27A4F"/>
    <w:rsid w:val="701F4FF2"/>
    <w:rsid w:val="71427AE3"/>
    <w:rsid w:val="723B31C2"/>
    <w:rsid w:val="729B1828"/>
    <w:rsid w:val="77D75F05"/>
    <w:rsid w:val="79615874"/>
    <w:rsid w:val="79D66413"/>
    <w:rsid w:val="79ED654D"/>
    <w:rsid w:val="7B611298"/>
    <w:rsid w:val="7BAC195A"/>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2786</Words>
  <Characters>290</Characters>
  <Lines>2</Lines>
  <Paragraphs>6</Paragraphs>
  <TotalTime>11</TotalTime>
  <ScaleCrop>false</ScaleCrop>
  <LinksUpToDate>false</LinksUpToDate>
  <CharactersWithSpaces>3070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』晴天娃娃</cp:lastModifiedBy>
  <cp:lastPrinted>2022-01-06T02:11:00Z</cp:lastPrinted>
  <dcterms:modified xsi:type="dcterms:W3CDTF">2022-01-12T08:24:34Z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0A46C5CB5A25427DA26057A03F87D632</vt:lpwstr>
  </property>
</Properties>
</file>