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龙城区旅游局部门预算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2022年龙城区旅游局部门预算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龙城区旅游局概况</w:t>
      </w:r>
    </w:p>
    <w:p>
      <w:pPr>
        <w:ind w:firstLine="640" w:firstLineChars="200"/>
        <w:rPr>
          <w:rFonts w:ascii="仿宋" w:hAnsi="仿宋" w:eastAsia="仿宋" w:cs="仿宋"/>
          <w:sz w:val="32"/>
          <w:szCs w:val="32"/>
        </w:rPr>
      </w:pPr>
      <w:r>
        <w:rPr>
          <w:rFonts w:hint="eastAsia" w:ascii="宋体" w:hAnsi="宋体" w:eastAsia="宋体" w:cs="宋体"/>
          <w:bCs/>
          <w:color w:val="333333"/>
          <w:kern w:val="0"/>
          <w:sz w:val="32"/>
          <w:szCs w:val="32"/>
          <w:shd w:val="clear" w:color="auto" w:fill="FFFFFF"/>
        </w:rPr>
        <w:t>一、主要职责：</w:t>
      </w:r>
    </w:p>
    <w:p>
      <w:pPr>
        <w:ind w:firstLine="640" w:firstLineChars="200"/>
        <w:jc w:val="left"/>
        <w:rPr>
          <w:rFonts w:ascii="仿宋" w:hAnsi="仿宋" w:eastAsia="仿宋"/>
          <w:sz w:val="32"/>
          <w:szCs w:val="32"/>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龙城区旅游局2022年部门预算情况说明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2022年龙城区旅游局部门预算批复表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ind w:firstLine="1800" w:firstLineChars="500"/>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龙城区旅游局概况</w:t>
      </w:r>
    </w:p>
    <w:p>
      <w:pPr>
        <w:ind w:firstLine="643" w:firstLineChars="200"/>
        <w:rPr>
          <w:rFonts w:hint="eastAsia" w:ascii="楷体_GB2312" w:hAnsi="楷体_GB2312" w:eastAsia="楷体_GB2312" w:cs="楷体_GB2312"/>
          <w:b/>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一、主要职责</w:t>
      </w:r>
    </w:p>
    <w:p>
      <w:pPr>
        <w:ind w:firstLine="640" w:firstLineChars="200"/>
        <w:rPr>
          <w:rFonts w:ascii="仿宋_GB2312" w:hAnsi="仿宋_GB2312" w:eastAsia="仿宋_GB2312" w:cs="仿宋_GB2312"/>
          <w:color w:val="333333"/>
          <w:kern w:val="0"/>
          <w:sz w:val="32"/>
          <w:szCs w:val="32"/>
          <w:shd w:val="clear" w:color="auto" w:fill="FFFFFF"/>
        </w:rPr>
      </w:pPr>
      <w:r>
        <w:rPr>
          <w:rFonts w:hint="eastAsia" w:ascii="仿宋" w:hAnsi="仿宋" w:eastAsia="仿宋" w:cs="仿宋"/>
          <w:sz w:val="32"/>
          <w:szCs w:val="32"/>
        </w:rPr>
        <w:t>负责制定龙城区旅游近期和长远发展规划；负责对龙城区旅游资源和景点进行宣传；加强对区域旅游资源的管理；负责对龙城区区域内的旅游资源开发和利用；负责对全区各旅游景点质量的监督和检查；负责对全区旅游安全的监督和检查；负责对全区旅游方面政策和法规制定及贯彻执行情况监督和检查；加强全区旅游资源的对外联络和促进；负责对全各旅游景点、景区收入等各种情况的统计和指导；完成区委、区政府交办的各项任务。</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1、龙城区旅游局本级</w:t>
      </w:r>
    </w:p>
    <w:p>
      <w:pPr>
        <w:widowControl/>
        <w:spacing w:line="560" w:lineRule="exact"/>
        <w:jc w:val="left"/>
        <w:rPr>
          <w:rFonts w:ascii="仿宋_GB2312" w:hAnsi="宋体" w:eastAsia="仿宋_GB2312" w:cs="宋体"/>
          <w:bCs/>
          <w:color w:val="333333"/>
          <w:kern w:val="0"/>
          <w:sz w:val="32"/>
          <w:szCs w:val="32"/>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龙城区旅游局2022年部门预算情况说明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（一）收入预算70.70万元，包括：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1.一般公共预算拨款收入70.70万元；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（二）支出预算70.70万元，包括：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1.基本支出70.70万元；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在支出预算70.70万元中，债务支出0万元，政府采购支出0万元，政府购买服务支出0万元。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年增加6.91万元。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2022年机关运行经费预算为5.99万元。主要包括办公费、印刷费、邮电费、差旅费、会议费、水电费、公务用车运行维护费等。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2.2万元，</w:t>
      </w:r>
      <w:r>
        <w:rPr>
          <w:rFonts w:hint="eastAsia" w:ascii="仿宋_GB2312" w:hAnsi="仿宋_GB2312" w:eastAsia="仿宋_GB2312" w:cs="仿宋_GB2312"/>
          <w:color w:val="333333"/>
          <w:kern w:val="0"/>
          <w:sz w:val="32"/>
          <w:szCs w:val="32"/>
          <w:lang w:eastAsia="zh-CN"/>
        </w:rPr>
        <w:t>与上半年持平</w:t>
      </w:r>
      <w:r>
        <w:rPr>
          <w:rFonts w:hint="eastAsia" w:ascii="仿宋_GB2312" w:hAnsi="仿宋_GB2312" w:eastAsia="仿宋_GB2312" w:cs="仿宋_GB2312"/>
          <w:color w:val="333333"/>
          <w:kern w:val="0"/>
          <w:sz w:val="32"/>
          <w:szCs w:val="32"/>
        </w:rPr>
        <w:t>。其中：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因公出国（境）费0万元，与上年持平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公务接待费0万元，与上年持平；</w:t>
      </w:r>
    </w:p>
    <w:p>
      <w:pPr>
        <w:widowControl/>
        <w:spacing w:line="540" w:lineRule="exact"/>
        <w:ind w:firstLine="640" w:firstLineChars="200"/>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公务用车运行费2.2万元，</w:t>
      </w:r>
      <w:r>
        <w:rPr>
          <w:rFonts w:hint="eastAsia" w:ascii="仿宋_GB2312" w:hAnsi="仿宋_GB2312" w:eastAsia="仿宋_GB2312" w:cs="仿宋_GB2312"/>
          <w:color w:val="333333"/>
          <w:kern w:val="0"/>
          <w:sz w:val="32"/>
          <w:szCs w:val="32"/>
          <w:lang w:eastAsia="zh-CN"/>
        </w:rPr>
        <w:t>与</w:t>
      </w:r>
      <w:r>
        <w:rPr>
          <w:rFonts w:hint="eastAsia" w:ascii="仿宋_GB2312" w:hAnsi="仿宋_GB2312" w:eastAsia="仿宋_GB2312" w:cs="仿宋_GB2312"/>
          <w:color w:val="333333"/>
          <w:kern w:val="0"/>
          <w:sz w:val="32"/>
          <w:szCs w:val="32"/>
        </w:rPr>
        <w:t>上年</w:t>
      </w:r>
      <w:r>
        <w:rPr>
          <w:rFonts w:hint="eastAsia" w:ascii="仿宋_GB2312" w:hAnsi="仿宋_GB2312" w:eastAsia="仿宋_GB2312" w:cs="仿宋_GB2312"/>
          <w:color w:val="333333"/>
          <w:kern w:val="0"/>
          <w:sz w:val="32"/>
          <w:szCs w:val="32"/>
          <w:lang w:eastAsia="zh-CN"/>
        </w:rPr>
        <w:t>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 0台，金额 0万元，单位价值 50 万元以上的通用设备 0 台，单位价值 100万元以上的专用设备 0台。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w:t>
      </w:r>
      <w:r>
        <w:rPr>
          <w:rFonts w:hint="eastAsia" w:ascii="仿宋_GB2312" w:hAnsi="仿宋_GB2312" w:eastAsia="仿宋_GB2312" w:cs="仿宋_GB2312"/>
          <w:color w:val="333333"/>
          <w:kern w:val="0"/>
          <w:sz w:val="32"/>
          <w:szCs w:val="32"/>
          <w:lang w:eastAsia="zh-CN"/>
        </w:rPr>
        <w:t>共</w:t>
      </w:r>
      <w:r>
        <w:rPr>
          <w:rFonts w:hint="eastAsia" w:ascii="仿宋_GB2312" w:hAnsi="仿宋_GB2312" w:eastAsia="仿宋_GB2312" w:cs="仿宋_GB2312"/>
          <w:color w:val="333333"/>
          <w:kern w:val="0"/>
          <w:sz w:val="32"/>
          <w:szCs w:val="32"/>
          <w:lang w:val="en-US" w:eastAsia="zh-CN"/>
        </w:rPr>
        <w:t>1个</w:t>
      </w:r>
      <w:r>
        <w:rPr>
          <w:rFonts w:hint="eastAsia" w:ascii="仿宋_GB2312" w:hAnsi="仿宋_GB2312" w:eastAsia="仿宋_GB2312" w:cs="仿宋_GB2312"/>
          <w:color w:val="333333"/>
          <w:kern w:val="0"/>
          <w:sz w:val="32"/>
          <w:szCs w:val="32"/>
        </w:rPr>
        <w:t>，实际编制部门（单位）整体绩效目标</w:t>
      </w:r>
      <w:r>
        <w:rPr>
          <w:rFonts w:hint="eastAsia" w:ascii="仿宋_GB2312" w:hAnsi="仿宋_GB2312" w:eastAsia="仿宋_GB2312" w:cs="仿宋_GB2312"/>
          <w:color w:val="333333"/>
          <w:kern w:val="0"/>
          <w:sz w:val="32"/>
          <w:szCs w:val="32"/>
          <w:lang w:eastAsia="zh-CN"/>
        </w:rPr>
        <w:t>共</w:t>
      </w:r>
      <w:r>
        <w:rPr>
          <w:rFonts w:hint="eastAsia" w:ascii="仿宋_GB2312" w:hAnsi="仿宋_GB2312" w:eastAsia="仿宋_GB2312" w:cs="仿宋_GB2312"/>
          <w:color w:val="333333"/>
          <w:kern w:val="0"/>
          <w:sz w:val="32"/>
          <w:szCs w:val="32"/>
          <w:lang w:val="en-US" w:eastAsia="zh-CN"/>
        </w:rPr>
        <w:t>1个，</w:t>
      </w:r>
      <w:r>
        <w:rPr>
          <w:rFonts w:hint="eastAsia" w:ascii="仿宋_GB2312" w:hAnsi="仿宋_GB2312" w:eastAsia="仿宋_GB2312" w:cs="仿宋_GB2312"/>
          <w:color w:val="333333"/>
          <w:kern w:val="0"/>
          <w:sz w:val="32"/>
          <w:szCs w:val="32"/>
        </w:rPr>
        <w:t>编制部门（单位）整体绩效目标覆盖率（实际编制绩效目标的数量/应编制绩效目标的数量）为100%。应编制绩效目标的特定目标类项目共0个，实际编制绩效目标的特定目标类项目共 0个,涉及资金0万元，编制特定目标的项目覆盖率（实际编制绩效目标的数量/应编制绩效目标的数量）为100%。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5.一般公共服务（类）文化旅游（款）行政运行（项）：</w:t>
      </w:r>
      <w:r>
        <w:rPr>
          <w:rFonts w:hint="eastAsia" w:ascii="仿宋_GB2312" w:hAnsi="仿宋_GB2312" w:eastAsia="仿宋_GB2312" w:cs="仿宋_GB2312"/>
          <w:color w:val="333333"/>
          <w:kern w:val="0"/>
          <w:sz w:val="32"/>
          <w:szCs w:val="32"/>
          <w:shd w:val="clear" w:color="auto" w:fill="FFFFFF"/>
        </w:rPr>
        <w:t>反映文化旅游业管理与服务等方面支出；开展各类旅游宣传促销活动的支出；旅游宣传品制作费及设备购置费等，除上述项目以外其他用于文化和旅游方面的支出。</w:t>
      </w:r>
    </w:p>
    <w:p>
      <w:pPr>
        <w:ind w:firstLine="640" w:firstLineChars="200"/>
        <w:rPr>
          <w:rFonts w:ascii="仿宋" w:hAnsi="仿宋" w:eastAsia="仿宋" w:cs="仿宋"/>
          <w:sz w:val="32"/>
          <w:szCs w:val="32"/>
        </w:rPr>
      </w:pPr>
      <w:r>
        <w:rPr>
          <w:rFonts w:hint="eastAsia" w:ascii="楷体" w:hAnsi="楷体" w:eastAsia="楷体" w:cs="楷体"/>
          <w:color w:val="333333"/>
          <w:kern w:val="0"/>
          <w:sz w:val="32"/>
          <w:szCs w:val="32"/>
          <w:shd w:val="clear" w:color="auto" w:fill="FFFFFF"/>
        </w:rPr>
        <w:t>6.</w:t>
      </w:r>
      <w:r>
        <w:rPr>
          <w:rFonts w:hint="eastAsia" w:ascii="楷体" w:hAnsi="楷体" w:eastAsia="楷体" w:cs="楷体"/>
          <w:sz w:val="32"/>
          <w:szCs w:val="32"/>
        </w:rPr>
        <w:t>卫生健康支出（类）行政事业单位医疗（款）行政单位医疗（项）：</w:t>
      </w:r>
      <w:r>
        <w:rPr>
          <w:rFonts w:hint="eastAsia" w:ascii="仿宋" w:hAnsi="仿宋" w:eastAsia="仿宋" w:cs="仿宋"/>
          <w:sz w:val="32"/>
          <w:szCs w:val="32"/>
        </w:rPr>
        <w:t>反映财政部门安排的行政单位医疗保险缴费经费。未参加医疗保险的行政单位的公费医疗经费，按国家规定享受离休人员、红军老战士待遇人员的医疗经费。</w:t>
      </w:r>
    </w:p>
    <w:p>
      <w:pPr>
        <w:rPr>
          <w:rFonts w:ascii="仿宋" w:hAnsi="仿宋" w:eastAsia="仿宋" w:cs="仿宋"/>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7</w:t>
      </w:r>
      <w:r>
        <w:rPr>
          <w:rFonts w:hint="eastAsia" w:ascii="仿宋_GB2312" w:hAnsi="仿宋_GB2312" w:eastAsia="仿宋_GB2312" w:cs="仿宋_GB2312"/>
          <w:b/>
          <w:bCs/>
          <w:color w:val="333333"/>
          <w:kern w:val="0"/>
          <w:sz w:val="32"/>
          <w:szCs w:val="32"/>
          <w:shd w:val="clear" w:color="auto" w:fill="FFFFFF"/>
        </w:rPr>
        <w:t>.社会保障和就业（类）行政事业单位离退休（款）事业单位离退休（项）：</w:t>
      </w:r>
      <w:r>
        <w:rPr>
          <w:rFonts w:hint="eastAsia" w:ascii="仿宋" w:hAnsi="仿宋" w:eastAsia="仿宋" w:cs="仿宋"/>
          <w:sz w:val="32"/>
          <w:szCs w:val="32"/>
        </w:rPr>
        <w:t>反映机关事业单位实施养老保险制度，由单位缴纳的基本养老保险费支出。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8、住房保障（类）住房改革（款）住房公积金（项）：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w:t>
      </w:r>
      <w:r>
        <w:rPr>
          <w:rFonts w:hint="eastAsia" w:ascii="黑体" w:hAnsi="黑体" w:eastAsia="黑体" w:cs="宋体"/>
          <w:color w:val="333333"/>
          <w:kern w:val="0"/>
          <w:sz w:val="36"/>
          <w:szCs w:val="36"/>
          <w:lang w:eastAsia="zh-CN"/>
        </w:rPr>
        <w:t>区旅游局</w:t>
      </w:r>
      <w:r>
        <w:rPr>
          <w:rFonts w:hint="eastAsia" w:ascii="黑体" w:hAnsi="黑体" w:eastAsia="黑体" w:cs="宋体"/>
          <w:color w:val="333333"/>
          <w:kern w:val="0"/>
          <w:sz w:val="36"/>
          <w:szCs w:val="36"/>
        </w:rPr>
        <w:t>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w:t>
      </w:r>
      <w:r>
        <w:rPr>
          <w:rFonts w:hint="eastAsia" w:ascii="仿宋_GB2312" w:hAnsi="宋体" w:eastAsia="仿宋_GB2312" w:cs="宋体"/>
          <w:color w:val="333333"/>
          <w:kern w:val="0"/>
          <w:sz w:val="32"/>
          <w:szCs w:val="32"/>
          <w:lang w:eastAsia="zh-CN"/>
        </w:rPr>
        <w:t>城区旅游局</w:t>
      </w:r>
      <w:bookmarkStart w:id="0" w:name="_GoBack"/>
      <w:bookmarkEnd w:id="0"/>
      <w:r>
        <w:rPr>
          <w:rFonts w:hint="eastAsia" w:ascii="仿宋_GB2312" w:hAnsi="宋体" w:eastAsia="仿宋_GB2312" w:cs="宋体"/>
          <w:color w:val="333333"/>
          <w:kern w:val="0"/>
          <w:sz w:val="32"/>
          <w:szCs w:val="32"/>
        </w:rPr>
        <w:t>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3015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AE7FED"/>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2C96"/>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1A76B3D"/>
    <w:rsid w:val="05645DD5"/>
    <w:rsid w:val="080D17FF"/>
    <w:rsid w:val="0FF03899"/>
    <w:rsid w:val="14F0136E"/>
    <w:rsid w:val="1D11562F"/>
    <w:rsid w:val="23446E27"/>
    <w:rsid w:val="245E4371"/>
    <w:rsid w:val="2CC118F2"/>
    <w:rsid w:val="3C6077A7"/>
    <w:rsid w:val="40305062"/>
    <w:rsid w:val="53902F85"/>
    <w:rsid w:val="5BA51B53"/>
    <w:rsid w:val="604B01CA"/>
    <w:rsid w:val="624411A5"/>
    <w:rsid w:val="65C63716"/>
    <w:rsid w:val="6A713A1D"/>
    <w:rsid w:val="6E5B298D"/>
    <w:rsid w:val="701F4FF2"/>
    <w:rsid w:val="723B31C2"/>
    <w:rsid w:val="79615874"/>
    <w:rsid w:val="7C7442BB"/>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5">
    <w:name w:val="Balloon Text"/>
    <w:basedOn w:val="1"/>
    <w:link w:val="17"/>
    <w:semiHidden/>
    <w:unhideWhenUsed/>
    <w:qFormat/>
    <w:uiPriority w:val="99"/>
    <w:rPr>
      <w:sz w:val="18"/>
      <w:szCs w:val="18"/>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character" w:customStyle="1" w:styleId="13">
    <w:name w:val="标题 1 Char"/>
    <w:basedOn w:val="10"/>
    <w:link w:val="3"/>
    <w:qFormat/>
    <w:uiPriority w:val="9"/>
    <w:rPr>
      <w:rFonts w:ascii="宋体" w:hAnsi="宋体" w:eastAsia="宋体" w:cs="宋体"/>
      <w:b/>
      <w:bCs/>
      <w:kern w:val="36"/>
      <w:sz w:val="48"/>
      <w:szCs w:val="48"/>
    </w:rPr>
  </w:style>
  <w:style w:type="character" w:customStyle="1" w:styleId="14">
    <w:name w:val="标题 2 Char"/>
    <w:basedOn w:val="10"/>
    <w:link w:val="4"/>
    <w:qFormat/>
    <w:uiPriority w:val="9"/>
    <w:rPr>
      <w:rFonts w:ascii="宋体" w:hAnsi="宋体" w:eastAsia="宋体" w:cs="宋体"/>
      <w:b/>
      <w:bCs/>
      <w:kern w:val="0"/>
      <w:sz w:val="36"/>
      <w:szCs w:val="36"/>
    </w:r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semiHidden/>
    <w:qFormat/>
    <w:uiPriority w:val="99"/>
    <w:rPr>
      <w:sz w:val="18"/>
      <w:szCs w:val="18"/>
    </w:rPr>
  </w:style>
  <w:style w:type="character" w:customStyle="1" w:styleId="17">
    <w:name w:val="批注框文本 Char"/>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342</Words>
  <Characters>1953</Characters>
  <Lines>16</Lines>
  <Paragraphs>4</Paragraphs>
  <TotalTime>22</TotalTime>
  <ScaleCrop>false</ScaleCrop>
  <LinksUpToDate>false</LinksUpToDate>
  <CharactersWithSpaces>2291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2022-01-11T05:59:00Z</cp:lastPrinted>
  <dcterms:modified xsi:type="dcterms:W3CDTF">2022-01-12T05:55:35Z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0A46C5CB5A25427DA26057A03F87D632</vt:lpwstr>
  </property>
</Properties>
</file>