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宋体" w:eastAsia="宋体"/>
          <w:b/>
          <w:sz w:val="44"/>
          <w:szCs w:val="44"/>
        </w:rPr>
      </w:pPr>
    </w:p>
    <w:p>
      <w:pPr>
        <w:spacing w:line="600" w:lineRule="exact"/>
        <w:jc w:val="left"/>
        <w:rPr>
          <w:rFonts w:ascii="宋体" w:eastAsia="宋体"/>
          <w:b/>
          <w:sz w:val="44"/>
          <w:szCs w:val="44"/>
        </w:rPr>
      </w:pPr>
    </w:p>
    <w:p>
      <w:pPr>
        <w:spacing w:line="600" w:lineRule="exact"/>
        <w:jc w:val="left"/>
        <w:rPr>
          <w:rFonts w:ascii="宋体" w:eastAsia="宋体"/>
          <w:b/>
          <w:sz w:val="44"/>
          <w:szCs w:val="44"/>
        </w:rPr>
      </w:pPr>
    </w:p>
    <w:p>
      <w:pPr>
        <w:spacing w:line="600" w:lineRule="exact"/>
        <w:jc w:val="left"/>
        <w:rPr>
          <w:rFonts w:ascii="宋体" w:eastAsia="宋体"/>
          <w:b/>
          <w:sz w:val="44"/>
          <w:szCs w:val="44"/>
        </w:rPr>
      </w:pPr>
    </w:p>
    <w:p>
      <w:pPr>
        <w:spacing w:line="700" w:lineRule="exact"/>
        <w:jc w:val="center"/>
        <w:rPr>
          <w:rFonts w:ascii="宋体" w:eastAsia="宋体"/>
          <w:b/>
          <w:sz w:val="52"/>
          <w:szCs w:val="52"/>
        </w:rPr>
      </w:pPr>
      <w:r>
        <w:rPr>
          <w:rFonts w:hint="eastAsia" w:ascii="宋体" w:eastAsia="宋体"/>
          <w:b/>
          <w:sz w:val="52"/>
          <w:szCs w:val="52"/>
        </w:rPr>
        <w:t>龙城区</w:t>
      </w:r>
      <w:r>
        <w:rPr>
          <w:rFonts w:ascii="宋体" w:eastAsia="宋体"/>
          <w:b/>
          <w:sz w:val="52"/>
          <w:szCs w:val="52"/>
        </w:rPr>
        <w:t>委党校</w:t>
      </w:r>
      <w:r>
        <w:rPr>
          <w:rFonts w:hint="eastAsia" w:ascii="宋体" w:eastAsia="宋体"/>
          <w:b/>
          <w:sz w:val="52"/>
          <w:szCs w:val="52"/>
        </w:rPr>
        <w:t>部门预算</w:t>
      </w:r>
    </w:p>
    <w:p>
      <w:pPr>
        <w:spacing w:line="700" w:lineRule="exact"/>
        <w:jc w:val="center"/>
        <w:rPr>
          <w:rFonts w:ascii="宋体" w:eastAsia="宋体"/>
          <w:b/>
          <w:sz w:val="52"/>
          <w:szCs w:val="52"/>
        </w:rPr>
      </w:pPr>
      <w:r>
        <w:rPr>
          <w:rFonts w:hint="eastAsia" w:ascii="宋体" w:eastAsia="宋体"/>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ascii="宋体" w:eastAsia="宋体" w:cs="宋体"/>
          <w:b/>
          <w:bCs/>
          <w:color w:val="333333"/>
          <w:kern w:val="36"/>
          <w:sz w:val="44"/>
          <w:szCs w:val="44"/>
        </w:rPr>
        <w:sectPr>
          <w:pgSz w:w="11906" w:h="16838"/>
          <w:pgMar w:top="1701" w:right="1418" w:bottom="1701" w:left="1701" w:header="851" w:footer="992" w:gutter="0"/>
          <w:cols w:space="720" w:num="1"/>
          <w:docGrid w:type="lines" w:linePitch="312" w:charSpace="0"/>
        </w:sectPr>
      </w:pPr>
    </w:p>
    <w:p>
      <w:pPr>
        <w:widowControl/>
        <w:spacing w:line="600" w:lineRule="exact"/>
        <w:jc w:val="center"/>
        <w:outlineLvl w:val="0"/>
        <w:rPr>
          <w:rFonts w:ascii="宋体" w:eastAsia="宋体" w:cs="宋体"/>
          <w:b/>
          <w:bCs/>
          <w:color w:val="333333"/>
          <w:kern w:val="36"/>
          <w:sz w:val="44"/>
          <w:szCs w:val="44"/>
        </w:rPr>
      </w:pPr>
      <w:r>
        <w:rPr>
          <w:rFonts w:hint="eastAsia" w:ascii="宋体" w:eastAsia="宋体" w:cs="宋体"/>
          <w:b/>
          <w:bCs/>
          <w:color w:val="333333"/>
          <w:kern w:val="36"/>
          <w:sz w:val="44"/>
          <w:szCs w:val="44"/>
        </w:rPr>
        <w:t>2022年龙城区</w:t>
      </w:r>
      <w:r>
        <w:rPr>
          <w:rFonts w:ascii="宋体" w:eastAsia="宋体" w:cs="宋体"/>
          <w:b/>
          <w:bCs/>
          <w:color w:val="333333"/>
          <w:kern w:val="36"/>
          <w:sz w:val="44"/>
          <w:szCs w:val="44"/>
        </w:rPr>
        <w:t>委党校</w:t>
      </w:r>
      <w:r>
        <w:rPr>
          <w:rFonts w:hint="eastAsia" w:ascii="宋体" w:eastAsia="宋体" w:cs="宋体"/>
          <w:b/>
          <w:bCs/>
          <w:color w:val="333333"/>
          <w:kern w:val="36"/>
          <w:sz w:val="44"/>
          <w:szCs w:val="44"/>
        </w:rPr>
        <w:t>部门预算</w:t>
      </w:r>
    </w:p>
    <w:p>
      <w:pPr>
        <w:widowControl/>
        <w:spacing w:line="300" w:lineRule="exact"/>
        <w:jc w:val="center"/>
        <w:outlineLvl w:val="0"/>
        <w:rPr>
          <w:rFonts w:ascii="宋体" w:eastAsia="宋体" w:cs="宋体"/>
          <w:b/>
          <w:bCs/>
          <w:color w:val="333333"/>
          <w:kern w:val="36"/>
          <w:sz w:val="44"/>
          <w:szCs w:val="44"/>
        </w:rPr>
      </w:pPr>
    </w:p>
    <w:p>
      <w:pPr>
        <w:widowControl/>
        <w:spacing w:line="600" w:lineRule="exact"/>
        <w:jc w:val="center"/>
        <w:rPr>
          <w:rFonts w:ascii="宋体" w:eastAsia="宋体" w:cs="宋体"/>
          <w:b/>
          <w:bCs/>
          <w:color w:val="333333"/>
          <w:kern w:val="0"/>
          <w:sz w:val="36"/>
          <w:szCs w:val="36"/>
        </w:rPr>
      </w:pPr>
      <w:r>
        <w:rPr>
          <w:rFonts w:hint="eastAsia" w:ascii="宋体" w:eastAsia="宋体" w:cs="宋体"/>
          <w:b/>
          <w:bCs/>
          <w:color w:val="333333"/>
          <w:kern w:val="0"/>
          <w:sz w:val="36"/>
          <w:szCs w:val="36"/>
        </w:rPr>
        <w:t>目    录</w:t>
      </w:r>
    </w:p>
    <w:p>
      <w:pPr>
        <w:widowControl/>
        <w:spacing w:line="300" w:lineRule="exact"/>
        <w:jc w:val="center"/>
        <w:rPr>
          <w:rFonts w:ascii="宋体" w:eastAsia="宋体" w:cs="宋体"/>
          <w:b/>
          <w:bCs/>
          <w:color w:val="333333"/>
          <w:kern w:val="0"/>
          <w:sz w:val="36"/>
          <w:szCs w:val="36"/>
        </w:rPr>
      </w:pPr>
    </w:p>
    <w:p>
      <w:pPr>
        <w:widowControl/>
        <w:spacing w:line="500" w:lineRule="exact"/>
        <w:jc w:val="left"/>
        <w:rPr>
          <w:rFonts w:ascii="宋体" w:eastAsia="宋体" w:cs="宋体"/>
          <w:b/>
          <w:bCs w:val="0"/>
          <w:color w:val="333333"/>
          <w:kern w:val="0"/>
          <w:sz w:val="32"/>
          <w:szCs w:val="32"/>
          <w:shd w:val="clear" w:color="auto" w:fill="FFFFFF"/>
        </w:rPr>
      </w:pPr>
      <w:r>
        <w:rPr>
          <w:rFonts w:hint="eastAsia" w:ascii="楷体" w:eastAsia="楷体" w:cs="楷体"/>
          <w:b/>
          <w:bCs w:val="0"/>
          <w:color w:val="333333"/>
          <w:kern w:val="0"/>
          <w:sz w:val="32"/>
          <w:szCs w:val="32"/>
          <w:shd w:val="clear" w:color="auto" w:fill="FFFFFF"/>
        </w:rPr>
        <w:t>第一部分   龙城区委党校概况</w:t>
      </w:r>
    </w:p>
    <w:p>
      <w:pPr>
        <w:widowControl/>
        <w:spacing w:line="500" w:lineRule="exact"/>
        <w:ind w:firstLine="640" w:firstLineChars="200"/>
        <w:jc w:val="left"/>
        <w:rPr>
          <w:rFonts w:hint="eastAsia" w:ascii="仿宋" w:eastAsia="仿宋" w:cs="仿宋"/>
          <w:bCs/>
          <w:color w:val="333333"/>
          <w:kern w:val="0"/>
          <w:sz w:val="32"/>
          <w:szCs w:val="32"/>
          <w:shd w:val="clear" w:color="auto" w:fill="FFFFFF"/>
        </w:rPr>
      </w:pPr>
      <w:r>
        <w:rPr>
          <w:rFonts w:hint="eastAsia" w:ascii="仿宋" w:eastAsia="仿宋" w:cs="仿宋"/>
          <w:bCs/>
          <w:color w:val="333333"/>
          <w:kern w:val="0"/>
          <w:sz w:val="32"/>
          <w:szCs w:val="32"/>
          <w:shd w:val="clear" w:color="auto" w:fill="FFFFFF"/>
        </w:rPr>
        <w:t>一、主要职责</w:t>
      </w:r>
    </w:p>
    <w:p>
      <w:pPr>
        <w:widowControl/>
        <w:spacing w:line="500" w:lineRule="exact"/>
        <w:ind w:firstLine="640" w:firstLineChars="200"/>
        <w:jc w:val="left"/>
        <w:rPr>
          <w:rFonts w:hint="eastAsia" w:ascii="仿宋" w:eastAsia="仿宋" w:cs="仿宋"/>
          <w:bCs/>
          <w:color w:val="333333"/>
          <w:kern w:val="0"/>
          <w:sz w:val="32"/>
          <w:szCs w:val="32"/>
          <w:shd w:val="clear" w:color="auto" w:fill="FFFFFF"/>
        </w:rPr>
      </w:pPr>
      <w:r>
        <w:rPr>
          <w:rFonts w:hint="eastAsia" w:ascii="仿宋" w:eastAsia="仿宋" w:cs="仿宋"/>
          <w:bCs/>
          <w:color w:val="333333"/>
          <w:kern w:val="0"/>
          <w:sz w:val="32"/>
          <w:szCs w:val="32"/>
          <w:shd w:val="clear" w:color="auto" w:fill="FFFFFF"/>
        </w:rPr>
        <w:t>二、部门预算单位构成</w:t>
      </w:r>
    </w:p>
    <w:p>
      <w:pPr>
        <w:widowControl/>
        <w:spacing w:line="500" w:lineRule="exact"/>
        <w:jc w:val="left"/>
        <w:rPr>
          <w:rFonts w:hint="eastAsia" w:ascii="楷体" w:eastAsia="楷体" w:cs="楷体"/>
          <w:b/>
          <w:bCs w:val="0"/>
          <w:color w:val="333333"/>
          <w:kern w:val="0"/>
          <w:sz w:val="32"/>
          <w:szCs w:val="32"/>
        </w:rPr>
      </w:pPr>
      <w:r>
        <w:rPr>
          <w:rFonts w:hint="eastAsia" w:ascii="楷体" w:eastAsia="楷体" w:cs="楷体"/>
          <w:b/>
          <w:bCs w:val="0"/>
          <w:color w:val="333333"/>
          <w:kern w:val="0"/>
          <w:sz w:val="32"/>
          <w:szCs w:val="32"/>
          <w:shd w:val="clear" w:color="auto" w:fill="FFFFFF"/>
        </w:rPr>
        <w:t>第二部分    龙城区委党校2022年部门预算情况说明</w:t>
      </w:r>
    </w:p>
    <w:p>
      <w:pPr>
        <w:widowControl/>
        <w:spacing w:line="500" w:lineRule="exact"/>
        <w:jc w:val="left"/>
        <w:rPr>
          <w:rFonts w:hint="eastAsia" w:ascii="楷体" w:eastAsia="楷体" w:cs="楷体"/>
          <w:b/>
          <w:bCs w:val="0"/>
          <w:color w:val="333333"/>
          <w:kern w:val="0"/>
          <w:sz w:val="32"/>
          <w:szCs w:val="32"/>
          <w:shd w:val="clear" w:color="auto" w:fill="FFFFFF"/>
        </w:rPr>
      </w:pPr>
      <w:r>
        <w:rPr>
          <w:rFonts w:hint="eastAsia" w:ascii="楷体" w:eastAsia="楷体" w:cs="楷体"/>
          <w:b/>
          <w:bCs w:val="0"/>
          <w:color w:val="333333"/>
          <w:kern w:val="0"/>
          <w:sz w:val="32"/>
          <w:szCs w:val="32"/>
          <w:shd w:val="clear" w:color="auto" w:fill="FFFFFF"/>
        </w:rPr>
        <w:t>第三部分    名词解释</w:t>
      </w:r>
    </w:p>
    <w:p>
      <w:pPr>
        <w:widowControl/>
        <w:spacing w:line="500" w:lineRule="exact"/>
        <w:jc w:val="left"/>
        <w:rPr>
          <w:rFonts w:ascii="黑体" w:eastAsia="黑体" w:cs="宋体"/>
          <w:bCs/>
          <w:color w:val="333333"/>
          <w:kern w:val="0"/>
          <w:sz w:val="32"/>
          <w:szCs w:val="32"/>
        </w:rPr>
      </w:pPr>
      <w:r>
        <w:rPr>
          <w:rFonts w:hint="eastAsia" w:ascii="楷体" w:eastAsia="楷体" w:cs="楷体"/>
          <w:b/>
          <w:bCs w:val="0"/>
          <w:color w:val="333333"/>
          <w:kern w:val="0"/>
          <w:sz w:val="32"/>
          <w:szCs w:val="32"/>
          <w:shd w:val="clear" w:color="auto" w:fill="FFFFFF"/>
        </w:rPr>
        <w:t xml:space="preserve">第四部分    </w:t>
      </w:r>
      <w:r>
        <w:rPr>
          <w:rFonts w:hint="eastAsia" w:ascii="楷体" w:eastAsia="楷体" w:cs="楷体"/>
          <w:b/>
          <w:bCs w:val="0"/>
          <w:color w:val="333333"/>
          <w:kern w:val="0"/>
          <w:sz w:val="32"/>
          <w:szCs w:val="32"/>
        </w:rPr>
        <w:t>2022年龙城区委党校部门预算批复表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一、收支预算总表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二、收入预算总表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三、支出预算总表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四、财政拨款收支预算总表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五、一般公共预算支出表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六、一般公共预算基本支出表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七、一般公共预算“三公”经费支出表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八、政府性基金预算支出表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九、项目支出预算表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十、支出功能分类预算表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十一、支出经济分类预算表（政府预算）</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十二、支出经济分类预算表（部门预算）</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十三、债务支出预算表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十四、政府采购支出预算表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十五、政府购买服务支出预算表</w:t>
      </w:r>
    </w:p>
    <w:p>
      <w:pPr>
        <w:widowControl/>
        <w:spacing w:line="500" w:lineRule="exact"/>
        <w:ind w:firstLine="640" w:firstLineChars="200"/>
        <w:jc w:val="left"/>
        <w:rPr>
          <w:rFonts w:hint="eastAsia" w:ascii="仿宋" w:eastAsia="仿宋" w:cs="仿宋"/>
          <w:color w:val="333333"/>
          <w:kern w:val="0"/>
          <w:sz w:val="32"/>
          <w:szCs w:val="32"/>
        </w:rPr>
      </w:pPr>
      <w:r>
        <w:rPr>
          <w:rFonts w:hint="eastAsia" w:ascii="仿宋" w:eastAsia="仿宋" w:cs="仿宋"/>
          <w:color w:val="333333"/>
          <w:kern w:val="0"/>
          <w:sz w:val="32"/>
          <w:szCs w:val="32"/>
        </w:rPr>
        <w:t>十六、部门（单位）整体绩效目标表</w:t>
      </w:r>
    </w:p>
    <w:p>
      <w:pPr>
        <w:widowControl/>
        <w:spacing w:line="500" w:lineRule="exact"/>
        <w:ind w:firstLine="640" w:firstLineChars="200"/>
        <w:jc w:val="left"/>
        <w:rPr>
          <w:rFonts w:hint="eastAsia" w:ascii="仿宋" w:eastAsia="仿宋" w:cs="仿宋"/>
          <w:color w:val="333333"/>
          <w:kern w:val="0"/>
          <w:sz w:val="32"/>
          <w:szCs w:val="32"/>
          <w:shd w:val="clear" w:color="auto" w:fill="FFFFFF"/>
        </w:rPr>
      </w:pPr>
      <w:r>
        <w:rPr>
          <w:rFonts w:hint="eastAsia" w:ascii="仿宋" w:eastAsia="仿宋" w:cs="仿宋"/>
          <w:color w:val="333333"/>
          <w:kern w:val="0"/>
          <w:sz w:val="32"/>
          <w:szCs w:val="32"/>
        </w:rPr>
        <w:t>十七、部门预算项目（政策）绩效目标表</w:t>
      </w:r>
    </w:p>
    <w:p>
      <w:pPr>
        <w:widowControl/>
        <w:spacing w:line="600" w:lineRule="exact"/>
        <w:jc w:val="center"/>
        <w:rPr>
          <w:rFonts w:ascii="黑体" w:eastAsia="黑体" w:cs="黑体"/>
          <w:color w:val="333333"/>
          <w:kern w:val="0"/>
          <w:sz w:val="36"/>
          <w:szCs w:val="36"/>
        </w:rPr>
      </w:pPr>
      <w:r>
        <w:rPr>
          <w:rFonts w:hint="eastAsia" w:ascii="黑体" w:eastAsia="黑体" w:cs="黑体"/>
          <w:color w:val="333333"/>
          <w:kern w:val="0"/>
          <w:sz w:val="36"/>
          <w:szCs w:val="36"/>
        </w:rPr>
        <w:t>第一部分 龙城区</w:t>
      </w:r>
      <w:r>
        <w:rPr>
          <w:rFonts w:ascii="黑体" w:eastAsia="黑体" w:cs="黑体"/>
          <w:color w:val="333333"/>
          <w:kern w:val="0"/>
          <w:sz w:val="36"/>
          <w:szCs w:val="36"/>
        </w:rPr>
        <w:t>委党校</w:t>
      </w:r>
      <w:r>
        <w:rPr>
          <w:rFonts w:hint="eastAsia" w:ascii="黑体" w:eastAsia="黑体" w:cs="黑体"/>
          <w:color w:val="333333"/>
          <w:kern w:val="0"/>
          <w:sz w:val="36"/>
          <w:szCs w:val="36"/>
        </w:rPr>
        <w:t>概况</w:t>
      </w:r>
    </w:p>
    <w:p>
      <w:pPr>
        <w:widowControl/>
        <w:spacing w:line="600" w:lineRule="exact"/>
        <w:jc w:val="center"/>
        <w:rPr>
          <w:rFonts w:ascii="宋体" w:eastAsia="宋体" w:cs="宋体"/>
          <w:color w:val="333333"/>
          <w:kern w:val="0"/>
          <w:sz w:val="32"/>
          <w:szCs w:val="32"/>
        </w:rPr>
      </w:pPr>
    </w:p>
    <w:p>
      <w:pPr>
        <w:spacing w:line="360" w:lineRule="auto"/>
        <w:rPr>
          <w:rFonts w:ascii="楷体_GB2312" w:eastAsia="楷体_GB2312" w:cs="楷体_GB2312"/>
          <w:b/>
          <w:color w:val="333333"/>
          <w:kern w:val="0"/>
          <w:sz w:val="32"/>
          <w:szCs w:val="32"/>
          <w:shd w:val="clear" w:color="auto" w:fill="FFFFFF"/>
        </w:rPr>
      </w:pPr>
      <w:r>
        <w:rPr>
          <w:rFonts w:hint="eastAsia" w:ascii="楷体_GB2312" w:eastAsia="楷体_GB2312" w:cs="楷体_GB2312"/>
          <w:b/>
          <w:color w:val="333333"/>
          <w:kern w:val="0"/>
          <w:sz w:val="32"/>
          <w:szCs w:val="32"/>
          <w:shd w:val="clear" w:color="auto" w:fill="FFFFFF"/>
        </w:rPr>
        <w:t xml:space="preserve">    一、主要职责</w:t>
      </w:r>
    </w:p>
    <w:p>
      <w:pPr>
        <w:spacing w:line="360" w:lineRule="auto"/>
        <w:rPr>
          <w:rFonts w:ascii="宋体" w:eastAsia="宋体"/>
          <w:sz w:val="28"/>
          <w:szCs w:val="28"/>
        </w:rPr>
      </w:pPr>
      <w:r>
        <w:rPr>
          <w:rFonts w:ascii="宋体" w:eastAsia="宋体"/>
          <w:sz w:val="28"/>
          <w:szCs w:val="28"/>
        </w:rPr>
        <w:t xml:space="preserve">   （一）中共朝阳市龙城区委党校（朝阳市龙城区行政学校、朝阳市龙城区社会主义学校）是区委培训全区领导干部、中青年干部、理论宣传干部和统战系统干部的学校，是研究宣传习近平新时代中国特色社会主义思想、推进党的思想理论建设的重要阵地，是领导干部加强党性锻炼熔炉，是统一战线人才教育培养主阵地，是党委和政府哲学社会科学研究机构和决策咨询智库。</w:t>
      </w:r>
    </w:p>
    <w:p>
      <w:pPr>
        <w:spacing w:line="360" w:lineRule="auto"/>
        <w:rPr>
          <w:rFonts w:ascii="宋体" w:eastAsia="宋体"/>
          <w:sz w:val="28"/>
          <w:szCs w:val="28"/>
        </w:rPr>
      </w:pPr>
      <w:r>
        <w:rPr>
          <w:rFonts w:ascii="宋体" w:eastAsia="宋体"/>
          <w:sz w:val="28"/>
          <w:szCs w:val="28"/>
        </w:rPr>
        <w:t xml:space="preserve">    （二）以习近平新时代中国特色社会主义思想为重点，学习、研究、宣传马克思列宁主义、毛泽东思想和中国特色社会主义理论体系；承担党员领导干部、公务员、统战人才、党务干部等培训任务；协助组织人事部门对学员在校期间表现进行考察考核。</w:t>
      </w:r>
    </w:p>
    <w:p>
      <w:pPr>
        <w:spacing w:line="360" w:lineRule="auto"/>
        <w:rPr>
          <w:rFonts w:ascii="宋体" w:eastAsia="宋体"/>
          <w:sz w:val="28"/>
          <w:szCs w:val="28"/>
        </w:rPr>
      </w:pPr>
      <w:r>
        <w:rPr>
          <w:rFonts w:ascii="宋体" w:eastAsia="宋体"/>
          <w:sz w:val="28"/>
          <w:szCs w:val="28"/>
        </w:rPr>
        <w:t xml:space="preserve">    （三）围绕党的中心工作任务和区委、区政府工作部署，对重大理论和现实问题进行研究，为区委、区政府决策提供咨询服务。</w:t>
      </w:r>
    </w:p>
    <w:p>
      <w:pPr>
        <w:spacing w:line="360" w:lineRule="auto"/>
        <w:rPr>
          <w:rFonts w:ascii="宋体" w:eastAsia="宋体"/>
          <w:sz w:val="28"/>
          <w:szCs w:val="28"/>
        </w:rPr>
      </w:pPr>
      <w:r>
        <w:rPr>
          <w:rFonts w:ascii="宋体" w:eastAsia="宋体"/>
          <w:sz w:val="28"/>
          <w:szCs w:val="28"/>
        </w:rPr>
        <w:t xml:space="preserve">   （四）开展与学术研究机构的交流与合作。</w:t>
      </w:r>
    </w:p>
    <w:p>
      <w:pPr>
        <w:spacing w:line="360" w:lineRule="auto"/>
        <w:rPr>
          <w:rFonts w:hint="eastAsia" w:ascii="宋体" w:eastAsia="宋体"/>
          <w:sz w:val="28"/>
          <w:szCs w:val="28"/>
        </w:rPr>
      </w:pPr>
      <w:r>
        <w:rPr>
          <w:rFonts w:ascii="宋体" w:eastAsia="宋体"/>
          <w:sz w:val="28"/>
          <w:szCs w:val="28"/>
        </w:rPr>
        <w:t xml:space="preserve">   （五）承担区委、区政府交办的其他工作。</w:t>
      </w:r>
    </w:p>
    <w:p>
      <w:pPr>
        <w:widowControl/>
        <w:spacing w:line="560" w:lineRule="exact"/>
        <w:jc w:val="left"/>
        <w:rPr>
          <w:rFonts w:ascii="楷体_GB2312" w:eastAsia="楷体_GB2312" w:cs="楷体_GB2312"/>
          <w:b/>
          <w:color w:val="333333"/>
          <w:kern w:val="0"/>
          <w:sz w:val="32"/>
          <w:szCs w:val="32"/>
          <w:shd w:val="clear" w:color="auto" w:fill="FFFFFF"/>
        </w:rPr>
      </w:pPr>
      <w:r>
        <w:rPr>
          <w:rFonts w:hint="eastAsia" w:ascii="楷体_GB2312" w:eastAsia="楷体_GB2312" w:cs="楷体_GB2312"/>
          <w:b/>
          <w:color w:val="333333"/>
          <w:kern w:val="0"/>
          <w:sz w:val="32"/>
          <w:szCs w:val="32"/>
          <w:shd w:val="clear" w:color="auto" w:fill="FFFFFF"/>
        </w:rPr>
        <w:t xml:space="preserve">    二、部门预算单位构成</w:t>
      </w:r>
      <w:r>
        <w:rPr>
          <w:rFonts w:hint="eastAsia" w:ascii="宋体" w:eastAsia="宋体" w:cs="宋体"/>
          <w:color w:val="333333"/>
          <w:kern w:val="0"/>
          <w:sz w:val="32"/>
          <w:szCs w:val="32"/>
        </w:rPr>
        <w:br w:type="textWrapping"/>
      </w:r>
      <w:r>
        <w:rPr>
          <w:rFonts w:hint="eastAsia" w:ascii="仿宋_GB2312"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eastAsia="仿宋_GB2312" w:cs="宋体"/>
          <w:bCs/>
          <w:color w:val="333333"/>
          <w:kern w:val="0"/>
          <w:sz w:val="32"/>
          <w:szCs w:val="32"/>
          <w:shd w:val="clear" w:color="auto" w:fill="FFFFFF"/>
        </w:rPr>
      </w:pPr>
      <w:r>
        <w:rPr>
          <w:rFonts w:hint="eastAsia" w:ascii="仿宋_GB2312" w:eastAsia="仿宋_GB2312" w:cs="宋体"/>
          <w:bCs/>
          <w:color w:val="333333"/>
          <w:kern w:val="0"/>
          <w:sz w:val="32"/>
          <w:szCs w:val="32"/>
          <w:shd w:val="clear" w:color="auto" w:fill="FFFFFF"/>
        </w:rPr>
        <w:t>1、龙城区</w:t>
      </w:r>
      <w:r>
        <w:rPr>
          <w:rFonts w:ascii="仿宋_GB2312" w:eastAsia="仿宋_GB2312" w:cs="宋体"/>
          <w:bCs/>
          <w:color w:val="333333"/>
          <w:kern w:val="0"/>
          <w:sz w:val="32"/>
          <w:szCs w:val="32"/>
          <w:shd w:val="clear" w:color="auto" w:fill="FFFFFF"/>
        </w:rPr>
        <w:t>委党校</w:t>
      </w:r>
      <w:r>
        <w:rPr>
          <w:rFonts w:hint="eastAsia" w:ascii="仿宋_GB2312" w:eastAsia="仿宋_GB2312" w:cs="宋体"/>
          <w:bCs/>
          <w:color w:val="333333"/>
          <w:kern w:val="0"/>
          <w:sz w:val="32"/>
          <w:szCs w:val="32"/>
          <w:shd w:val="clear" w:color="auto" w:fill="FFFFFF"/>
        </w:rPr>
        <w:t>本级</w:t>
      </w:r>
    </w:p>
    <w:p>
      <w:pPr>
        <w:widowControl/>
        <w:spacing w:line="560" w:lineRule="exact"/>
        <w:jc w:val="left"/>
        <w:rPr>
          <w:rFonts w:ascii="宋体" w:eastAsia="宋体" w:cs="宋体"/>
          <w:color w:val="333333"/>
          <w:kern w:val="0"/>
          <w:sz w:val="36"/>
          <w:szCs w:val="36"/>
          <w:shd w:val="clear" w:color="auto" w:fill="FFFFFF"/>
        </w:rPr>
      </w:pPr>
      <w:r>
        <w:rPr>
          <w:rFonts w:hint="eastAsia" w:ascii="仿宋_GB2312" w:eastAsia="仿宋_GB2312" w:cs="宋体"/>
          <w:bCs/>
          <w:color w:val="333333"/>
          <w:kern w:val="0"/>
          <w:sz w:val="32"/>
          <w:szCs w:val="32"/>
          <w:shd w:val="clear" w:color="auto" w:fill="FFFFFF"/>
        </w:rPr>
        <w:t xml:space="preserve">   </w:t>
      </w:r>
    </w:p>
    <w:p>
      <w:pPr>
        <w:widowControl/>
        <w:spacing w:line="600" w:lineRule="exact"/>
        <w:jc w:val="left"/>
        <w:rPr>
          <w:rFonts w:ascii="宋体" w:eastAsia="宋体" w:cs="宋体"/>
          <w:color w:val="333333"/>
          <w:kern w:val="0"/>
          <w:sz w:val="36"/>
          <w:szCs w:val="36"/>
          <w:shd w:val="clear" w:color="auto" w:fill="FFFFFF"/>
        </w:rPr>
      </w:pPr>
    </w:p>
    <w:p>
      <w:pPr>
        <w:widowControl/>
        <w:spacing w:line="600" w:lineRule="exact"/>
        <w:jc w:val="center"/>
        <w:rPr>
          <w:rFonts w:ascii="黑体" w:eastAsia="黑体" w:cs="黑体"/>
          <w:color w:val="333333"/>
          <w:kern w:val="0"/>
          <w:sz w:val="36"/>
          <w:szCs w:val="36"/>
        </w:rPr>
      </w:pPr>
      <w:r>
        <w:rPr>
          <w:rFonts w:hint="eastAsia" w:ascii="黑体" w:eastAsia="黑体" w:cs="黑体"/>
          <w:color w:val="333333"/>
          <w:kern w:val="0"/>
          <w:sz w:val="36"/>
          <w:szCs w:val="36"/>
        </w:rPr>
        <w:t>第二部分 龙城区</w:t>
      </w:r>
      <w:r>
        <w:rPr>
          <w:rFonts w:ascii="黑体" w:eastAsia="黑体" w:cs="黑体"/>
          <w:color w:val="333333"/>
          <w:kern w:val="0"/>
          <w:sz w:val="36"/>
          <w:szCs w:val="36"/>
        </w:rPr>
        <w:t>委党校</w:t>
      </w:r>
      <w:r>
        <w:rPr>
          <w:rFonts w:hint="eastAsia" w:ascii="黑体" w:eastAsia="黑体" w:cs="黑体"/>
          <w:color w:val="333333"/>
          <w:kern w:val="0"/>
          <w:sz w:val="36"/>
          <w:szCs w:val="36"/>
        </w:rPr>
        <w:t>2022年部门预算情况说明</w:t>
      </w:r>
    </w:p>
    <w:p>
      <w:pPr>
        <w:widowControl/>
        <w:spacing w:line="560" w:lineRule="exact"/>
        <w:ind w:firstLine="720" w:firstLineChars="200"/>
        <w:jc w:val="left"/>
        <w:rPr>
          <w:rFonts w:ascii="宋体" w:eastAsia="宋体" w:cs="宋体"/>
          <w:color w:val="333333"/>
          <w:kern w:val="0"/>
          <w:sz w:val="36"/>
          <w:szCs w:val="36"/>
        </w:rPr>
      </w:pPr>
    </w:p>
    <w:p>
      <w:pPr>
        <w:widowControl/>
        <w:spacing w:line="600" w:lineRule="exact"/>
        <w:jc w:val="left"/>
        <w:rPr>
          <w:rFonts w:ascii="宋体" w:eastAsia="宋体" w:cs="宋体"/>
          <w:color w:val="333333"/>
          <w:kern w:val="0"/>
          <w:sz w:val="32"/>
          <w:szCs w:val="32"/>
        </w:rPr>
      </w:pPr>
      <w:r>
        <w:rPr>
          <w:rFonts w:hint="eastAsia" w:asci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（一）收入预算万元</w:t>
      </w:r>
      <w:r>
        <w:rPr>
          <w:rFonts w:ascii="仿宋_GB2312" w:eastAsia="仿宋_GB2312" w:cs="仿宋_GB2312"/>
          <w:color w:val="333333"/>
          <w:kern w:val="0"/>
          <w:sz w:val="32"/>
          <w:szCs w:val="32"/>
        </w:rPr>
        <w:t>285.46</w:t>
      </w:r>
      <w:r>
        <w:rPr>
          <w:rFonts w:hint="eastAsia" w:ascii="仿宋_GB2312" w:eastAsia="仿宋_GB2312" w:cs="仿宋_GB2312"/>
          <w:color w:val="333333"/>
          <w:kern w:val="0"/>
          <w:sz w:val="32"/>
          <w:szCs w:val="32"/>
        </w:rPr>
        <w:t>万元</w:t>
      </w:r>
      <w:r>
        <w:rPr>
          <w:rFonts w:ascii="仿宋_GB2312" w:eastAsia="仿宋_GB2312" w:cs="仿宋_GB2312"/>
          <w:color w:val="333333"/>
          <w:kern w:val="0"/>
          <w:sz w:val="32"/>
          <w:szCs w:val="32"/>
        </w:rPr>
        <w:t>,</w:t>
      </w:r>
      <w:r>
        <w:rPr>
          <w:rFonts w:hint="eastAsia" w:ascii="仿宋_GB2312" w:eastAsia="仿宋_GB2312" w:cs="仿宋_GB2312"/>
          <w:color w:val="333333"/>
          <w:kern w:val="0"/>
          <w:sz w:val="32"/>
          <w:szCs w:val="32"/>
        </w:rPr>
        <w:t>包括：</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1.一般公共预算拨款收入</w:t>
      </w:r>
      <w:r>
        <w:rPr>
          <w:rFonts w:ascii="仿宋_GB2312" w:eastAsia="仿宋_GB2312" w:cs="仿宋_GB2312"/>
          <w:color w:val="333333"/>
          <w:kern w:val="0"/>
          <w:sz w:val="32"/>
          <w:szCs w:val="32"/>
        </w:rPr>
        <w:t>285.46</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2.政府性基金预算拨款收入</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3.国有资本经营预算拨款收入</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4.财政专户管理资金收入</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5.单位资金收入</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6.上年结转结余</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（二）支出预算</w:t>
      </w:r>
      <w:r>
        <w:rPr>
          <w:rFonts w:ascii="仿宋_GB2312" w:eastAsia="仿宋_GB2312" w:cs="仿宋_GB2312"/>
          <w:color w:val="333333"/>
          <w:kern w:val="0"/>
          <w:sz w:val="32"/>
          <w:szCs w:val="32"/>
        </w:rPr>
        <w:t>285.46</w:t>
      </w:r>
      <w:r>
        <w:rPr>
          <w:rFonts w:hint="eastAsia" w:ascii="仿宋_GB2312" w:eastAsia="仿宋_GB2312" w:cs="仿宋_GB2312"/>
          <w:color w:val="333333"/>
          <w:kern w:val="0"/>
          <w:sz w:val="32"/>
          <w:szCs w:val="32"/>
        </w:rPr>
        <w:t>万元，包括：</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1.基本支出</w:t>
      </w:r>
      <w:r>
        <w:rPr>
          <w:rFonts w:hint="eastAsia" w:ascii="仿宋_GB2312" w:eastAsia="仿宋_GB2312" w:cs="仿宋_GB2312"/>
          <w:color w:val="333333"/>
          <w:kern w:val="0"/>
          <w:sz w:val="32"/>
          <w:szCs w:val="32"/>
          <w:lang w:val="en-US" w:eastAsia="zh-CN"/>
        </w:rPr>
        <w:t>247.76</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2.项目支出</w:t>
      </w:r>
      <w:r>
        <w:rPr>
          <w:rFonts w:hint="eastAsia" w:ascii="仿宋_GB2312" w:eastAsia="仿宋_GB2312" w:cs="仿宋_GB2312"/>
          <w:color w:val="333333"/>
          <w:kern w:val="0"/>
          <w:sz w:val="32"/>
          <w:szCs w:val="32"/>
          <w:lang w:val="en-US" w:eastAsia="zh-CN"/>
        </w:rPr>
        <w:t>37.70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在支出预算</w:t>
      </w:r>
      <w:r>
        <w:rPr>
          <w:rFonts w:ascii="仿宋_GB2312" w:eastAsia="仿宋_GB2312" w:cs="仿宋_GB2312"/>
          <w:color w:val="333333"/>
          <w:kern w:val="0"/>
          <w:sz w:val="32"/>
          <w:szCs w:val="32"/>
        </w:rPr>
        <w:t>285.46</w:t>
      </w:r>
      <w:r>
        <w:rPr>
          <w:rFonts w:hint="eastAsia" w:ascii="仿宋_GB2312" w:eastAsia="仿宋_GB2312" w:cs="仿宋_GB2312"/>
          <w:color w:val="333333"/>
          <w:kern w:val="0"/>
          <w:sz w:val="32"/>
          <w:szCs w:val="32"/>
        </w:rPr>
        <w:t>万元中，债务支出</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万元，政府采购支出</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万元，政府购买服务支出</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w:t>
      </w:r>
    </w:p>
    <w:p>
      <w:pPr>
        <w:widowControl/>
        <w:spacing w:line="60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2022年预算收支比 2021 年增加</w:t>
      </w:r>
      <w:r>
        <w:rPr>
          <w:rFonts w:ascii="仿宋_GB2312" w:eastAsia="仿宋_GB2312" w:cs="仿宋_GB2312"/>
          <w:color w:val="333333"/>
          <w:kern w:val="0"/>
          <w:sz w:val="32"/>
          <w:szCs w:val="32"/>
        </w:rPr>
        <w:t>26.38</w:t>
      </w:r>
      <w:r>
        <w:rPr>
          <w:rFonts w:hint="eastAsia" w:ascii="仿宋_GB2312" w:eastAsia="仿宋_GB2312" w:cs="仿宋_GB2312"/>
          <w:color w:val="333333"/>
          <w:kern w:val="0"/>
          <w:sz w:val="32"/>
          <w:szCs w:val="32"/>
        </w:rPr>
        <w:t>万元。</w:t>
      </w:r>
    </w:p>
    <w:p>
      <w:pPr>
        <w:widowControl/>
        <w:spacing w:line="600" w:lineRule="exact"/>
        <w:ind w:firstLine="643" w:firstLineChars="200"/>
        <w:jc w:val="left"/>
        <w:rPr>
          <w:rFonts w:ascii="楷体_GB2312" w:eastAsia="楷体_GB2312" w:cs="楷体_GB2312"/>
          <w:b/>
          <w:bCs/>
          <w:color w:val="333333"/>
          <w:kern w:val="0"/>
          <w:sz w:val="32"/>
          <w:szCs w:val="32"/>
        </w:rPr>
      </w:pPr>
      <w:r>
        <w:rPr>
          <w:rFonts w:hint="eastAsia" w:asci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eastAsia="仿宋_GB2312" w:cs="仿宋_GB2312"/>
          <w:color w:val="333333"/>
          <w:kern w:val="0"/>
          <w:sz w:val="32"/>
          <w:szCs w:val="32"/>
          <w:highlight w:val="none"/>
        </w:rPr>
      </w:pPr>
      <w:r>
        <w:rPr>
          <w:rFonts w:hint="eastAsia" w:ascii="仿宋_GB2312" w:eastAsia="仿宋_GB2312" w:cs="仿宋_GB2312"/>
          <w:color w:val="333333"/>
          <w:kern w:val="0"/>
          <w:sz w:val="32"/>
          <w:szCs w:val="32"/>
        </w:rPr>
        <w:t>2022年机关运行经费预算为</w:t>
      </w:r>
      <w:r>
        <w:rPr>
          <w:rFonts w:hint="eastAsia" w:ascii="仿宋_GB2312" w:eastAsia="仿宋_GB2312" w:cs="仿宋_GB2312"/>
          <w:color w:val="333333"/>
          <w:kern w:val="0"/>
          <w:sz w:val="32"/>
          <w:szCs w:val="32"/>
          <w:lang w:val="en-US" w:eastAsia="zh-CN"/>
        </w:rPr>
        <w:t>10.31</w:t>
      </w:r>
      <w:r>
        <w:rPr>
          <w:rFonts w:hint="eastAsia" w:ascii="仿宋_GB2312" w:eastAsia="仿宋_GB2312" w:cs="仿宋_GB2312"/>
          <w:color w:val="333333"/>
          <w:kern w:val="0"/>
          <w:sz w:val="32"/>
          <w:szCs w:val="32"/>
        </w:rPr>
        <w:t>万元。主要包</w:t>
      </w:r>
      <w:r>
        <w:rPr>
          <w:rFonts w:hint="eastAsia" w:ascii="仿宋_GB2312" w:eastAsia="仿宋_GB2312" w:cs="仿宋_GB2312"/>
          <w:color w:val="333333"/>
          <w:kern w:val="0"/>
          <w:sz w:val="32"/>
          <w:szCs w:val="32"/>
          <w:highlight w:val="none"/>
        </w:rPr>
        <w:t>括办公费、</w:t>
      </w:r>
      <w:r>
        <w:rPr>
          <w:rFonts w:hint="eastAsia" w:ascii="仿宋_GB2312" w:eastAsia="仿宋_GB2312" w:cs="仿宋_GB2312"/>
          <w:color w:val="333333"/>
          <w:kern w:val="0"/>
          <w:sz w:val="32"/>
          <w:szCs w:val="32"/>
          <w:highlight w:val="none"/>
          <w:lang w:eastAsia="zh-CN"/>
        </w:rPr>
        <w:t>其他商品和服务支出</w:t>
      </w:r>
      <w:r>
        <w:rPr>
          <w:rFonts w:hint="eastAsia" w:ascii="仿宋_GB2312" w:eastAsia="仿宋_GB2312" w:cs="仿宋_GB2312"/>
          <w:color w:val="333333"/>
          <w:kern w:val="0"/>
          <w:sz w:val="32"/>
          <w:szCs w:val="32"/>
          <w:highlight w:val="none"/>
        </w:rPr>
        <w:t>、邮电费、</w:t>
      </w:r>
      <w:r>
        <w:rPr>
          <w:rFonts w:hint="eastAsia" w:ascii="仿宋_GB2312" w:eastAsia="仿宋_GB2312" w:cs="仿宋_GB2312"/>
          <w:color w:val="333333"/>
          <w:kern w:val="0"/>
          <w:sz w:val="32"/>
          <w:szCs w:val="32"/>
          <w:highlight w:val="none"/>
          <w:lang w:eastAsia="zh-CN"/>
        </w:rPr>
        <w:t>工会经费</w:t>
      </w:r>
      <w:r>
        <w:rPr>
          <w:rFonts w:hint="eastAsia" w:ascii="仿宋_GB2312" w:eastAsia="仿宋_GB2312" w:cs="仿宋_GB2312"/>
          <w:color w:val="333333"/>
          <w:kern w:val="0"/>
          <w:sz w:val="32"/>
          <w:szCs w:val="32"/>
          <w:highlight w:val="none"/>
        </w:rPr>
        <w:t>等。</w:t>
      </w:r>
    </w:p>
    <w:p>
      <w:pPr>
        <w:widowControl/>
        <w:spacing w:line="540" w:lineRule="exact"/>
        <w:ind w:firstLine="643" w:firstLineChars="200"/>
        <w:jc w:val="left"/>
        <w:rPr>
          <w:rFonts w:ascii="楷体_GB2312" w:eastAsia="楷体_GB2312" w:cs="楷体_GB2312"/>
          <w:b/>
          <w:bCs/>
          <w:color w:val="333333"/>
          <w:kern w:val="0"/>
          <w:sz w:val="32"/>
          <w:szCs w:val="32"/>
        </w:rPr>
      </w:pPr>
      <w:r>
        <w:rPr>
          <w:rFonts w:hint="eastAsia" w:asci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eastAsia="楷体_GB2312" w:cs="楷体_GB2312"/>
          <w:b/>
          <w:bCs/>
          <w:color w:val="333333"/>
          <w:kern w:val="0"/>
          <w:sz w:val="32"/>
          <w:szCs w:val="32"/>
        </w:rPr>
      </w:pPr>
      <w:r>
        <w:rPr>
          <w:rFonts w:hint="eastAsia" w:asci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hint="eastAsia" w:ascii="仿宋_GB2312" w:eastAsia="仿宋_GB2312" w:cs="仿宋_GB2312"/>
          <w:color w:val="333333"/>
          <w:kern w:val="0"/>
          <w:sz w:val="32"/>
          <w:szCs w:val="32"/>
        </w:rPr>
      </w:pPr>
      <w:r>
        <w:rPr>
          <w:rFonts w:hint="eastAsia" w:asci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万元，与上年持平。</w:t>
      </w:r>
    </w:p>
    <w:p>
      <w:pPr>
        <w:widowControl/>
        <w:spacing w:line="540" w:lineRule="exact"/>
        <w:ind w:firstLine="640" w:firstLineChars="200"/>
        <w:jc w:val="left"/>
        <w:rPr>
          <w:rFonts w:hint="eastAsia" w:ascii="仿宋_GB2312" w:eastAsia="仿宋_GB2312" w:cs="仿宋_GB2312"/>
          <w:color w:val="333333"/>
          <w:kern w:val="0"/>
          <w:sz w:val="32"/>
          <w:szCs w:val="32"/>
        </w:rPr>
      </w:pPr>
      <w:r>
        <w:rPr>
          <w:rFonts w:hint="eastAsia" w:ascii="仿宋_GB2312" w:eastAsia="仿宋_GB2312" w:cs="仿宋_GB2312"/>
          <w:color w:val="333333"/>
          <w:kern w:val="0"/>
          <w:sz w:val="32"/>
          <w:szCs w:val="32"/>
        </w:rPr>
        <w:t>其中：</w:t>
      </w:r>
    </w:p>
    <w:p>
      <w:pPr>
        <w:widowControl/>
        <w:spacing w:line="54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因公出国（境）费</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公务接待费</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公务用车运行费</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万元，与上年持平。</w:t>
      </w:r>
    </w:p>
    <w:p>
      <w:pPr>
        <w:widowControl/>
        <w:spacing w:line="540" w:lineRule="exact"/>
        <w:ind w:firstLine="643" w:firstLineChars="200"/>
        <w:jc w:val="left"/>
        <w:rPr>
          <w:rFonts w:ascii="楷体_GB2312" w:eastAsia="楷体_GB2312" w:cs="楷体_GB2312"/>
          <w:b/>
          <w:bCs/>
          <w:color w:val="333333"/>
          <w:kern w:val="0"/>
          <w:sz w:val="32"/>
          <w:szCs w:val="32"/>
        </w:rPr>
      </w:pPr>
      <w:r>
        <w:rPr>
          <w:rFonts w:hint="eastAsia" w:asci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 xml:space="preserve">2022年年初预算购置车辆 </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 xml:space="preserve">台，金额 </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 xml:space="preserve">万元，单位价值 50 万元以上的通用设备 </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 xml:space="preserve"> 台，单位价值 100万元以上的专用设备</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台。</w:t>
      </w:r>
    </w:p>
    <w:p>
      <w:pPr>
        <w:widowControl/>
        <w:spacing w:line="540" w:lineRule="exact"/>
        <w:ind w:firstLine="643" w:firstLineChars="200"/>
        <w:jc w:val="left"/>
        <w:rPr>
          <w:rFonts w:ascii="楷体_GB2312" w:eastAsia="楷体_GB2312" w:cs="楷体_GB2312"/>
          <w:b/>
          <w:bCs/>
          <w:color w:val="333333"/>
          <w:kern w:val="0"/>
          <w:sz w:val="32"/>
          <w:szCs w:val="32"/>
        </w:rPr>
      </w:pPr>
      <w:r>
        <w:rPr>
          <w:rFonts w:hint="eastAsia" w:asci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eastAsia="仿宋_GB2312" w:cs="仿宋_GB2312"/>
          <w:color w:val="333333"/>
          <w:kern w:val="0"/>
          <w:sz w:val="32"/>
          <w:szCs w:val="32"/>
        </w:rPr>
      </w:pPr>
      <w:r>
        <w:rPr>
          <w:rFonts w:hint="eastAsia" w:ascii="仿宋_GB2312" w:eastAsia="仿宋_GB2312" w:cs="仿宋_GB2312"/>
          <w:color w:val="333333"/>
          <w:kern w:val="0"/>
          <w:sz w:val="32"/>
          <w:szCs w:val="32"/>
        </w:rPr>
        <w:t>根据预算绩效管理要求，2022年应编制部门（单位）整体绩效目标共</w:t>
      </w:r>
      <w:r>
        <w:rPr>
          <w:rFonts w:hint="eastAsia" w:ascii="仿宋_GB2312" w:eastAsia="仿宋_GB2312" w:cs="仿宋_GB2312"/>
          <w:color w:val="333333"/>
          <w:kern w:val="0"/>
          <w:sz w:val="32"/>
          <w:szCs w:val="32"/>
          <w:lang w:val="en-US" w:eastAsia="zh-CN"/>
        </w:rPr>
        <w:t>1</w:t>
      </w:r>
      <w:r>
        <w:rPr>
          <w:rFonts w:hint="eastAsia" w:ascii="仿宋_GB2312" w:eastAsia="仿宋_GB2312" w:cs="仿宋_GB2312"/>
          <w:color w:val="333333"/>
          <w:kern w:val="0"/>
          <w:sz w:val="32"/>
          <w:szCs w:val="32"/>
        </w:rPr>
        <w:t>个，实际编制部门（单位）整体绩效目标共</w:t>
      </w:r>
      <w:r>
        <w:rPr>
          <w:rFonts w:hint="eastAsia" w:ascii="仿宋_GB2312" w:eastAsia="仿宋_GB2312" w:cs="仿宋_GB2312"/>
          <w:color w:val="333333"/>
          <w:kern w:val="0"/>
          <w:sz w:val="32"/>
          <w:szCs w:val="32"/>
          <w:lang w:val="en-US" w:eastAsia="zh-CN"/>
        </w:rPr>
        <w:t>1</w:t>
      </w:r>
      <w:r>
        <w:rPr>
          <w:rFonts w:hint="eastAsia" w:asci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 xml:space="preserve">，实际编制绩效目标的特定目标类项目共 </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个,涉及资金</w:t>
      </w:r>
      <w:r>
        <w:rPr>
          <w:rFonts w:ascii="仿宋_GB2312" w:eastAsia="仿宋_GB2312" w:cs="仿宋_GB2312"/>
          <w:color w:val="333333"/>
          <w:kern w:val="0"/>
          <w:sz w:val="32"/>
          <w:szCs w:val="32"/>
        </w:rPr>
        <w:t>0</w:t>
      </w:r>
      <w:r>
        <w:rPr>
          <w:rFonts w:hint="eastAsia" w:asci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ascii="黑体" w:eastAsia="黑体" w:cs="黑体"/>
          <w:color w:val="333333"/>
          <w:kern w:val="0"/>
          <w:sz w:val="36"/>
          <w:szCs w:val="36"/>
        </w:rPr>
      </w:pPr>
    </w:p>
    <w:p>
      <w:pPr>
        <w:widowControl/>
        <w:spacing w:line="600" w:lineRule="exact"/>
        <w:jc w:val="center"/>
        <w:rPr>
          <w:rFonts w:ascii="黑体" w:eastAsia="黑体" w:cs="黑体"/>
          <w:color w:val="333333"/>
          <w:kern w:val="0"/>
          <w:sz w:val="36"/>
          <w:szCs w:val="36"/>
        </w:rPr>
      </w:pPr>
    </w:p>
    <w:p>
      <w:pPr>
        <w:widowControl/>
        <w:spacing w:line="600" w:lineRule="exact"/>
        <w:jc w:val="center"/>
        <w:rPr>
          <w:rFonts w:ascii="黑体" w:eastAsia="黑体" w:cs="黑体"/>
          <w:color w:val="333333"/>
          <w:kern w:val="0"/>
          <w:sz w:val="36"/>
          <w:szCs w:val="36"/>
        </w:rPr>
      </w:pPr>
      <w:r>
        <w:rPr>
          <w:rFonts w:hint="eastAsia" w:ascii="黑体" w:eastAsia="黑体" w:cs="黑体"/>
          <w:color w:val="333333"/>
          <w:kern w:val="0"/>
          <w:sz w:val="36"/>
          <w:szCs w:val="36"/>
        </w:rPr>
        <w:t>第三部分 名词解释</w:t>
      </w:r>
    </w:p>
    <w:p>
      <w:pPr>
        <w:widowControl/>
        <w:spacing w:line="600" w:lineRule="exact"/>
        <w:jc w:val="center"/>
        <w:rPr>
          <w:rFonts w:ascii="宋体" w:eastAsia="宋体" w:cs="宋体"/>
          <w:color w:val="333333"/>
          <w:kern w:val="0"/>
          <w:sz w:val="36"/>
          <w:szCs w:val="36"/>
        </w:rPr>
      </w:pPr>
    </w:p>
    <w:p>
      <w:pPr>
        <w:spacing w:line="620" w:lineRule="exact"/>
        <w:ind w:firstLine="643" w:firstLineChars="200"/>
        <w:jc w:val="left"/>
        <w:rPr>
          <w:rFonts w:ascii="仿宋_GB2312" w:eastAsia="仿宋_GB2312" w:cs="仿宋_GB2312"/>
          <w:color w:val="333333"/>
          <w:kern w:val="0"/>
          <w:sz w:val="32"/>
          <w:szCs w:val="32"/>
          <w:shd w:val="clear" w:color="auto" w:fill="FFFFFF"/>
        </w:rPr>
      </w:pPr>
      <w:r>
        <w:rPr>
          <w:rFonts w:hint="eastAsia" w:ascii="仿宋_GB2312" w:eastAsia="仿宋_GB2312" w:cs="仿宋_GB2312"/>
          <w:b/>
          <w:bCs/>
          <w:color w:val="333333"/>
          <w:kern w:val="0"/>
          <w:sz w:val="32"/>
          <w:szCs w:val="32"/>
          <w:shd w:val="clear" w:color="auto" w:fill="FFFFFF"/>
        </w:rPr>
        <w:t>1.一般公共预算拨款收入：</w:t>
      </w:r>
      <w:r>
        <w:rPr>
          <w:rFonts w:hint="eastAsia" w:asci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eastAsia="仿宋_GB2312" w:cs="仿宋_GB2312"/>
          <w:color w:val="333333"/>
          <w:kern w:val="0"/>
          <w:sz w:val="32"/>
          <w:szCs w:val="32"/>
          <w:shd w:val="clear" w:color="auto" w:fill="FFFFFF"/>
        </w:rPr>
      </w:pPr>
      <w:r>
        <w:rPr>
          <w:rFonts w:hint="eastAsia" w:ascii="仿宋_GB2312" w:eastAsia="仿宋_GB2312" w:cs="仿宋_GB2312"/>
          <w:b/>
          <w:bCs/>
          <w:color w:val="333333"/>
          <w:kern w:val="0"/>
          <w:sz w:val="32"/>
          <w:szCs w:val="32"/>
          <w:shd w:val="clear" w:color="auto" w:fill="FFFFFF"/>
        </w:rPr>
        <w:t>2.基本支出：</w:t>
      </w:r>
      <w:r>
        <w:rPr>
          <w:rFonts w:hint="eastAsia" w:asci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eastAsia="仿宋_GB2312" w:cs="仿宋_GB2312"/>
          <w:color w:val="333333"/>
          <w:kern w:val="0"/>
          <w:sz w:val="32"/>
          <w:szCs w:val="32"/>
          <w:shd w:val="clear" w:color="auto" w:fill="FFFFFF"/>
        </w:rPr>
      </w:pPr>
      <w:r>
        <w:rPr>
          <w:rFonts w:hint="eastAsia" w:ascii="仿宋_GB2312" w:eastAsia="仿宋_GB2312" w:cs="仿宋_GB2312"/>
          <w:b/>
          <w:bCs/>
          <w:color w:val="333333"/>
          <w:kern w:val="0"/>
          <w:sz w:val="32"/>
          <w:szCs w:val="32"/>
          <w:shd w:val="clear" w:color="auto" w:fill="FFFFFF"/>
        </w:rPr>
        <w:t>3.项目支出：</w:t>
      </w:r>
      <w:r>
        <w:rPr>
          <w:rFonts w:hint="eastAsia" w:asci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eastAsia="仿宋_GB2312" w:cs="仿宋_GB2312"/>
          <w:color w:val="333333"/>
          <w:kern w:val="0"/>
          <w:sz w:val="32"/>
          <w:szCs w:val="32"/>
          <w:shd w:val="clear" w:color="auto" w:fill="FFFFFF"/>
        </w:rPr>
      </w:pPr>
      <w:r>
        <w:rPr>
          <w:rFonts w:hint="eastAsia" w:ascii="仿宋_GB2312" w:eastAsia="仿宋_GB2312" w:cs="仿宋_GB2312"/>
          <w:b/>
          <w:bCs/>
          <w:color w:val="333333"/>
          <w:kern w:val="0"/>
          <w:sz w:val="32"/>
          <w:szCs w:val="32"/>
          <w:shd w:val="clear" w:color="auto" w:fill="FFFFFF"/>
        </w:rPr>
        <w:t>4.“三公”经费：</w:t>
      </w:r>
      <w:r>
        <w:rPr>
          <w:rFonts w:hint="eastAsia" w:asci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eastAsia="仿宋_GB2312" w:cs="仿宋_GB2312"/>
          <w:color w:val="333333"/>
          <w:kern w:val="0"/>
          <w:sz w:val="32"/>
          <w:szCs w:val="32"/>
          <w:highlight w:val="none"/>
          <w:shd w:val="clear" w:color="auto" w:fill="FFFFFF"/>
        </w:rPr>
      </w:pPr>
      <w:r>
        <w:rPr>
          <w:rFonts w:hint="eastAsia" w:ascii="仿宋_GB2312" w:eastAsia="仿宋_GB2312" w:cs="仿宋_GB2312"/>
          <w:b/>
          <w:bCs/>
          <w:color w:val="333333"/>
          <w:kern w:val="0"/>
          <w:sz w:val="32"/>
          <w:szCs w:val="32"/>
          <w:shd w:val="clear" w:color="auto" w:fill="FFFFFF"/>
        </w:rPr>
        <w:t>5.</w:t>
      </w:r>
      <w:r>
        <w:rPr>
          <w:rFonts w:hint="eastAsia" w:ascii="仿宋_GB2312" w:eastAsia="仿宋_GB2312" w:cs="仿宋_GB2312"/>
          <w:b/>
          <w:bCs/>
          <w:color w:val="333333"/>
          <w:kern w:val="0"/>
          <w:sz w:val="32"/>
          <w:szCs w:val="32"/>
          <w:shd w:val="clear" w:color="auto" w:fill="FFFFFF"/>
          <w:lang w:eastAsia="zh-CN"/>
        </w:rPr>
        <w:t>教育支出</w:t>
      </w:r>
      <w:r>
        <w:rPr>
          <w:rFonts w:hint="eastAsia" w:ascii="仿宋_GB2312" w:eastAsia="仿宋_GB2312" w:cs="仿宋_GB2312"/>
          <w:b/>
          <w:bCs/>
          <w:color w:val="333333"/>
          <w:kern w:val="0"/>
          <w:sz w:val="32"/>
          <w:szCs w:val="32"/>
          <w:shd w:val="clear" w:color="auto" w:fill="FFFFFF"/>
        </w:rPr>
        <w:t>（类）</w:t>
      </w:r>
      <w:r>
        <w:rPr>
          <w:rFonts w:hint="eastAsia" w:ascii="仿宋_GB2312" w:eastAsia="仿宋_GB2312" w:cs="仿宋_GB2312"/>
          <w:b/>
          <w:bCs/>
          <w:color w:val="333333"/>
          <w:kern w:val="0"/>
          <w:sz w:val="32"/>
          <w:szCs w:val="32"/>
          <w:highlight w:val="none"/>
          <w:shd w:val="clear" w:color="auto" w:fill="FFFFFF"/>
          <w:lang w:eastAsia="zh-CN"/>
        </w:rPr>
        <w:t>进修及培训</w:t>
      </w:r>
      <w:r>
        <w:rPr>
          <w:rFonts w:hint="eastAsia" w:ascii="仿宋_GB2312" w:eastAsia="仿宋_GB2312" w:cs="仿宋_GB2312"/>
          <w:b/>
          <w:bCs/>
          <w:color w:val="333333"/>
          <w:kern w:val="0"/>
          <w:sz w:val="32"/>
          <w:szCs w:val="32"/>
          <w:highlight w:val="none"/>
          <w:shd w:val="clear" w:color="auto" w:fill="FFFFFF"/>
        </w:rPr>
        <w:t>（款）</w:t>
      </w:r>
      <w:r>
        <w:rPr>
          <w:rFonts w:hint="eastAsia" w:ascii="仿宋_GB2312" w:eastAsia="仿宋_GB2312" w:cs="仿宋_GB2312"/>
          <w:b/>
          <w:bCs/>
          <w:color w:val="333333"/>
          <w:kern w:val="0"/>
          <w:sz w:val="32"/>
          <w:szCs w:val="32"/>
          <w:highlight w:val="none"/>
          <w:shd w:val="clear" w:color="auto" w:fill="FFFFFF"/>
          <w:lang w:eastAsia="zh-CN"/>
        </w:rPr>
        <w:t>干部教育</w:t>
      </w:r>
      <w:r>
        <w:rPr>
          <w:rFonts w:hint="eastAsia" w:ascii="仿宋_GB2312" w:eastAsia="仿宋_GB2312" w:cs="仿宋_GB2312"/>
          <w:b/>
          <w:bCs/>
          <w:color w:val="333333"/>
          <w:kern w:val="0"/>
          <w:sz w:val="32"/>
          <w:szCs w:val="32"/>
          <w:highlight w:val="none"/>
          <w:shd w:val="clear" w:color="auto" w:fill="FFFFFF"/>
        </w:rPr>
        <w:t>（项）：</w:t>
      </w:r>
      <w:r>
        <w:rPr>
          <w:rFonts w:hint="eastAsia" w:ascii="仿宋_GB2312" w:eastAsia="仿宋_GB2312" w:cs="仿宋_GB2312"/>
          <w:color w:val="333333"/>
          <w:kern w:val="0"/>
          <w:sz w:val="32"/>
          <w:szCs w:val="32"/>
          <w:highlight w:val="none"/>
          <w:shd w:val="clear" w:color="auto" w:fill="FFFFFF"/>
          <w:lang w:eastAsia="zh-CN"/>
        </w:rPr>
        <w:t>反映各级党校、行政学院、社会主义学院、国家会计学院的支出。包括机构运转、招聘师资、举办各类培训班的支出等。</w:t>
      </w:r>
    </w:p>
    <w:p>
      <w:pPr>
        <w:spacing w:line="620" w:lineRule="exact"/>
        <w:ind w:firstLine="643" w:firstLineChars="200"/>
        <w:jc w:val="left"/>
        <w:rPr>
          <w:rFonts w:ascii="仿宋_GB2312" w:eastAsia="仿宋_GB2312" w:cs="仿宋_GB2312"/>
          <w:color w:val="333333"/>
          <w:kern w:val="0"/>
          <w:sz w:val="32"/>
          <w:szCs w:val="32"/>
          <w:highlight w:val="none"/>
          <w:shd w:val="clear" w:color="auto" w:fill="FFFFFF"/>
        </w:rPr>
      </w:pPr>
      <w:r>
        <w:rPr>
          <w:rFonts w:hint="eastAsia" w:ascii="仿宋_GB2312" w:eastAsia="仿宋_GB2312" w:cs="仿宋_GB2312"/>
          <w:b/>
          <w:bCs/>
          <w:color w:val="333333"/>
          <w:kern w:val="0"/>
          <w:sz w:val="32"/>
          <w:szCs w:val="32"/>
          <w:highlight w:val="none"/>
          <w:shd w:val="clear" w:color="auto" w:fill="FFFFFF"/>
          <w:lang w:val="en-US" w:eastAsia="zh-CN"/>
        </w:rPr>
        <w:t>6</w:t>
      </w:r>
      <w:r>
        <w:rPr>
          <w:rFonts w:hint="eastAsia" w:ascii="仿宋_GB2312" w:eastAsia="仿宋_GB2312" w:cs="仿宋_GB2312"/>
          <w:b/>
          <w:bCs/>
          <w:color w:val="333333"/>
          <w:kern w:val="0"/>
          <w:sz w:val="32"/>
          <w:szCs w:val="32"/>
          <w:highlight w:val="none"/>
          <w:shd w:val="clear" w:color="auto" w:fill="FFFFFF"/>
        </w:rPr>
        <w:t>.社会保障和就业（类）行政事业单位</w:t>
      </w:r>
      <w:r>
        <w:rPr>
          <w:rFonts w:hint="eastAsia" w:ascii="仿宋_GB2312" w:eastAsia="仿宋_GB2312" w:cs="仿宋_GB2312"/>
          <w:b/>
          <w:bCs/>
          <w:color w:val="333333"/>
          <w:kern w:val="0"/>
          <w:sz w:val="32"/>
          <w:szCs w:val="32"/>
          <w:highlight w:val="none"/>
          <w:shd w:val="clear" w:color="auto" w:fill="FFFFFF"/>
          <w:lang w:eastAsia="zh-CN"/>
        </w:rPr>
        <w:t>养老支出</w:t>
      </w:r>
      <w:r>
        <w:rPr>
          <w:rFonts w:hint="eastAsia" w:ascii="仿宋_GB2312" w:eastAsia="仿宋_GB2312" w:cs="仿宋_GB2312"/>
          <w:b/>
          <w:bCs/>
          <w:color w:val="333333"/>
          <w:kern w:val="0"/>
          <w:sz w:val="32"/>
          <w:szCs w:val="32"/>
          <w:highlight w:val="none"/>
          <w:shd w:val="clear" w:color="auto" w:fill="FFFFFF"/>
        </w:rPr>
        <w:t>（款）</w:t>
      </w:r>
      <w:r>
        <w:rPr>
          <w:rFonts w:hint="eastAsia" w:ascii="仿宋_GB2312" w:eastAsia="仿宋_GB2312" w:cs="仿宋_GB2312"/>
          <w:b/>
          <w:bCs/>
          <w:color w:val="333333"/>
          <w:kern w:val="0"/>
          <w:sz w:val="32"/>
          <w:szCs w:val="32"/>
          <w:highlight w:val="none"/>
          <w:shd w:val="clear" w:color="auto" w:fill="FFFFFF"/>
          <w:lang w:eastAsia="zh-CN"/>
        </w:rPr>
        <w:t>事业</w:t>
      </w:r>
      <w:r>
        <w:rPr>
          <w:rFonts w:hint="eastAsia" w:ascii="仿宋_GB2312" w:eastAsia="仿宋_GB2312" w:cs="仿宋_GB2312"/>
          <w:b/>
          <w:bCs/>
          <w:color w:val="333333"/>
          <w:kern w:val="0"/>
          <w:sz w:val="32"/>
          <w:szCs w:val="32"/>
          <w:highlight w:val="none"/>
          <w:shd w:val="clear" w:color="auto" w:fill="FFFFFF"/>
        </w:rPr>
        <w:t>单位离退休（项）：</w:t>
      </w:r>
      <w:r>
        <w:rPr>
          <w:rFonts w:hint="eastAsia" w:ascii="仿宋_GB2312" w:eastAsia="仿宋_GB2312" w:cs="仿宋_GB2312"/>
          <w:color w:val="333333"/>
          <w:kern w:val="0"/>
          <w:sz w:val="32"/>
          <w:szCs w:val="32"/>
          <w:highlight w:val="none"/>
          <w:shd w:val="clear" w:color="auto" w:fill="FFFFFF"/>
          <w:lang w:eastAsia="zh-CN"/>
        </w:rPr>
        <w:t>反映事业单位开支的离退休经费</w:t>
      </w:r>
      <w:r>
        <w:rPr>
          <w:rFonts w:hint="eastAsia" w:ascii="仿宋_GB2312" w:eastAsia="仿宋_GB2312" w:cs="仿宋_GB2312"/>
          <w:color w:val="333333"/>
          <w:kern w:val="0"/>
          <w:sz w:val="32"/>
          <w:szCs w:val="32"/>
          <w:highlight w:val="none"/>
          <w:shd w:val="clear" w:color="auto" w:fill="FFFFFF"/>
        </w:rPr>
        <w:t xml:space="preserve">     </w:t>
      </w:r>
    </w:p>
    <w:p>
      <w:pPr>
        <w:spacing w:line="620" w:lineRule="exact"/>
        <w:ind w:firstLine="643" w:firstLineChars="200"/>
        <w:jc w:val="left"/>
        <w:rPr>
          <w:rFonts w:hint="eastAsia" w:ascii="仿宋_GB2312" w:eastAsia="仿宋_GB2312" w:cs="仿宋_GB2312"/>
          <w:color w:val="333333"/>
          <w:kern w:val="0"/>
          <w:sz w:val="32"/>
          <w:szCs w:val="32"/>
          <w:highlight w:val="none"/>
          <w:shd w:val="clear" w:color="auto" w:fill="FFFFFF"/>
          <w:lang w:eastAsia="zh-CN"/>
        </w:rPr>
      </w:pPr>
      <w:r>
        <w:rPr>
          <w:rFonts w:hint="eastAsia" w:ascii="仿宋_GB2312" w:eastAsia="仿宋_GB2312" w:cs="仿宋_GB2312"/>
          <w:b/>
          <w:bCs/>
          <w:color w:val="333333"/>
          <w:kern w:val="0"/>
          <w:sz w:val="32"/>
          <w:szCs w:val="32"/>
          <w:highlight w:val="none"/>
          <w:shd w:val="clear" w:color="auto" w:fill="FFFFFF"/>
          <w:lang w:val="en-US" w:eastAsia="zh-CN"/>
        </w:rPr>
        <w:t>7</w:t>
      </w:r>
      <w:r>
        <w:rPr>
          <w:rFonts w:hint="eastAsia" w:ascii="仿宋_GB2312" w:eastAsia="仿宋_GB2312" w:cs="仿宋_GB2312"/>
          <w:b/>
          <w:bCs/>
          <w:color w:val="333333"/>
          <w:kern w:val="0"/>
          <w:sz w:val="32"/>
          <w:szCs w:val="32"/>
          <w:highlight w:val="none"/>
          <w:shd w:val="clear" w:color="auto" w:fill="FFFFFF"/>
        </w:rPr>
        <w:t>.社会保障和就业（类）行政事业单位</w:t>
      </w:r>
      <w:r>
        <w:rPr>
          <w:rFonts w:hint="eastAsia" w:ascii="仿宋_GB2312" w:eastAsia="仿宋_GB2312" w:cs="仿宋_GB2312"/>
          <w:b/>
          <w:bCs/>
          <w:color w:val="333333"/>
          <w:kern w:val="0"/>
          <w:sz w:val="32"/>
          <w:szCs w:val="32"/>
          <w:highlight w:val="none"/>
          <w:shd w:val="clear" w:color="auto" w:fill="FFFFFF"/>
          <w:lang w:eastAsia="zh-CN"/>
        </w:rPr>
        <w:t>养老支出</w:t>
      </w:r>
      <w:r>
        <w:rPr>
          <w:rFonts w:hint="eastAsia" w:ascii="仿宋_GB2312" w:eastAsia="仿宋_GB2312" w:cs="仿宋_GB2312"/>
          <w:b/>
          <w:bCs/>
          <w:color w:val="333333"/>
          <w:kern w:val="0"/>
          <w:sz w:val="32"/>
          <w:szCs w:val="32"/>
          <w:highlight w:val="none"/>
          <w:shd w:val="clear" w:color="auto" w:fill="FFFFFF"/>
        </w:rPr>
        <w:t>（款）机关事业单位基本养老保险缴费支出：</w:t>
      </w:r>
      <w:r>
        <w:rPr>
          <w:rFonts w:hint="eastAsia" w:ascii="仿宋_GB2312" w:eastAsia="仿宋_GB2312" w:cs="仿宋_GB2312"/>
          <w:color w:val="333333"/>
          <w:kern w:val="0"/>
          <w:sz w:val="32"/>
          <w:szCs w:val="32"/>
          <w:highlight w:val="none"/>
          <w:shd w:val="clear" w:color="auto" w:fill="FFFFFF"/>
          <w:lang w:eastAsia="zh-CN"/>
        </w:rPr>
        <w:t>反映机关事业单位实施养老保险制度由单位缴纳的基本养老保险费支出。</w:t>
      </w:r>
    </w:p>
    <w:p>
      <w:pPr>
        <w:spacing w:line="620" w:lineRule="exact"/>
        <w:ind w:firstLine="643" w:firstLineChars="200"/>
        <w:jc w:val="left"/>
        <w:rPr>
          <w:rFonts w:ascii="仿宋_GB2312" w:eastAsia="仿宋_GB2312" w:cs="仿宋_GB2312"/>
          <w:color w:val="333333"/>
          <w:kern w:val="0"/>
          <w:sz w:val="32"/>
          <w:szCs w:val="32"/>
          <w:shd w:val="clear" w:color="auto" w:fill="FFFFFF"/>
        </w:rPr>
      </w:pPr>
      <w:r>
        <w:rPr>
          <w:rFonts w:hint="eastAsia" w:ascii="仿宋_GB2312" w:eastAsia="仿宋_GB2312" w:cs="仿宋_GB2312"/>
          <w:b/>
          <w:bCs/>
          <w:color w:val="333333"/>
          <w:kern w:val="0"/>
          <w:sz w:val="32"/>
          <w:szCs w:val="32"/>
          <w:highlight w:val="none"/>
          <w:shd w:val="clear" w:color="auto" w:fill="FFFFFF"/>
          <w:lang w:val="en-US" w:eastAsia="zh-CN"/>
        </w:rPr>
        <w:t>8</w:t>
      </w:r>
      <w:r>
        <w:rPr>
          <w:rFonts w:hint="eastAsia" w:ascii="仿宋_GB2312" w:eastAsia="仿宋_GB2312" w:cs="仿宋_GB2312"/>
          <w:b/>
          <w:bCs/>
          <w:color w:val="333333"/>
          <w:kern w:val="0"/>
          <w:sz w:val="32"/>
          <w:szCs w:val="32"/>
          <w:highlight w:val="none"/>
          <w:shd w:val="clear" w:color="auto" w:fill="FFFFFF"/>
        </w:rPr>
        <w:t>.</w:t>
      </w:r>
      <w:r>
        <w:rPr>
          <w:rFonts w:hint="eastAsia" w:ascii="仿宋_GB2312" w:eastAsia="仿宋_GB2312" w:cs="仿宋_GB2312"/>
          <w:b/>
          <w:bCs/>
          <w:color w:val="333333"/>
          <w:kern w:val="0"/>
          <w:sz w:val="32"/>
          <w:szCs w:val="32"/>
          <w:shd w:val="clear" w:color="auto" w:fill="FFFFFF"/>
        </w:rPr>
        <w:t>住房保障（类）住房改革（款）住房公积金（项）：</w:t>
      </w:r>
      <w:r>
        <w:rPr>
          <w:rFonts w:hint="eastAsia" w:asci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spacing w:line="600" w:lineRule="exact"/>
        <w:jc w:val="left"/>
        <w:rPr>
          <w:rFonts w:ascii="宋体" w:eastAsia="宋体" w:cs="宋体"/>
          <w:color w:val="333333"/>
          <w:kern w:val="0"/>
          <w:sz w:val="36"/>
          <w:szCs w:val="36"/>
          <w:shd w:val="clear" w:color="auto" w:fill="FFFFFF"/>
        </w:rPr>
      </w:pPr>
    </w:p>
    <w:p>
      <w:pPr>
        <w:widowControl/>
        <w:spacing w:line="600" w:lineRule="exact"/>
        <w:jc w:val="center"/>
        <w:rPr>
          <w:rFonts w:hint="eastAsia" w:ascii="黑体" w:eastAsia="黑体" w:cs="宋体"/>
          <w:color w:val="333333"/>
          <w:kern w:val="0"/>
          <w:sz w:val="36"/>
          <w:szCs w:val="36"/>
        </w:rPr>
      </w:pPr>
    </w:p>
    <w:p>
      <w:pPr>
        <w:widowControl/>
        <w:spacing w:line="600" w:lineRule="exact"/>
        <w:jc w:val="center"/>
        <w:rPr>
          <w:rFonts w:hint="eastAsia" w:ascii="黑体" w:eastAsia="黑体" w:cs="宋体"/>
          <w:color w:val="333333"/>
          <w:kern w:val="0"/>
          <w:sz w:val="36"/>
          <w:szCs w:val="36"/>
        </w:rPr>
      </w:pPr>
    </w:p>
    <w:p>
      <w:pPr>
        <w:widowControl/>
        <w:spacing w:line="600" w:lineRule="exact"/>
        <w:jc w:val="center"/>
        <w:rPr>
          <w:rFonts w:hint="eastAsia" w:ascii="黑体" w:eastAsia="黑体" w:cs="宋体"/>
          <w:color w:val="333333"/>
          <w:kern w:val="0"/>
          <w:sz w:val="36"/>
          <w:szCs w:val="36"/>
        </w:rPr>
      </w:pPr>
    </w:p>
    <w:p>
      <w:pPr>
        <w:widowControl/>
        <w:spacing w:line="600" w:lineRule="exact"/>
        <w:jc w:val="center"/>
        <w:rPr>
          <w:rFonts w:ascii="黑体" w:eastAsia="黑体" w:cs="宋体"/>
          <w:color w:val="333333"/>
          <w:kern w:val="0"/>
          <w:sz w:val="36"/>
          <w:szCs w:val="36"/>
        </w:rPr>
      </w:pPr>
      <w:r>
        <w:rPr>
          <w:rFonts w:hint="eastAsia" w:ascii="黑体" w:eastAsia="黑体" w:cs="宋体"/>
          <w:color w:val="333333"/>
          <w:kern w:val="0"/>
          <w:sz w:val="36"/>
          <w:szCs w:val="36"/>
        </w:rPr>
        <w:t>第四部分 2022年龙城</w:t>
      </w:r>
      <w:r>
        <w:rPr>
          <w:rFonts w:hint="eastAsia" w:ascii="黑体" w:eastAsia="黑体" w:cs="宋体"/>
          <w:color w:val="333333"/>
          <w:kern w:val="0"/>
          <w:sz w:val="36"/>
          <w:szCs w:val="36"/>
          <w:lang w:eastAsia="zh-CN"/>
        </w:rPr>
        <w:t>委党校</w:t>
      </w:r>
      <w:r>
        <w:rPr>
          <w:rFonts w:hint="eastAsia" w:ascii="黑体" w:eastAsia="黑体" w:cs="宋体"/>
          <w:color w:val="333333"/>
          <w:kern w:val="0"/>
          <w:sz w:val="36"/>
          <w:szCs w:val="36"/>
        </w:rPr>
        <w:t>预算批复表</w:t>
      </w:r>
    </w:p>
    <w:p>
      <w:pPr>
        <w:widowControl/>
        <w:spacing w:line="600" w:lineRule="exact"/>
        <w:jc w:val="left"/>
        <w:rPr>
          <w:rFonts w:ascii="仿宋_GB2312" w:eastAsia="仿宋_GB2312" w:cs="宋体"/>
          <w:color w:val="333333"/>
          <w:kern w:val="0"/>
          <w:sz w:val="36"/>
          <w:szCs w:val="36"/>
          <w:shd w:val="clear" w:color="auto" w:fill="FFFFFF"/>
        </w:rPr>
      </w:pPr>
    </w:p>
    <w:p>
      <w:pPr>
        <w:widowControl/>
        <w:spacing w:line="600" w:lineRule="exact"/>
        <w:jc w:val="left"/>
        <w:rPr>
          <w:rFonts w:ascii="仿宋_GB2312" w:eastAsia="仿宋_GB2312" w:cs="宋体"/>
          <w:kern w:val="0"/>
          <w:sz w:val="36"/>
          <w:szCs w:val="36"/>
        </w:rPr>
      </w:pPr>
      <w:r>
        <w:rPr>
          <w:rFonts w:hint="eastAsia" w:ascii="仿宋_GB2312" w:eastAsia="仿宋_GB2312" w:cs="宋体"/>
          <w:color w:val="333333"/>
          <w:kern w:val="0"/>
          <w:sz w:val="32"/>
          <w:szCs w:val="32"/>
          <w:shd w:val="clear" w:color="auto" w:fill="FFFFFF"/>
        </w:rPr>
        <w:t>详见附表：</w:t>
      </w:r>
      <w:r>
        <w:rPr>
          <w:rFonts w:hint="eastAsia" w:ascii="仿宋_GB2312" w:eastAsia="仿宋_GB2312" w:cs="宋体"/>
          <w:color w:val="333333"/>
          <w:kern w:val="0"/>
          <w:sz w:val="32"/>
          <w:szCs w:val="32"/>
        </w:rPr>
        <w:t>2022年龙城</w:t>
      </w:r>
      <w:r>
        <w:rPr>
          <w:rFonts w:hint="eastAsia" w:ascii="仿宋_GB2312" w:eastAsia="仿宋_GB2312" w:cs="宋体"/>
          <w:color w:val="333333"/>
          <w:kern w:val="0"/>
          <w:sz w:val="32"/>
          <w:szCs w:val="32"/>
          <w:lang w:eastAsia="zh-CN"/>
        </w:rPr>
        <w:t>委党校</w:t>
      </w:r>
      <w:bookmarkStart w:id="0" w:name="_GoBack"/>
      <w:bookmarkEnd w:id="0"/>
      <w:r>
        <w:rPr>
          <w:rFonts w:hint="eastAsia" w:ascii="仿宋_GB2312" w:eastAsia="仿宋_GB2312" w:cs="宋体"/>
          <w:color w:val="333333"/>
          <w:kern w:val="0"/>
          <w:sz w:val="32"/>
          <w:szCs w:val="32"/>
        </w:rPr>
        <w:t>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_x0000_s3073"/>
              <wp:cNvGraphicFramePr/>
              <a:graphic xmlns:a="http://schemas.openxmlformats.org/drawingml/2006/main">
                <a:graphicData uri="http://schemas.microsoft.com/office/word/2010/wordprocessingShape">
                  <wps:wsp>
                    <wps:cNvSpPr/>
                    <wps:spPr>
                      <a:xfrm>
                        <a:off x="0" y="0"/>
                        <a:ext cx="57785" cy="139700"/>
                      </a:xfrm>
                      <a:prstGeom prst="rect">
                        <a:avLst/>
                      </a:prstGeom>
                      <a:noFill/>
                      <a:ln w="9525" cap="flat" cmpd="sng">
                        <a:noFill/>
                        <a:prstDash val="solid"/>
                        <a:miter/>
                      </a:ln>
                    </wps:spPr>
                    <wps:txbx>
                      <w:txbxContent>
                        <w:p>
                          <w:pPr>
                            <w:pStyle w:val="6"/>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1">
                      <a:spAutoFit/>
                    </wps:bodyPr>
                  </wps:wsp>
                </a:graphicData>
              </a:graphic>
            </wp:anchor>
          </w:drawing>
        </mc:Choice>
        <mc:Fallback>
          <w:pict>
            <v:rect id="_x0000_s3073" o:spid="_x0000_s1026" o:spt="1" style="position:absolute;left:0pt;margin-top:0pt;height:11pt;width:4.55pt;mso-position-horizontal:center;mso-position-horizontal-relative:margin;mso-wrap-style:none;z-index:25165926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vP1tAAAAACAQAADwAAAAAAAAABACAAAAAiAAAAZHJzL2Rvd25yZXYueG1sUEsBAhQAFAAA&#10;AAgAh07iQCF38i33AQAA9AMAAA4AAAAAAAAAAQAgAAAAHwEAAGRycy9lMm9Eb2MueG1sUEsFBgAA&#10;AAAGAAYAWQEAAIgFAAAAAA==&#10;">
              <v:fill on="f" focussize="0,0"/>
              <v:stroke on="f" joinstyle="miter"/>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000000"/>
    <w:rsid w:val="057B05B5"/>
    <w:rsid w:val="28903A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eastAsia="宋体" w:cs="宋体"/>
      <w:b/>
      <w:bCs/>
      <w:kern w:val="36"/>
      <w:sz w:val="48"/>
      <w:szCs w:val="48"/>
    </w:rPr>
  </w:style>
  <w:style w:type="paragraph" w:styleId="3">
    <w:name w:val="heading 2"/>
    <w:basedOn w:val="1"/>
    <w:next w:val="1"/>
    <w:qFormat/>
    <w:uiPriority w:val="0"/>
    <w:pPr>
      <w:widowControl/>
      <w:spacing w:before="100" w:beforeAutospacing="1" w:after="100" w:afterAutospacing="1"/>
      <w:jc w:val="left"/>
      <w:outlineLvl w:val="1"/>
    </w:pPr>
    <w:rPr>
      <w:rFonts w:ascii="宋体" w:eastAsia="宋体" w:cs="宋体"/>
      <w:b/>
      <w:bCs/>
      <w:kern w:val="0"/>
      <w:sz w:val="36"/>
      <w:szCs w:val="36"/>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1">
    <w:name w:val="Strong"/>
    <w:basedOn w:val="10"/>
    <w:qFormat/>
    <w:uiPriority w:val="0"/>
    <w:rPr>
      <w:b/>
      <w:bCs/>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8</Pages>
  <Words>0</Words>
  <Characters>1811</Characters>
  <Lines>0</Lines>
  <Paragraphs>125</Paragraphs>
  <TotalTime>1</TotalTime>
  <ScaleCrop>false</ScaleCrop>
  <LinksUpToDate>false</LinksUpToDate>
  <CharactersWithSpaces>2415</CharactersWithSpaces>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2022-01-12T02:17:18Z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