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700" w:lineRule="exact"/>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龙城区住房和城乡建设局部门预算</w:t>
      </w:r>
    </w:p>
    <w:p>
      <w:pPr>
        <w:spacing w:line="700" w:lineRule="exact"/>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（2022年）</w:t>
      </w:r>
    </w:p>
    <w:p>
      <w:pPr>
        <w:spacing w:line="600" w:lineRule="exact"/>
        <w:jc w:val="left"/>
        <w:rPr>
          <w:rFonts w:ascii="Times New Roman" w:hAnsi="Times New Roman" w:eastAsia="宋体"/>
          <w:b/>
          <w:sz w:val="52"/>
          <w:szCs w:val="52"/>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widowControl/>
        <w:spacing w:line="600" w:lineRule="exact"/>
        <w:outlineLvl w:val="0"/>
        <w:rPr>
          <w:rFonts w:cs="宋体" w:asciiTheme="majorEastAsia" w:hAnsiTheme="majorEastAsia" w:eastAsiaTheme="majorEastAsia"/>
          <w:b/>
          <w:bCs/>
          <w:color w:val="333333"/>
          <w:kern w:val="36"/>
          <w:sz w:val="44"/>
          <w:szCs w:val="44"/>
        </w:rPr>
        <w:sectPr>
          <w:pgSz w:w="11906" w:h="16838"/>
          <w:pgMar w:top="1701" w:right="1418" w:bottom="1701" w:left="1701" w:header="851" w:footer="992" w:gutter="0"/>
          <w:cols w:space="425" w:num="1"/>
          <w:docGrid w:type="lines" w:linePitch="312" w:charSpace="0"/>
        </w:sectPr>
      </w:pPr>
    </w:p>
    <w:p>
      <w:pPr>
        <w:widowControl/>
        <w:spacing w:line="600" w:lineRule="exact"/>
        <w:jc w:val="center"/>
        <w:outlineLvl w:val="0"/>
        <w:rPr>
          <w:rFonts w:cs="宋体" w:asciiTheme="majorEastAsia" w:hAnsiTheme="majorEastAsia" w:eastAsiaTheme="majorEastAsia"/>
          <w:b/>
          <w:bCs/>
          <w:color w:val="333333"/>
          <w:kern w:val="36"/>
          <w:sz w:val="44"/>
          <w:szCs w:val="44"/>
        </w:rPr>
      </w:pPr>
      <w:r>
        <w:rPr>
          <w:rFonts w:hint="eastAsia" w:cs="宋体" w:asciiTheme="majorEastAsia" w:hAnsiTheme="majorEastAsia" w:eastAsiaTheme="majorEastAsia"/>
          <w:b/>
          <w:bCs/>
          <w:color w:val="333333"/>
          <w:kern w:val="36"/>
          <w:sz w:val="44"/>
          <w:szCs w:val="44"/>
        </w:rPr>
        <w:t>2022年龙城区住建局部门预算</w:t>
      </w:r>
    </w:p>
    <w:p>
      <w:pPr>
        <w:widowControl/>
        <w:spacing w:line="300" w:lineRule="exact"/>
        <w:jc w:val="center"/>
        <w:outlineLvl w:val="0"/>
        <w:rPr>
          <w:rFonts w:cs="宋体" w:asciiTheme="majorEastAsia" w:hAnsiTheme="majorEastAsia" w:eastAsiaTheme="majorEastAsia"/>
          <w:b/>
          <w:bCs/>
          <w:color w:val="333333"/>
          <w:kern w:val="36"/>
          <w:sz w:val="44"/>
          <w:szCs w:val="44"/>
        </w:rPr>
      </w:pPr>
    </w:p>
    <w:p>
      <w:pPr>
        <w:widowControl/>
        <w:spacing w:line="600" w:lineRule="exact"/>
        <w:jc w:val="center"/>
        <w:rPr>
          <w:rFonts w:cs="宋体" w:asciiTheme="majorEastAsia" w:hAnsiTheme="majorEastAsia" w:eastAsiaTheme="majorEastAsia"/>
          <w:b/>
          <w:bCs/>
          <w:color w:val="333333"/>
          <w:kern w:val="0"/>
          <w:sz w:val="36"/>
          <w:szCs w:val="36"/>
        </w:rPr>
      </w:pPr>
      <w:r>
        <w:rPr>
          <w:rFonts w:hint="eastAsia" w:cs="宋体" w:asciiTheme="majorEastAsia" w:hAnsiTheme="majorEastAsia" w:eastAsiaTheme="majorEastAsia"/>
          <w:b/>
          <w:bCs/>
          <w:color w:val="333333"/>
          <w:kern w:val="0"/>
          <w:sz w:val="36"/>
          <w:szCs w:val="36"/>
        </w:rPr>
        <w:t>目    录</w:t>
      </w:r>
    </w:p>
    <w:p>
      <w:pPr>
        <w:widowControl/>
        <w:spacing w:line="300" w:lineRule="exact"/>
        <w:jc w:val="center"/>
        <w:rPr>
          <w:rFonts w:cs="宋体" w:asciiTheme="majorEastAsia" w:hAnsiTheme="majorEastAsia" w:eastAsiaTheme="majorEastAsia"/>
          <w:b/>
          <w:bCs/>
          <w:color w:val="333333"/>
          <w:kern w:val="0"/>
          <w:sz w:val="36"/>
          <w:szCs w:val="36"/>
        </w:rPr>
      </w:pPr>
    </w:p>
    <w:p>
      <w:pPr>
        <w:widowControl/>
        <w:spacing w:line="500" w:lineRule="exact"/>
        <w:jc w:val="left"/>
        <w:rPr>
          <w:rFonts w:ascii="宋体" w:hAnsi="宋体" w:eastAsia="宋体" w:cs="宋体"/>
          <w:bCs/>
          <w:color w:val="333333"/>
          <w:kern w:val="0"/>
          <w:sz w:val="32"/>
          <w:szCs w:val="32"/>
          <w:shd w:val="clear" w:color="auto" w:fill="FFFFFF"/>
        </w:rPr>
      </w:pPr>
      <w:r>
        <w:rPr>
          <w:rFonts w:hint="eastAsia" w:ascii="黑体" w:hAnsi="黑体" w:eastAsia="黑体" w:cs="宋体"/>
          <w:bCs/>
          <w:color w:val="333333"/>
          <w:kern w:val="0"/>
          <w:sz w:val="32"/>
          <w:szCs w:val="32"/>
          <w:shd w:val="clear" w:color="auto" w:fill="FFFFFF"/>
        </w:rPr>
        <w:t>第一部分   龙城区住建局概况</w:t>
      </w:r>
    </w:p>
    <w:p>
      <w:pPr>
        <w:widowControl/>
        <w:spacing w:line="500" w:lineRule="exact"/>
        <w:ind w:firstLine="640" w:firstLineChars="200"/>
        <w:jc w:val="left"/>
        <w:rPr>
          <w:rFonts w:ascii="宋体" w:hAnsi="宋体" w:eastAsia="宋体" w:cs="宋体"/>
          <w:bCs/>
          <w:color w:val="333333"/>
          <w:kern w:val="0"/>
          <w:sz w:val="32"/>
          <w:szCs w:val="32"/>
          <w:shd w:val="clear" w:color="auto" w:fill="FFFFFF"/>
        </w:rPr>
      </w:pPr>
      <w:r>
        <w:rPr>
          <w:rFonts w:hint="eastAsia" w:ascii="宋体" w:hAnsi="宋体" w:eastAsia="宋体" w:cs="宋体"/>
          <w:bCs/>
          <w:color w:val="333333"/>
          <w:kern w:val="0"/>
          <w:sz w:val="32"/>
          <w:szCs w:val="32"/>
          <w:shd w:val="clear" w:color="auto" w:fill="FFFFFF"/>
        </w:rPr>
        <w:t>一、主要职责</w:t>
      </w:r>
    </w:p>
    <w:p>
      <w:pPr>
        <w:widowControl/>
        <w:spacing w:line="500" w:lineRule="exact"/>
        <w:ind w:firstLine="640" w:firstLineChars="200"/>
        <w:jc w:val="left"/>
        <w:rPr>
          <w:rFonts w:ascii="宋体" w:hAnsi="宋体" w:eastAsia="宋体" w:cs="宋体"/>
          <w:bCs/>
          <w:color w:val="333333"/>
          <w:kern w:val="0"/>
          <w:sz w:val="32"/>
          <w:szCs w:val="32"/>
          <w:shd w:val="clear" w:color="auto" w:fill="FFFFFF"/>
        </w:rPr>
      </w:pPr>
      <w:r>
        <w:rPr>
          <w:rFonts w:hint="eastAsia" w:ascii="宋体" w:hAnsi="宋体" w:eastAsia="宋体" w:cs="宋体"/>
          <w:bCs/>
          <w:color w:val="333333"/>
          <w:kern w:val="0"/>
          <w:sz w:val="32"/>
          <w:szCs w:val="32"/>
          <w:shd w:val="clear" w:color="auto" w:fill="FFFFFF"/>
        </w:rPr>
        <w:t>二、部门预算单位构成</w:t>
      </w:r>
    </w:p>
    <w:p>
      <w:pPr>
        <w:widowControl/>
        <w:spacing w:line="500" w:lineRule="exact"/>
        <w:jc w:val="left"/>
        <w:rPr>
          <w:rFonts w:ascii="黑体" w:hAnsi="黑体" w:eastAsia="黑体" w:cs="宋体"/>
          <w:bCs/>
          <w:color w:val="333333"/>
          <w:kern w:val="0"/>
          <w:sz w:val="32"/>
          <w:szCs w:val="32"/>
        </w:rPr>
      </w:pPr>
      <w:r>
        <w:rPr>
          <w:rFonts w:hint="eastAsia" w:ascii="黑体" w:hAnsi="黑体" w:eastAsia="黑体" w:cs="宋体"/>
          <w:bCs/>
          <w:color w:val="333333"/>
          <w:kern w:val="0"/>
          <w:sz w:val="32"/>
          <w:szCs w:val="32"/>
          <w:shd w:val="clear" w:color="auto" w:fill="FFFFFF"/>
        </w:rPr>
        <w:t>第二部分    龙城区住建局2022年部门预算情况说明</w:t>
      </w:r>
    </w:p>
    <w:p>
      <w:pPr>
        <w:widowControl/>
        <w:spacing w:line="500" w:lineRule="exact"/>
        <w:jc w:val="left"/>
        <w:rPr>
          <w:rFonts w:ascii="黑体" w:hAnsi="黑体" w:eastAsia="黑体" w:cs="宋体"/>
          <w:bCs/>
          <w:color w:val="333333"/>
          <w:kern w:val="0"/>
          <w:sz w:val="32"/>
          <w:szCs w:val="32"/>
          <w:shd w:val="clear" w:color="auto" w:fill="FFFFFF"/>
        </w:rPr>
      </w:pPr>
      <w:r>
        <w:rPr>
          <w:rFonts w:hint="eastAsia" w:ascii="黑体" w:hAnsi="黑体" w:eastAsia="黑体" w:cs="宋体"/>
          <w:bCs/>
          <w:color w:val="333333"/>
          <w:kern w:val="0"/>
          <w:sz w:val="32"/>
          <w:szCs w:val="32"/>
          <w:shd w:val="clear" w:color="auto" w:fill="FFFFFF"/>
        </w:rPr>
        <w:t>第三部分    名词解释</w:t>
      </w:r>
    </w:p>
    <w:p>
      <w:pPr>
        <w:widowControl/>
        <w:spacing w:line="500" w:lineRule="exact"/>
        <w:jc w:val="left"/>
        <w:rPr>
          <w:rFonts w:ascii="黑体" w:hAnsi="黑体" w:eastAsia="黑体" w:cs="宋体"/>
          <w:bCs/>
          <w:color w:val="333333"/>
          <w:kern w:val="0"/>
          <w:sz w:val="32"/>
          <w:szCs w:val="32"/>
        </w:rPr>
      </w:pPr>
      <w:r>
        <w:rPr>
          <w:rFonts w:hint="eastAsia" w:ascii="黑体" w:hAnsi="黑体" w:eastAsia="黑体" w:cs="宋体"/>
          <w:bCs/>
          <w:color w:val="333333"/>
          <w:kern w:val="0"/>
          <w:sz w:val="32"/>
          <w:szCs w:val="32"/>
          <w:shd w:val="clear" w:color="auto" w:fill="FFFFFF"/>
        </w:rPr>
        <w:t xml:space="preserve">第四部分    </w:t>
      </w:r>
      <w:r>
        <w:rPr>
          <w:rFonts w:hint="eastAsia" w:ascii="黑体" w:hAnsi="黑体" w:eastAsia="黑体" w:cs="宋体"/>
          <w:bCs/>
          <w:color w:val="333333"/>
          <w:kern w:val="0"/>
          <w:sz w:val="32"/>
          <w:szCs w:val="32"/>
        </w:rPr>
        <w:t>2022年龙城区</w:t>
      </w:r>
      <w:r>
        <w:rPr>
          <w:rFonts w:hint="eastAsia" w:ascii="黑体" w:hAnsi="黑体" w:eastAsia="黑体" w:cs="宋体"/>
          <w:bCs/>
          <w:color w:val="333333"/>
          <w:kern w:val="0"/>
          <w:sz w:val="32"/>
          <w:szCs w:val="32"/>
          <w:shd w:val="clear" w:color="auto" w:fill="FFFFFF"/>
        </w:rPr>
        <w:t>住建</w:t>
      </w:r>
      <w:r>
        <w:rPr>
          <w:rFonts w:hint="eastAsia" w:ascii="黑体" w:hAnsi="黑体" w:eastAsia="黑体" w:cs="宋体"/>
          <w:bCs/>
          <w:color w:val="333333"/>
          <w:kern w:val="0"/>
          <w:sz w:val="32"/>
          <w:szCs w:val="32"/>
        </w:rPr>
        <w:t>局部门预算批复表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一、收支预算总表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二、收入预算总表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三、支出预算总表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四、财政拨款收支预算总表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五、一般公共预算支出表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六、一般公共预算基本支出表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七、一般公共预算“三公”经费支出表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八、政府性基金预算支出表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九、项目支出预算表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十、支出功能分类预算表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十一、支出经济分类预算表（政府预算）</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十二、支出经济分类预算表（部门预算）</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十三、债务支出预算表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十四、政府采购支出预算表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十五、政府购买服务支出预算表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十六、部门（单位）整体绩效目标表</w:t>
      </w:r>
    </w:p>
    <w:p>
      <w:pPr>
        <w:widowControl/>
        <w:spacing w:line="500" w:lineRule="exact"/>
        <w:ind w:firstLine="640" w:firstLineChars="200"/>
        <w:jc w:val="left"/>
        <w:rPr>
          <w:rFonts w:ascii="宋体" w:hAnsi="宋体" w:eastAsia="宋体" w:cs="宋体"/>
          <w:color w:val="333333"/>
          <w:kern w:val="0"/>
          <w:sz w:val="32"/>
          <w:szCs w:val="32"/>
          <w:shd w:val="clear" w:color="auto" w:fill="FFFFFF"/>
        </w:rPr>
      </w:pPr>
      <w:r>
        <w:rPr>
          <w:rFonts w:hint="eastAsia" w:ascii="宋体" w:hAnsi="宋体" w:eastAsia="宋体" w:cs="宋体"/>
          <w:color w:val="333333"/>
          <w:kern w:val="0"/>
          <w:sz w:val="32"/>
          <w:szCs w:val="32"/>
        </w:rPr>
        <w:t>十七、部门预算项目（政策）绩效目标表</w:t>
      </w: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第一部分 龙城区</w:t>
      </w:r>
      <w:r>
        <w:rPr>
          <w:rFonts w:hint="eastAsia" w:ascii="黑体" w:hAnsi="黑体" w:eastAsia="黑体" w:cs="宋体"/>
          <w:bCs/>
          <w:color w:val="333333"/>
          <w:kern w:val="0"/>
          <w:sz w:val="32"/>
          <w:szCs w:val="32"/>
          <w:shd w:val="clear" w:color="auto" w:fill="FFFFFF"/>
        </w:rPr>
        <w:t>住建</w:t>
      </w:r>
      <w:r>
        <w:rPr>
          <w:rFonts w:hint="eastAsia" w:ascii="黑体" w:hAnsi="黑体" w:eastAsia="黑体" w:cs="黑体"/>
          <w:color w:val="333333"/>
          <w:kern w:val="0"/>
          <w:sz w:val="36"/>
          <w:szCs w:val="36"/>
        </w:rPr>
        <w:t>局概况</w:t>
      </w:r>
    </w:p>
    <w:p>
      <w:pPr>
        <w:widowControl/>
        <w:spacing w:line="600" w:lineRule="exact"/>
        <w:jc w:val="center"/>
        <w:rPr>
          <w:rFonts w:ascii="宋体" w:hAnsi="宋体" w:eastAsia="宋体" w:cs="宋体"/>
          <w:color w:val="333333"/>
          <w:kern w:val="0"/>
          <w:sz w:val="32"/>
          <w:szCs w:val="32"/>
        </w:rPr>
      </w:pP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楷体_GB2312" w:hAnsi="楷体_GB2312" w:eastAsia="楷体_GB2312" w:cs="楷体_GB2312"/>
          <w:b/>
          <w:color w:val="333333"/>
          <w:kern w:val="0"/>
          <w:sz w:val="32"/>
          <w:szCs w:val="32"/>
          <w:shd w:val="clear" w:color="auto" w:fill="FFFFFF"/>
        </w:rPr>
        <w:t xml:space="preserve">    一、主要职责</w:t>
      </w:r>
      <w:r>
        <w:rPr>
          <w:rFonts w:hint="eastAsia" w:ascii="仿宋_GB2312" w:hAnsi="宋体" w:eastAsia="仿宋_GB2312" w:cs="宋体"/>
          <w:b/>
          <w:color w:val="333333"/>
          <w:kern w:val="0"/>
          <w:sz w:val="32"/>
          <w:szCs w:val="32"/>
        </w:rPr>
        <w:br w:type="textWrapping"/>
      </w:r>
      <w:r>
        <w:rPr>
          <w:rFonts w:hint="eastAsia" w:ascii="仿宋_GB2312" w:hAnsi="仿宋_GB2312" w:eastAsia="仿宋_GB2312" w:cs="仿宋_GB2312"/>
          <w:color w:val="333333"/>
          <w:kern w:val="0"/>
          <w:sz w:val="32"/>
          <w:szCs w:val="32"/>
          <w:shd w:val="clear" w:color="auto" w:fill="FFFFFF"/>
        </w:rPr>
        <w:t xml:space="preserve">   （一）承担保障全区城镇低收入家庭住房的责任，拟订</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住房保障相关政策并指导实施，拟订保障性住房规划及政策，</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参与保障性住房资金安排有关工作，编制住房保障发展规划</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和年度计划并监督实施。</w:t>
      </w:r>
    </w:p>
    <w:p>
      <w:pPr>
        <w:widowControl/>
        <w:spacing w:line="560" w:lineRule="exact"/>
        <w:ind w:firstLine="640"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（二）承担推进住房制度改革的责任，拟订住房政策，</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指导住房建设和住房制度改革，拟订全区住房建设规划并指</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导实施，研究提出住房和城乡建设重大问题的政策建议。</w:t>
      </w:r>
    </w:p>
    <w:p>
      <w:pPr>
        <w:widowControl/>
        <w:spacing w:line="560" w:lineRule="exact"/>
        <w:ind w:firstLine="640"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（三）承担建立科学规范的工程建设标准体系的责任，</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组织拟订区工程建设技术标准和定额，组织拟订建设项目可</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行性研究的经济评价方法、经济参数、建设投资估算指标、</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建设工期定额、建筑专业定额、建设用地指标和工程造价的</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管理制度，指导、监督各类工程建设标准定额和公共服务设</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施（不含通信设施）建设标准的实施和工程造价计价工作，</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组织发布工程造价信息。</w:t>
      </w:r>
    </w:p>
    <w:p>
      <w:pPr>
        <w:widowControl/>
        <w:spacing w:line="560" w:lineRule="exact"/>
        <w:ind w:firstLine="640"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（四）承担规范房地产市场秩序、监督管理房地产市场</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的责任，会同有关部门组织拟订房地产市场监管政策并监督</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执行，提出房地产业的行业发展规划和产业政策，拟订房地</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产开发、房屋交易、房屋租赁、房屋面积管理、房地产估价</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与经纪管理、物业管理、房屋征收的规章制度并监督执行。</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指导监督房屋产权管理等工作，配合指导房屋登记工作，负</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责建设个人住房信息系统。</w:t>
      </w:r>
    </w:p>
    <w:p>
      <w:pPr>
        <w:widowControl/>
        <w:spacing w:line="560" w:lineRule="exact"/>
        <w:ind w:firstLine="640"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（五）指导全区建筑活动并规范建筑市场，指导、监督</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建筑市场准入、房屋和市政工程项目招标投标、工程监理工</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作，负责城市基础设施建设项目的监督检查，拟订勘察设计、</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工程建设、工程质量监督和检测、建设监理、工程造价及相</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关社会中介组织管理的有关政策并监督实施，组织制定全区</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房屋和市政工程招投标监督管理政策、规章制度并监督实施，</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组织区房屋和市政工程相关项目招投标活动的监督执法。</w:t>
      </w:r>
    </w:p>
    <w:p>
      <w:pPr>
        <w:widowControl/>
        <w:spacing w:line="560" w:lineRule="exact"/>
        <w:ind w:firstLine="640"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（六）拟订城市建设的政策、规划并指导实施，指导城</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市建设规划编制并监督实施，指导城市市政公用设施建设、</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安全和应急管理，指导和管理城市规划区的绿化工作，会同</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文物主管部门负责历史文化名城（镇、村）的保护和监督管</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理工作。</w:t>
      </w:r>
    </w:p>
    <w:p>
      <w:pPr>
        <w:widowControl/>
        <w:spacing w:line="560" w:lineRule="exact"/>
        <w:ind w:firstLine="640"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（七）拟订小城镇和村庄建设政策并指导实施，指导村</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镇建设规划编制、农村住房建设和安全及危房改造，指导小</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城镇和村庄人居生态环境的改善工作，指导村镇建设规划监</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督检查及全区重点镇建设。配合有关部门推进特色小镇和小</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城镇建设工作。</w:t>
      </w:r>
    </w:p>
    <w:p>
      <w:pPr>
        <w:widowControl/>
        <w:spacing w:line="560" w:lineRule="exact"/>
        <w:ind w:firstLine="640"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（八）指导和监督检查全区各类房屋及其附属设施、城</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市市政设施建设工程的抗震设防。</w:t>
      </w:r>
    </w:p>
    <w:p>
      <w:pPr>
        <w:widowControl/>
        <w:spacing w:line="560" w:lineRule="exact"/>
        <w:ind w:firstLine="640"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（九）承担建筑工程质量安全监管的责任，拟订建筑工</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程质量、建筑安全生产和竣工验收备案的政策、规章制度并</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监督执行，组织或参与建筑工程重大质量、安全事故的调查</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处理。</w:t>
      </w:r>
    </w:p>
    <w:p>
      <w:pPr>
        <w:widowControl/>
        <w:spacing w:line="560" w:lineRule="exact"/>
        <w:ind w:firstLine="640"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（十）承担推进建筑节能、城镇减排的责任，拟订全区</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住房和城乡建设科技发展规划和技术政策，组织重大科技项</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目攻关和成果推广，指导重大技术引进和创新工作，会同有</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关部门拟订建筑节能的政策、规划并监督实施，组织实施重</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大建筑节能项目。</w:t>
      </w:r>
    </w:p>
    <w:p>
      <w:pPr>
        <w:widowControl/>
        <w:spacing w:line="560" w:lineRule="exact"/>
        <w:ind w:firstLine="640"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（十一）负责全区住房和城乡建设行业执业资格和科技</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人才队伍建设的管理工作，管理全区住房和城乡建设行业的</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对外经济技术合作和外事工作，指导企业开拓国外建筑市场，</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发展国际工程承包和建筑劳务合作，配合有关部门做好招商</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引资工作，参与重大招商引资活动，负责招商引资项目的跟</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踪落实和相关指导、协调、服务工作。</w:t>
      </w:r>
    </w:p>
    <w:p>
      <w:pPr>
        <w:widowControl/>
        <w:spacing w:line="560" w:lineRule="exact"/>
        <w:ind w:firstLine="640"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（十二）贯彻执行国家关于人民防空工作的法律、法规，</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拟订有关政策，起草人民防空相关区政府规章草案。制定并</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组织落实防空袭预案，建立辅助决策系统，指导、监督有关</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部门和单位落实重要经济目标防护措施。收集、研究、汇总</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人民防空信息。制定并组织实施人民防空工程建设规划、计</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划，会同有关部门编制与城市相结合的人民防空建设规划、</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计划并监督实施，负责城市地下防护空间的规划、建设与管</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理。指导监督人防工程规划、建设过程中的安全生产工作，</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负责指导监督、检查人防工程平战转换、开发利用及经营管</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理中的安全生产和消防安全工作。制定并组织实施人民防空</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警报、通信建设规划、计划，组织协调通信保障工作。负责</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人民防空行政执法工作。</w:t>
      </w:r>
    </w:p>
    <w:p>
      <w:pPr>
        <w:widowControl/>
        <w:spacing w:line="560" w:lineRule="exact"/>
        <w:ind w:firstLine="640"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（十三）完成区委、区政府交办的其他任务。</w:t>
      </w:r>
    </w:p>
    <w:p>
      <w:pPr>
        <w:widowControl/>
        <w:spacing w:line="560" w:lineRule="exact"/>
        <w:ind w:firstLine="640"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（十四）关于污水处理方面的职责分工。区住房和城乡</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建设局负责指导污水处理配套管网建设，组织指导城镇污水</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处理设施的规划、建设、运营监管。市生态环境龙城分局负</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责组织指导农村污水处理设施的规划、建设、运营监管工作。</w:t>
      </w:r>
    </w:p>
    <w:p>
      <w:pPr>
        <w:widowControl/>
        <w:spacing w:line="560" w:lineRule="exact"/>
        <w:ind w:firstLine="640"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（十五）逐渐建立完善部门工会组织，以维护本部门职</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工合法权益，丰富职工精神文化生活，保障职工享有相应福</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利待遇。</w:t>
      </w:r>
    </w:p>
    <w:p>
      <w:pPr>
        <w:widowControl/>
        <w:spacing w:line="560" w:lineRule="exact"/>
        <w:jc w:val="left"/>
        <w:rPr>
          <w:rFonts w:ascii="仿宋_GB2312" w:hAnsi="宋体" w:eastAsia="仿宋_GB2312" w:cs="宋体"/>
          <w:bCs/>
          <w:color w:val="333333"/>
          <w:kern w:val="0"/>
          <w:sz w:val="32"/>
          <w:szCs w:val="32"/>
          <w:shd w:val="clear" w:color="auto" w:fill="FFFFFF"/>
        </w:rPr>
      </w:pPr>
      <w:r>
        <w:rPr>
          <w:rFonts w:hint="eastAsia" w:ascii="楷体_GB2312" w:hAnsi="楷体_GB2312" w:eastAsia="楷体_GB2312" w:cs="楷体_GB2312"/>
          <w:b/>
          <w:color w:val="333333"/>
          <w:kern w:val="0"/>
          <w:sz w:val="32"/>
          <w:szCs w:val="32"/>
          <w:shd w:val="clear" w:color="auto" w:fill="FFFFFF"/>
        </w:rPr>
        <w:t xml:space="preserve">    二、部门预算单位构成</w:t>
      </w:r>
      <w:r>
        <w:rPr>
          <w:rFonts w:hint="eastAsia" w:ascii="宋体" w:hAnsi="宋体" w:eastAsia="宋体" w:cs="宋体"/>
          <w:color w:val="333333"/>
          <w:kern w:val="0"/>
          <w:sz w:val="32"/>
          <w:szCs w:val="32"/>
        </w:rPr>
        <w:br w:type="textWrapping"/>
      </w:r>
      <w:r>
        <w:rPr>
          <w:rFonts w:hint="eastAsia" w:ascii="仿宋_GB2312" w:hAnsi="宋体" w:eastAsia="仿宋_GB2312" w:cs="宋体"/>
          <w:bCs/>
          <w:color w:val="333333"/>
          <w:kern w:val="0"/>
          <w:sz w:val="32"/>
          <w:szCs w:val="32"/>
          <w:shd w:val="clear" w:color="auto" w:fill="FFFFFF"/>
        </w:rPr>
        <w:t xml:space="preserve">    纳入2022年部门预算编制范围的预算单位包括：</w:t>
      </w:r>
    </w:p>
    <w:p>
      <w:pPr>
        <w:widowControl/>
        <w:spacing w:line="560" w:lineRule="exact"/>
        <w:ind w:firstLine="640" w:firstLineChars="200"/>
        <w:jc w:val="left"/>
        <w:rPr>
          <w:rFonts w:ascii="仿宋_GB2312" w:hAnsi="宋体" w:eastAsia="仿宋_GB2312" w:cs="宋体"/>
          <w:bCs/>
          <w:color w:val="333333"/>
          <w:kern w:val="0"/>
          <w:sz w:val="32"/>
          <w:szCs w:val="32"/>
          <w:shd w:val="clear" w:color="auto" w:fill="FFFFFF"/>
        </w:rPr>
      </w:pPr>
      <w:r>
        <w:rPr>
          <w:rFonts w:hint="eastAsia" w:ascii="仿宋_GB2312" w:hAnsi="宋体" w:eastAsia="仿宋_GB2312" w:cs="宋体"/>
          <w:bCs/>
          <w:color w:val="333333"/>
          <w:kern w:val="0"/>
          <w:sz w:val="32"/>
          <w:szCs w:val="32"/>
          <w:shd w:val="clear" w:color="auto" w:fill="FFFFFF"/>
        </w:rPr>
        <w:t>1、龙城区住建局本级</w:t>
      </w:r>
    </w:p>
    <w:p>
      <w:pPr>
        <w:widowControl/>
        <w:spacing w:line="560" w:lineRule="exact"/>
        <w:jc w:val="left"/>
        <w:rPr>
          <w:rFonts w:ascii="仿宋_GB2312" w:hAnsi="宋体" w:eastAsia="仿宋_GB2312" w:cs="宋体"/>
          <w:bCs/>
          <w:color w:val="333333"/>
          <w:kern w:val="0"/>
          <w:sz w:val="32"/>
          <w:szCs w:val="32"/>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kern w:val="0"/>
          <w:sz w:val="36"/>
          <w:szCs w:val="36"/>
        </w:rPr>
      </w:pPr>
    </w:p>
    <w:p>
      <w:pPr>
        <w:widowControl/>
        <w:spacing w:line="600" w:lineRule="exact"/>
        <w:jc w:val="left"/>
        <w:rPr>
          <w:rFonts w:ascii="宋体" w:hAnsi="宋体" w:eastAsia="宋体" w:cs="宋体"/>
          <w:kern w:val="0"/>
          <w:sz w:val="36"/>
          <w:szCs w:val="36"/>
        </w:rPr>
      </w:pP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第二部分 龙城区住建局2022年部门预算情况说明</w:t>
      </w:r>
    </w:p>
    <w:p>
      <w:pPr>
        <w:widowControl/>
        <w:spacing w:line="560" w:lineRule="exact"/>
        <w:ind w:firstLine="720" w:firstLineChars="200"/>
        <w:jc w:val="left"/>
        <w:rPr>
          <w:rFonts w:ascii="宋体" w:hAnsi="宋体" w:eastAsia="宋体" w:cs="宋体"/>
          <w:color w:val="333333"/>
          <w:kern w:val="0"/>
          <w:sz w:val="36"/>
          <w:szCs w:val="36"/>
        </w:rPr>
      </w:pPr>
    </w:p>
    <w:p>
      <w:pPr>
        <w:widowControl/>
        <w:spacing w:line="600" w:lineRule="exact"/>
        <w:jc w:val="left"/>
        <w:rPr>
          <w:rFonts w:ascii="宋体" w:hAnsi="宋体" w:eastAsia="宋体" w:cs="宋体"/>
          <w:color w:val="333333"/>
          <w:kern w:val="0"/>
          <w:sz w:val="32"/>
          <w:szCs w:val="32"/>
        </w:rPr>
      </w:pPr>
      <w:r>
        <w:rPr>
          <w:rFonts w:hint="eastAsia" w:ascii="楷体_GB2312" w:hAnsi="楷体_GB2312" w:eastAsia="楷体_GB2312" w:cs="楷体_GB2312"/>
          <w:b/>
          <w:bCs/>
          <w:color w:val="333333"/>
          <w:kern w:val="0"/>
          <w:sz w:val="32"/>
          <w:szCs w:val="32"/>
        </w:rPr>
        <w:t xml:space="preserve">    一、收支预算的总体情况</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按照综合预算的原则，2022 年所有收入和支出均纳入部门预算管理。其中：</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（一）收入预算792.78万元，包括：</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1.一般公共预算拨款收入792.78万元；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2.政府性基金预算拨款收入0万元；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3.国有资本经营预算拨款收入0万元；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4.财政专户管理资金收入0万元；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5.单位资金收入0万元；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6.上年结转结余0万元。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（二）支出预算792.78万元，包括：</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1.基本支出326.23万元；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2.项目支出466.55万元。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在支出预算792.78万元中，债务支出0万元，政府采购支出0万元，政府购买服务支出0万元。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2022年预算收支比 2021 年增加430.82万元。</w:t>
      </w:r>
    </w:p>
    <w:p>
      <w:pPr>
        <w:widowControl/>
        <w:spacing w:line="60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二、机关运行经费安排情况</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2022年机关运行经费预算为38.65万元。主要包括办公费、印刷费、邮电费、取暖费、差旅费、劳务费、水电费、工会经费、公务用车运行维护费、其他交通费用、其他对个人和家庭的补助支出等。</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三、政府采购情况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2022年预算无政府采购项目。</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四、 “三公”经费预算情况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按照中央及省委、省政府关于厉行节约、改进工作作风、密切联系群众“八项规定”等有关要求，严格控制“三公”经费支出，压减公务接待费和公务用车购置及运行费。一般公共预算安排的“三公”经费预算数8.4万元，比上年增加/减少</w:t>
      </w:r>
    </w:p>
    <w:p>
      <w:pPr>
        <w:widowControl/>
        <w:spacing w:line="540" w:lineRule="exact"/>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0万元。其中：</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因公出国（境）费0万元，与上年持平。</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公务接待费0万元，与上年持平。</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公务用车运行费8.4万元，与上年持平。</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五、国有资产占用情况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2022年年初预算购置车辆0台，金额 0万元，单位价值 50 万元以上的通用设备 0 台，单位价值 100万元以上的专用设备 0台。</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六、预算绩效目标情况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根据预算绩效管理要求，2022年应编制部门（单位）整体绩效目标共1个，实际编制部门（单位）整体绩效目标共1个，编制部门（单位）整体绩效目标覆盖率（实际编制绩效目标的数量/应编制绩效目标的数量）为100%。应编制绩效目标的特定目标类项目共1个，实际编制绩效目标的特定目标类项目共 1个,涉及资金198.75万元，编制特定目标的项目覆盖率（实际编制绩效目标的数量/应编制绩效目标的数量）为100%。</w:t>
      </w: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第三部分 名词解释</w:t>
      </w:r>
    </w:p>
    <w:p>
      <w:pPr>
        <w:widowControl/>
        <w:spacing w:line="600" w:lineRule="exact"/>
        <w:jc w:val="center"/>
        <w:rPr>
          <w:rFonts w:ascii="宋体" w:hAnsi="宋体" w:eastAsia="宋体" w:cs="宋体"/>
          <w:color w:val="333333"/>
          <w:kern w:val="0"/>
          <w:sz w:val="36"/>
          <w:szCs w:val="36"/>
        </w:rPr>
      </w:pP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1.一般公共预算拨款收入：</w:t>
      </w:r>
      <w:r>
        <w:rPr>
          <w:rFonts w:hint="eastAsia" w:ascii="仿宋_GB2312" w:hAnsi="仿宋_GB2312" w:eastAsia="仿宋_GB2312" w:cs="仿宋_GB2312"/>
          <w:color w:val="333333"/>
          <w:kern w:val="0"/>
          <w:sz w:val="32"/>
          <w:szCs w:val="32"/>
          <w:shd w:val="clear" w:color="auto" w:fill="FFFFFF"/>
        </w:rPr>
        <w:t>指区级财政当年拨付的资金。</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2.基本支出：</w:t>
      </w:r>
      <w:r>
        <w:rPr>
          <w:rFonts w:hint="eastAsia" w:ascii="仿宋_GB2312" w:hAnsi="仿宋_GB2312" w:eastAsia="仿宋_GB2312" w:cs="仿宋_GB2312"/>
          <w:color w:val="333333"/>
          <w:kern w:val="0"/>
          <w:sz w:val="32"/>
          <w:szCs w:val="32"/>
          <w:shd w:val="clear" w:color="auto" w:fill="FFFFFF"/>
        </w:rPr>
        <w:t>指保障机构正常运转、完成日常工作任务而发生的人员经费和公用经费。</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3.项目支出：</w:t>
      </w:r>
      <w:r>
        <w:rPr>
          <w:rFonts w:hint="eastAsia" w:ascii="仿宋_GB2312" w:hAnsi="仿宋_GB2312" w:eastAsia="仿宋_GB2312" w:cs="仿宋_GB2312"/>
          <w:color w:val="333333"/>
          <w:kern w:val="0"/>
          <w:sz w:val="32"/>
          <w:szCs w:val="32"/>
          <w:shd w:val="clear" w:color="auto" w:fill="FFFFFF"/>
        </w:rPr>
        <w:t>指在基本支出之外为完成特定工作任务和事业发展目标所发生的支出。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4.“三公”经费：</w:t>
      </w:r>
      <w:r>
        <w:rPr>
          <w:rFonts w:hint="eastAsia" w:ascii="仿宋_GB2312" w:hAnsi="仿宋_GB2312" w:eastAsia="仿宋_GB2312" w:cs="仿宋_GB2312"/>
          <w:color w:val="333333"/>
          <w:kern w:val="0"/>
          <w:sz w:val="32"/>
          <w:szCs w:val="32"/>
          <w:shd w:val="clear" w:color="auto" w:fill="FFFFFF"/>
        </w:rPr>
        <w:t>指用一般公共预算拨款安排的因公出国（境）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620" w:lineRule="exact"/>
        <w:ind w:firstLine="643" w:firstLineChars="200"/>
        <w:jc w:val="left"/>
        <w:rPr>
          <w:rFonts w:ascii="仿宋_GB2312" w:hAnsi="仿宋_GB2312" w:eastAsia="仿宋_GB2312" w:cs="仿宋_GB2312"/>
          <w:b/>
          <w:bCs/>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5.社会保障和就业（类）行政事业单位养老（款）机关事业单位基本养老保险缴费（项）：</w:t>
      </w:r>
      <w:r>
        <w:rPr>
          <w:rFonts w:hint="eastAsia" w:ascii="仿宋_GB2312" w:hAnsi="仿宋_GB2312" w:eastAsia="仿宋_GB2312" w:cs="仿宋_GB2312"/>
          <w:color w:val="333333"/>
          <w:kern w:val="0"/>
          <w:sz w:val="32"/>
          <w:szCs w:val="32"/>
          <w:shd w:val="clear" w:color="auto" w:fill="FFFFFF"/>
        </w:rPr>
        <w:t>反映机关事业单位实施养老保险制度由单位缴纳的基本养老保险费支出。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6.卫生健康（类）行政事业单位医疗（款）行政单位医疗（项）：</w:t>
      </w:r>
      <w:r>
        <w:rPr>
          <w:rFonts w:hint="eastAsia" w:ascii="仿宋_GB2312" w:hAnsi="仿宋_GB2312" w:eastAsia="仿宋_GB2312" w:cs="仿宋_GB2312"/>
          <w:color w:val="333333"/>
          <w:kern w:val="0"/>
          <w:sz w:val="32"/>
          <w:szCs w:val="32"/>
          <w:shd w:val="clear" w:color="auto" w:fill="FFFFFF"/>
        </w:rPr>
        <w:t>反映财政部门安排的行政单位（包括实行公务员管理的事业单位，下同）基本医疗保险缴费经费，未参加医疗保险的行政单位的公费医疗经费，按国家规定享受离休人员、红军老战士待遇人员的医疗经费。</w:t>
      </w:r>
    </w:p>
    <w:p>
      <w:pPr>
        <w:spacing w:line="620" w:lineRule="exact"/>
        <w:ind w:firstLine="643" w:firstLineChars="200"/>
        <w:jc w:val="left"/>
        <w:rPr>
          <w:rFonts w:ascii="仿宋_GB2312" w:hAnsi="仿宋_GB2312" w:eastAsia="仿宋_GB2312" w:cs="仿宋_GB2312"/>
          <w:color w:val="333333"/>
          <w:kern w:val="0"/>
          <w:sz w:val="32"/>
          <w:szCs w:val="32"/>
          <w:highlight w:val="yellow"/>
          <w:shd w:val="clear" w:color="auto" w:fill="FFFFFF"/>
        </w:rPr>
      </w:pPr>
      <w:r>
        <w:rPr>
          <w:rFonts w:hint="eastAsia" w:ascii="仿宋_GB2312" w:hAnsi="仿宋_GB2312" w:eastAsia="仿宋_GB2312" w:cs="仿宋_GB2312"/>
          <w:b/>
          <w:bCs/>
          <w:color w:val="333333"/>
          <w:kern w:val="0"/>
          <w:sz w:val="32"/>
          <w:szCs w:val="32"/>
          <w:shd w:val="clear" w:color="auto" w:fill="FFFFFF"/>
        </w:rPr>
        <w:t>7.城乡社区（类）城乡社区管理事务（款）行政运行（项）：</w:t>
      </w:r>
      <w:r>
        <w:rPr>
          <w:rFonts w:hint="eastAsia" w:ascii="仿宋_GB2312" w:hAnsi="仿宋_GB2312" w:eastAsia="仿宋_GB2312" w:cs="仿宋_GB2312"/>
          <w:color w:val="333333"/>
          <w:kern w:val="0"/>
          <w:sz w:val="32"/>
          <w:szCs w:val="32"/>
          <w:shd w:val="clear" w:color="auto" w:fill="FFFFFF"/>
        </w:rPr>
        <w:t>反映行政单位（包括实行公务员管理的事业单位）的基本支出。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8.城乡社区（类）城乡社区管理事务（款）其他城乡社区管理事务（项）：</w:t>
      </w:r>
      <w:r>
        <w:rPr>
          <w:rFonts w:hint="eastAsia" w:ascii="仿宋_GB2312" w:hAnsi="仿宋_GB2312" w:eastAsia="仿宋_GB2312" w:cs="仿宋_GB2312"/>
          <w:color w:val="333333"/>
          <w:kern w:val="0"/>
          <w:sz w:val="32"/>
          <w:szCs w:val="32"/>
          <w:shd w:val="clear" w:color="auto" w:fill="FFFFFF"/>
        </w:rPr>
        <w:t>反映除上述项目以外其他用于城乡社区管理事务方面的支出。</w:t>
      </w:r>
    </w:p>
    <w:p>
      <w:pPr>
        <w:spacing w:line="620" w:lineRule="exact"/>
        <w:ind w:firstLine="643" w:firstLineChars="200"/>
        <w:jc w:val="left"/>
        <w:rPr>
          <w:rFonts w:ascii="仿宋_GB2312" w:hAnsi="仿宋_GB2312" w:eastAsia="仿宋_GB2312" w:cs="仿宋_GB2312"/>
          <w:color w:val="333333"/>
          <w:kern w:val="0"/>
          <w:sz w:val="32"/>
          <w:szCs w:val="32"/>
          <w:highlight w:val="yellow"/>
          <w:shd w:val="clear" w:color="auto" w:fill="FFFFFF"/>
        </w:rPr>
      </w:pPr>
      <w:r>
        <w:rPr>
          <w:rFonts w:hint="eastAsia" w:ascii="仿宋_GB2312" w:hAnsi="仿宋_GB2312" w:eastAsia="仿宋_GB2312" w:cs="仿宋_GB2312"/>
          <w:b/>
          <w:bCs/>
          <w:color w:val="333333"/>
          <w:kern w:val="0"/>
          <w:sz w:val="32"/>
          <w:szCs w:val="32"/>
          <w:shd w:val="clear" w:color="auto" w:fill="FFFFFF"/>
        </w:rPr>
        <w:t>9.城乡社区（类）城乡社区公共设施（款）其他城乡社区公共设施（项）：</w:t>
      </w:r>
      <w:r>
        <w:rPr>
          <w:rFonts w:hint="eastAsia" w:ascii="仿宋_GB2312" w:hAnsi="仿宋_GB2312" w:eastAsia="仿宋_GB2312" w:cs="仿宋_GB2312"/>
          <w:color w:val="333333"/>
          <w:kern w:val="0"/>
          <w:sz w:val="32"/>
          <w:szCs w:val="32"/>
          <w:shd w:val="clear" w:color="auto" w:fill="FFFFFF"/>
        </w:rPr>
        <w:t>反映除上述项目以外其他用于城乡社区公共设施方面的支出。</w:t>
      </w:r>
    </w:p>
    <w:p>
      <w:pPr>
        <w:spacing w:line="620" w:lineRule="exact"/>
        <w:ind w:firstLine="643" w:firstLineChars="200"/>
        <w:jc w:val="left"/>
        <w:rPr>
          <w:rFonts w:ascii="仿宋_GB2312" w:hAnsi="仿宋_GB2312" w:eastAsia="仿宋_GB2312" w:cs="仿宋_GB2312"/>
          <w:color w:val="333333"/>
          <w:kern w:val="0"/>
          <w:sz w:val="32"/>
          <w:szCs w:val="32"/>
          <w:highlight w:val="yellow"/>
          <w:shd w:val="clear" w:color="auto" w:fill="FFFFFF"/>
        </w:rPr>
      </w:pPr>
      <w:r>
        <w:rPr>
          <w:rFonts w:hint="eastAsia" w:ascii="仿宋_GB2312" w:hAnsi="仿宋_GB2312" w:eastAsia="仿宋_GB2312" w:cs="仿宋_GB2312"/>
          <w:b/>
          <w:bCs/>
          <w:color w:val="333333"/>
          <w:kern w:val="0"/>
          <w:sz w:val="32"/>
          <w:szCs w:val="32"/>
          <w:shd w:val="clear" w:color="auto" w:fill="FFFFFF"/>
        </w:rPr>
        <w:t>10.住房保障（类）保障性安居工程（款）公共租赁住房（项）：</w:t>
      </w:r>
      <w:r>
        <w:rPr>
          <w:rFonts w:hint="eastAsia" w:ascii="仿宋_GB2312" w:hAnsi="仿宋_GB2312" w:eastAsia="仿宋_GB2312" w:cs="仿宋_GB2312"/>
          <w:color w:val="333333"/>
          <w:kern w:val="0"/>
          <w:sz w:val="32"/>
          <w:szCs w:val="32"/>
          <w:shd w:val="clear" w:color="auto" w:fill="FFFFFF"/>
        </w:rPr>
        <w:t>反映用于新建、改建、购买、租赁、维护和管理公共租赁住房支出。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11.社会保障和就业208（类）行政事业单位离退休（款）归口管理的行政单位离退休2080501（项）：</w:t>
      </w:r>
      <w:r>
        <w:rPr>
          <w:rFonts w:hint="eastAsia" w:ascii="仿宋_GB2312" w:hAnsi="仿宋_GB2312" w:eastAsia="仿宋_GB2312" w:cs="仿宋_GB2312"/>
          <w:color w:val="333333"/>
          <w:kern w:val="0"/>
          <w:sz w:val="32"/>
          <w:szCs w:val="32"/>
          <w:shd w:val="clear" w:color="auto" w:fill="FFFFFF"/>
        </w:rPr>
        <w:t>反映行政单位（包括实行公务员管理的事业单位）开支的离退休经费。</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12.住房保障（类）住房改革住房改革（款）住房公积金（项）：</w:t>
      </w:r>
      <w:r>
        <w:rPr>
          <w:rFonts w:hint="eastAsia" w:ascii="仿宋_GB2312" w:hAnsi="仿宋_GB2312" w:eastAsia="仿宋_GB2312" w:cs="仿宋_GB2312"/>
          <w:color w:val="333333"/>
          <w:kern w:val="0"/>
          <w:sz w:val="32"/>
          <w:szCs w:val="32"/>
          <w:shd w:val="clear" w:color="auto" w:fill="FFFFFF"/>
        </w:rPr>
        <w:t>反映行政事业单位按人力资源和社会保障部、财政部规定的基本工资和津贴补贴以及规定比例为职工缴纳的住房公积金。</w:t>
      </w:r>
    </w:p>
    <w:p>
      <w:pPr>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center"/>
        <w:rPr>
          <w:rFonts w:hint="eastAsia" w:ascii="黑体" w:hAnsi="黑体" w:eastAsia="黑体" w:cs="宋体"/>
          <w:color w:val="333333"/>
          <w:kern w:val="0"/>
          <w:sz w:val="36"/>
          <w:szCs w:val="36"/>
          <w:highlight w:val="none"/>
        </w:rPr>
      </w:pPr>
    </w:p>
    <w:p>
      <w:pPr>
        <w:widowControl/>
        <w:spacing w:line="600" w:lineRule="exact"/>
        <w:jc w:val="center"/>
        <w:rPr>
          <w:rFonts w:ascii="黑体" w:hAnsi="黑体" w:eastAsia="黑体" w:cs="宋体"/>
          <w:color w:val="333333"/>
          <w:kern w:val="0"/>
          <w:sz w:val="36"/>
          <w:szCs w:val="36"/>
          <w:highlight w:val="none"/>
        </w:rPr>
      </w:pPr>
      <w:bookmarkStart w:id="0" w:name="_GoBack"/>
      <w:bookmarkEnd w:id="0"/>
      <w:r>
        <w:rPr>
          <w:rFonts w:hint="eastAsia" w:ascii="黑体" w:hAnsi="黑体" w:eastAsia="黑体" w:cs="宋体"/>
          <w:color w:val="333333"/>
          <w:kern w:val="0"/>
          <w:sz w:val="36"/>
          <w:szCs w:val="36"/>
          <w:highlight w:val="none"/>
        </w:rPr>
        <w:t>第四部分 2022年龙城区住建局部门预算批复表</w:t>
      </w:r>
    </w:p>
    <w:p>
      <w:pPr>
        <w:widowControl/>
        <w:spacing w:line="600" w:lineRule="exact"/>
        <w:jc w:val="left"/>
        <w:rPr>
          <w:rFonts w:ascii="仿宋_GB2312" w:hAnsi="宋体" w:eastAsia="仿宋_GB2312" w:cs="宋体"/>
          <w:color w:val="333333"/>
          <w:kern w:val="0"/>
          <w:sz w:val="36"/>
          <w:szCs w:val="36"/>
          <w:highlight w:val="none"/>
          <w:shd w:val="clear" w:color="auto" w:fill="FFFFFF"/>
        </w:rPr>
      </w:pPr>
    </w:p>
    <w:p>
      <w:pPr>
        <w:widowControl/>
        <w:spacing w:line="600" w:lineRule="exact"/>
        <w:ind w:firstLine="960" w:firstLineChars="300"/>
        <w:jc w:val="left"/>
        <w:rPr>
          <w:rFonts w:ascii="仿宋_GB2312" w:hAnsi="宋体" w:eastAsia="仿宋_GB2312" w:cs="宋体"/>
          <w:kern w:val="0"/>
          <w:sz w:val="36"/>
          <w:szCs w:val="36"/>
          <w:highlight w:val="none"/>
        </w:rPr>
      </w:pPr>
      <w:r>
        <w:rPr>
          <w:rFonts w:hint="eastAsia" w:ascii="仿宋_GB2312" w:hAnsi="宋体" w:eastAsia="仿宋_GB2312" w:cs="宋体"/>
          <w:color w:val="333333"/>
          <w:kern w:val="0"/>
          <w:sz w:val="32"/>
          <w:szCs w:val="32"/>
          <w:highlight w:val="none"/>
          <w:shd w:val="clear" w:color="auto" w:fill="FFFFFF"/>
        </w:rPr>
        <w:t>详见附表：</w:t>
      </w:r>
      <w:r>
        <w:rPr>
          <w:rFonts w:hint="eastAsia" w:ascii="仿宋_GB2312" w:hAnsi="宋体" w:eastAsia="仿宋_GB2312" w:cs="宋体"/>
          <w:color w:val="333333"/>
          <w:kern w:val="0"/>
          <w:sz w:val="32"/>
          <w:szCs w:val="32"/>
          <w:highlight w:val="none"/>
        </w:rPr>
        <w:t>2022年龙城区</w:t>
      </w:r>
      <w:r>
        <w:rPr>
          <w:rFonts w:hint="eastAsia" w:ascii="仿宋_GB2312" w:hAnsi="宋体" w:eastAsia="仿宋_GB2312" w:cs="宋体"/>
          <w:color w:val="333333"/>
          <w:kern w:val="0"/>
          <w:sz w:val="32"/>
          <w:szCs w:val="32"/>
          <w:highlight w:val="none"/>
          <w:lang w:val="en-US" w:eastAsia="zh-CN"/>
        </w:rPr>
        <w:t>住建</w:t>
      </w:r>
      <w:r>
        <w:rPr>
          <w:rFonts w:hint="eastAsia" w:ascii="仿宋_GB2312" w:hAnsi="宋体" w:eastAsia="仿宋_GB2312" w:cs="宋体"/>
          <w:color w:val="333333"/>
          <w:kern w:val="0"/>
          <w:sz w:val="32"/>
          <w:szCs w:val="32"/>
          <w:highlight w:val="none"/>
        </w:rPr>
        <w:t>局部门预算批复表</w:t>
      </w:r>
    </w:p>
    <w:p>
      <w:pPr>
        <w:spacing w:line="600" w:lineRule="exact"/>
        <w:jc w:val="left"/>
        <w:rPr>
          <w:rFonts w:ascii="仿宋_GB2312" w:eastAsia="仿宋_GB2312"/>
          <w:sz w:val="36"/>
          <w:szCs w:val="36"/>
          <w:highlight w:val="yellow"/>
        </w:rPr>
      </w:pPr>
    </w:p>
    <w:sectPr>
      <w:footerReference r:id="rId3" w:type="default"/>
      <w:pgSz w:w="11906" w:h="16838"/>
      <w:pgMar w:top="1701" w:right="1418" w:bottom="1701" w:left="170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10</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10</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405"/>
    <w:rsid w:val="00013A56"/>
    <w:rsid w:val="000149E6"/>
    <w:rsid w:val="00030A85"/>
    <w:rsid w:val="0003771B"/>
    <w:rsid w:val="00043215"/>
    <w:rsid w:val="00047FE8"/>
    <w:rsid w:val="000551A7"/>
    <w:rsid w:val="00090925"/>
    <w:rsid w:val="00092E0A"/>
    <w:rsid w:val="000B5272"/>
    <w:rsid w:val="000E2768"/>
    <w:rsid w:val="000F5006"/>
    <w:rsid w:val="001174ED"/>
    <w:rsid w:val="001346CD"/>
    <w:rsid w:val="00164EE2"/>
    <w:rsid w:val="00185E91"/>
    <w:rsid w:val="001B61B1"/>
    <w:rsid w:val="001E0ED4"/>
    <w:rsid w:val="0021024E"/>
    <w:rsid w:val="00213E50"/>
    <w:rsid w:val="00220C5F"/>
    <w:rsid w:val="00225BC5"/>
    <w:rsid w:val="0023397A"/>
    <w:rsid w:val="00234682"/>
    <w:rsid w:val="002732A0"/>
    <w:rsid w:val="00276547"/>
    <w:rsid w:val="002B4F24"/>
    <w:rsid w:val="0030753A"/>
    <w:rsid w:val="003163EE"/>
    <w:rsid w:val="00355960"/>
    <w:rsid w:val="003C4405"/>
    <w:rsid w:val="003D2678"/>
    <w:rsid w:val="00431D1D"/>
    <w:rsid w:val="00432CF0"/>
    <w:rsid w:val="00445E2C"/>
    <w:rsid w:val="004B08C4"/>
    <w:rsid w:val="004B6C5D"/>
    <w:rsid w:val="004C674C"/>
    <w:rsid w:val="004D7509"/>
    <w:rsid w:val="00523D6B"/>
    <w:rsid w:val="00527D20"/>
    <w:rsid w:val="0054696D"/>
    <w:rsid w:val="00547E1A"/>
    <w:rsid w:val="005553D6"/>
    <w:rsid w:val="00557F0D"/>
    <w:rsid w:val="00562378"/>
    <w:rsid w:val="005F025F"/>
    <w:rsid w:val="006572C8"/>
    <w:rsid w:val="00686E27"/>
    <w:rsid w:val="006C5DB9"/>
    <w:rsid w:val="006D318D"/>
    <w:rsid w:val="007233F3"/>
    <w:rsid w:val="007314F8"/>
    <w:rsid w:val="00737963"/>
    <w:rsid w:val="00773D18"/>
    <w:rsid w:val="0077615C"/>
    <w:rsid w:val="00796FF7"/>
    <w:rsid w:val="007C744B"/>
    <w:rsid w:val="00800800"/>
    <w:rsid w:val="00872639"/>
    <w:rsid w:val="008735FF"/>
    <w:rsid w:val="008C0176"/>
    <w:rsid w:val="008F639A"/>
    <w:rsid w:val="009222EF"/>
    <w:rsid w:val="00926E8E"/>
    <w:rsid w:val="00930000"/>
    <w:rsid w:val="00937B7A"/>
    <w:rsid w:val="00970F52"/>
    <w:rsid w:val="009758FE"/>
    <w:rsid w:val="00975A87"/>
    <w:rsid w:val="00977A56"/>
    <w:rsid w:val="00987CAA"/>
    <w:rsid w:val="009A4745"/>
    <w:rsid w:val="009A705A"/>
    <w:rsid w:val="009F76B7"/>
    <w:rsid w:val="00A32398"/>
    <w:rsid w:val="00A454C4"/>
    <w:rsid w:val="00A77C11"/>
    <w:rsid w:val="00A84A58"/>
    <w:rsid w:val="00A86797"/>
    <w:rsid w:val="00A9299F"/>
    <w:rsid w:val="00AB2A8C"/>
    <w:rsid w:val="00AD2625"/>
    <w:rsid w:val="00B22BC7"/>
    <w:rsid w:val="00B757C5"/>
    <w:rsid w:val="00B77772"/>
    <w:rsid w:val="00B8047F"/>
    <w:rsid w:val="00B92519"/>
    <w:rsid w:val="00BD1227"/>
    <w:rsid w:val="00C1756C"/>
    <w:rsid w:val="00C176CA"/>
    <w:rsid w:val="00C21B8F"/>
    <w:rsid w:val="00C24DC5"/>
    <w:rsid w:val="00C31141"/>
    <w:rsid w:val="00C97B24"/>
    <w:rsid w:val="00CD0239"/>
    <w:rsid w:val="00D03F8E"/>
    <w:rsid w:val="00D31DCF"/>
    <w:rsid w:val="00D37C8C"/>
    <w:rsid w:val="00D407E3"/>
    <w:rsid w:val="00D644D6"/>
    <w:rsid w:val="00D64855"/>
    <w:rsid w:val="00D828A5"/>
    <w:rsid w:val="00DB0F6C"/>
    <w:rsid w:val="00DC359B"/>
    <w:rsid w:val="00E13AF1"/>
    <w:rsid w:val="00E317BA"/>
    <w:rsid w:val="00E4354B"/>
    <w:rsid w:val="00E61702"/>
    <w:rsid w:val="00E73E69"/>
    <w:rsid w:val="00E84A80"/>
    <w:rsid w:val="00EB52FA"/>
    <w:rsid w:val="00EB5C42"/>
    <w:rsid w:val="00ED6420"/>
    <w:rsid w:val="00EF2A3A"/>
    <w:rsid w:val="00F06896"/>
    <w:rsid w:val="00F24E44"/>
    <w:rsid w:val="00F33DE8"/>
    <w:rsid w:val="00F404C5"/>
    <w:rsid w:val="00F6157F"/>
    <w:rsid w:val="00F80D8D"/>
    <w:rsid w:val="00F81352"/>
    <w:rsid w:val="00FC7F22"/>
    <w:rsid w:val="00FF0E8C"/>
    <w:rsid w:val="00FF3ABD"/>
    <w:rsid w:val="00FF61DC"/>
    <w:rsid w:val="01A97BB8"/>
    <w:rsid w:val="02761C0D"/>
    <w:rsid w:val="042A3908"/>
    <w:rsid w:val="05645DD5"/>
    <w:rsid w:val="06FF0CB0"/>
    <w:rsid w:val="0903220B"/>
    <w:rsid w:val="0D2614A6"/>
    <w:rsid w:val="0E6F720B"/>
    <w:rsid w:val="0FF03899"/>
    <w:rsid w:val="102D6BFA"/>
    <w:rsid w:val="11FB66BF"/>
    <w:rsid w:val="1234353F"/>
    <w:rsid w:val="1326262F"/>
    <w:rsid w:val="15AD3F30"/>
    <w:rsid w:val="173717D7"/>
    <w:rsid w:val="17621CF9"/>
    <w:rsid w:val="187D73F3"/>
    <w:rsid w:val="1D0A2388"/>
    <w:rsid w:val="1D11562F"/>
    <w:rsid w:val="20231D62"/>
    <w:rsid w:val="21AA1373"/>
    <w:rsid w:val="23446E27"/>
    <w:rsid w:val="25CD18FC"/>
    <w:rsid w:val="265179CD"/>
    <w:rsid w:val="2D35424E"/>
    <w:rsid w:val="2E1B5502"/>
    <w:rsid w:val="2E8D381B"/>
    <w:rsid w:val="312F361B"/>
    <w:rsid w:val="335C1CF6"/>
    <w:rsid w:val="360D581B"/>
    <w:rsid w:val="36DC1099"/>
    <w:rsid w:val="3C6077A7"/>
    <w:rsid w:val="41983AB0"/>
    <w:rsid w:val="422B3845"/>
    <w:rsid w:val="43F61240"/>
    <w:rsid w:val="46242F15"/>
    <w:rsid w:val="46912D78"/>
    <w:rsid w:val="46E85EE9"/>
    <w:rsid w:val="485C3099"/>
    <w:rsid w:val="4CBA308F"/>
    <w:rsid w:val="4CF9084E"/>
    <w:rsid w:val="4D8C5366"/>
    <w:rsid w:val="4DF518FB"/>
    <w:rsid w:val="50A75B7A"/>
    <w:rsid w:val="516D6592"/>
    <w:rsid w:val="517B3B12"/>
    <w:rsid w:val="51CD280E"/>
    <w:rsid w:val="539D7E49"/>
    <w:rsid w:val="53B11C28"/>
    <w:rsid w:val="57E74750"/>
    <w:rsid w:val="5D9A61AC"/>
    <w:rsid w:val="5E300161"/>
    <w:rsid w:val="5F1D2671"/>
    <w:rsid w:val="604B01CA"/>
    <w:rsid w:val="64FB7BD6"/>
    <w:rsid w:val="65C63716"/>
    <w:rsid w:val="665D6325"/>
    <w:rsid w:val="68CA0FEC"/>
    <w:rsid w:val="6AE93CFB"/>
    <w:rsid w:val="6B163A6D"/>
    <w:rsid w:val="6C314867"/>
    <w:rsid w:val="6E5B298D"/>
    <w:rsid w:val="6E5E7F24"/>
    <w:rsid w:val="6E9C23D4"/>
    <w:rsid w:val="6FEF1D52"/>
    <w:rsid w:val="701F4FF2"/>
    <w:rsid w:val="723B31C2"/>
    <w:rsid w:val="753260A0"/>
    <w:rsid w:val="77C96CD5"/>
    <w:rsid w:val="788946CD"/>
    <w:rsid w:val="791507F1"/>
    <w:rsid w:val="79615874"/>
    <w:rsid w:val="7AB97E94"/>
    <w:rsid w:val="7C4142B8"/>
    <w:rsid w:val="7C8E33AA"/>
    <w:rsid w:val="7DBB41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sz w:val="18"/>
      <w:szCs w:val="18"/>
    </w:rPr>
  </w:style>
  <w:style w:type="paragraph" w:styleId="5">
    <w:name w:val="footer"/>
    <w:basedOn w:val="1"/>
    <w:link w:val="15"/>
    <w:semiHidden/>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标题 1 Char"/>
    <w:basedOn w:val="9"/>
    <w:link w:val="2"/>
    <w:qFormat/>
    <w:uiPriority w:val="9"/>
    <w:rPr>
      <w:rFonts w:ascii="宋体" w:hAnsi="宋体" w:eastAsia="宋体" w:cs="宋体"/>
      <w:b/>
      <w:bCs/>
      <w:kern w:val="36"/>
      <w:sz w:val="48"/>
      <w:szCs w:val="48"/>
    </w:rPr>
  </w:style>
  <w:style w:type="character" w:customStyle="1" w:styleId="13">
    <w:name w:val="标题 2 Char"/>
    <w:basedOn w:val="9"/>
    <w:link w:val="3"/>
    <w:qFormat/>
    <w:uiPriority w:val="9"/>
    <w:rPr>
      <w:rFonts w:ascii="宋体" w:hAnsi="宋体" w:eastAsia="宋体" w:cs="宋体"/>
      <w:b/>
      <w:bCs/>
      <w:kern w:val="0"/>
      <w:sz w:val="36"/>
      <w:szCs w:val="36"/>
    </w:rPr>
  </w:style>
  <w:style w:type="character" w:customStyle="1" w:styleId="14">
    <w:name w:val="页眉 Char"/>
    <w:basedOn w:val="9"/>
    <w:link w:val="6"/>
    <w:semiHidden/>
    <w:qFormat/>
    <w:uiPriority w:val="99"/>
    <w:rPr>
      <w:sz w:val="18"/>
      <w:szCs w:val="18"/>
    </w:rPr>
  </w:style>
  <w:style w:type="character" w:customStyle="1" w:styleId="15">
    <w:name w:val="页脚 Char"/>
    <w:basedOn w:val="9"/>
    <w:link w:val="5"/>
    <w:semiHidden/>
    <w:qFormat/>
    <w:uiPriority w:val="99"/>
    <w:rPr>
      <w:sz w:val="18"/>
      <w:szCs w:val="18"/>
    </w:rPr>
  </w:style>
  <w:style w:type="character" w:customStyle="1" w:styleId="16">
    <w:name w:val="批注框文本 Char"/>
    <w:basedOn w:val="9"/>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627</Words>
  <Characters>3579</Characters>
  <Lines>29</Lines>
  <Paragraphs>8</Paragraphs>
  <TotalTime>3</TotalTime>
  <ScaleCrop>false</ScaleCrop>
  <LinksUpToDate>false</LinksUpToDate>
  <CharactersWithSpaces>4198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2022-01-04T06:44:00Z</dcterms:created>
  <dc:creator>微软用户</dc:creator>
  <cp:lastModifiedBy>Administrator</cp:lastModifiedBy>
  <cp:lastPrinted>2022-01-11T02:17:24Z</cp:lastPrinted>
  <dcterms:modified xsi:type="dcterms:W3CDTF">2022-01-11T02:18:38Z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C81C79781D3644AF8DD9CED1BBF6D157</vt:lpwstr>
  </property>
</Properties>
</file>