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rFonts w:ascii="宋体" w:hAnsi="宋体"/>
          <w:b/>
          <w:sz w:val="44"/>
          <w:szCs w:val="44"/>
        </w:rPr>
      </w:pPr>
    </w:p>
    <w:p>
      <w:pPr>
        <w:spacing w:line="600" w:lineRule="exact"/>
        <w:jc w:val="left"/>
        <w:rPr>
          <w:rFonts w:ascii="宋体" w:hAnsi="宋体"/>
          <w:b/>
          <w:sz w:val="44"/>
          <w:szCs w:val="44"/>
        </w:rPr>
      </w:pPr>
    </w:p>
    <w:p>
      <w:pPr>
        <w:spacing w:line="600" w:lineRule="exact"/>
        <w:jc w:val="left"/>
        <w:rPr>
          <w:rFonts w:ascii="宋体" w:hAnsi="宋体"/>
          <w:b/>
          <w:sz w:val="44"/>
          <w:szCs w:val="44"/>
        </w:rPr>
      </w:pPr>
    </w:p>
    <w:p>
      <w:pPr>
        <w:spacing w:line="600" w:lineRule="exact"/>
        <w:jc w:val="left"/>
        <w:rPr>
          <w:rFonts w:ascii="宋体" w:hAnsi="宋体"/>
          <w:b/>
          <w:sz w:val="44"/>
          <w:szCs w:val="44"/>
        </w:rPr>
      </w:pPr>
    </w:p>
    <w:p>
      <w:pPr>
        <w:spacing w:line="700" w:lineRule="exact"/>
        <w:jc w:val="center"/>
        <w:rPr>
          <w:rFonts w:ascii="宋体" w:hAnsi="宋体"/>
          <w:b/>
          <w:sz w:val="52"/>
          <w:szCs w:val="52"/>
        </w:rPr>
      </w:pPr>
      <w:r>
        <w:rPr>
          <w:rFonts w:hint="eastAsia" w:ascii="宋体" w:hAnsi="宋体"/>
          <w:b/>
          <w:sz w:val="52"/>
          <w:szCs w:val="52"/>
        </w:rPr>
        <w:t>龙城区农村经济经营管理局部门预算</w:t>
      </w:r>
    </w:p>
    <w:p>
      <w:pPr>
        <w:spacing w:line="700" w:lineRule="exact"/>
        <w:jc w:val="center"/>
        <w:rPr>
          <w:rFonts w:ascii="宋体" w:hAnsi="宋体"/>
          <w:b/>
          <w:sz w:val="52"/>
          <w:szCs w:val="52"/>
        </w:rPr>
      </w:pPr>
      <w:r>
        <w:rPr>
          <w:rFonts w:hint="eastAsia" w:ascii="宋体" w:hAnsi="宋体"/>
          <w:b/>
          <w:sz w:val="52"/>
          <w:szCs w:val="52"/>
        </w:rPr>
        <w:t>（2022年）</w:t>
      </w:r>
    </w:p>
    <w:p>
      <w:pPr>
        <w:spacing w:line="600" w:lineRule="exact"/>
        <w:jc w:val="left"/>
        <w:rPr>
          <w:rFonts w:ascii="Times New Roman" w:hAnsi="Times New Roman"/>
          <w:b/>
          <w:sz w:val="52"/>
          <w:szCs w:val="52"/>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widowControl/>
        <w:spacing w:line="600" w:lineRule="exact"/>
        <w:outlineLvl w:val="0"/>
        <w:rPr>
          <w:rFonts w:ascii="宋体" w:hAnsi="宋体"/>
          <w:b/>
          <w:bCs/>
          <w:color w:val="333333"/>
          <w:kern w:val="36"/>
          <w:sz w:val="44"/>
          <w:szCs w:val="44"/>
        </w:rPr>
        <w:sectPr>
          <w:pgSz w:w="11906" w:h="16838"/>
          <w:pgMar w:top="1701" w:right="1418" w:bottom="1701" w:left="1701" w:header="851" w:footer="992" w:gutter="0"/>
          <w:cols w:space="425" w:num="1"/>
          <w:docGrid w:type="lines" w:linePitch="312" w:charSpace="0"/>
        </w:sectPr>
      </w:pPr>
    </w:p>
    <w:p>
      <w:pPr>
        <w:widowControl/>
        <w:spacing w:line="600" w:lineRule="exact"/>
        <w:jc w:val="center"/>
        <w:outlineLvl w:val="0"/>
        <w:rPr>
          <w:rFonts w:ascii="宋体" w:hAnsi="宋体"/>
          <w:b/>
          <w:bCs/>
          <w:color w:val="333333"/>
          <w:kern w:val="36"/>
          <w:sz w:val="44"/>
          <w:szCs w:val="44"/>
        </w:rPr>
      </w:pPr>
      <w:r>
        <w:rPr>
          <w:rFonts w:hint="eastAsia" w:ascii="宋体" w:hAnsi="宋体"/>
          <w:b/>
          <w:bCs/>
          <w:color w:val="333333"/>
          <w:kern w:val="36"/>
          <w:sz w:val="44"/>
          <w:szCs w:val="44"/>
        </w:rPr>
        <w:t>2022年龙城区农村经济经营管理局部门预算</w:t>
      </w:r>
    </w:p>
    <w:p>
      <w:pPr>
        <w:widowControl/>
        <w:spacing w:line="300" w:lineRule="exact"/>
        <w:jc w:val="center"/>
        <w:outlineLvl w:val="0"/>
        <w:rPr>
          <w:rFonts w:ascii="宋体" w:hAnsi="宋体"/>
          <w:b/>
          <w:bCs/>
          <w:color w:val="333333"/>
          <w:kern w:val="36"/>
          <w:sz w:val="44"/>
          <w:szCs w:val="44"/>
        </w:rPr>
      </w:pPr>
    </w:p>
    <w:p>
      <w:pPr>
        <w:widowControl/>
        <w:spacing w:line="600" w:lineRule="exact"/>
        <w:jc w:val="center"/>
        <w:rPr>
          <w:rFonts w:ascii="宋体" w:hAnsi="宋体"/>
          <w:b/>
          <w:bCs/>
          <w:color w:val="333333"/>
          <w:kern w:val="0"/>
          <w:sz w:val="36"/>
          <w:szCs w:val="36"/>
        </w:rPr>
      </w:pPr>
      <w:r>
        <w:rPr>
          <w:rFonts w:hint="eastAsia" w:ascii="宋体" w:hAnsi="宋体"/>
          <w:b/>
          <w:bCs/>
          <w:color w:val="333333"/>
          <w:kern w:val="0"/>
          <w:sz w:val="36"/>
          <w:szCs w:val="36"/>
        </w:rPr>
        <w:t>目    录</w:t>
      </w:r>
    </w:p>
    <w:p>
      <w:pPr>
        <w:widowControl/>
        <w:spacing w:line="300" w:lineRule="exact"/>
        <w:jc w:val="center"/>
        <w:rPr>
          <w:rFonts w:ascii="宋体" w:hAnsi="宋体"/>
          <w:b/>
          <w:bCs/>
          <w:color w:val="333333"/>
          <w:kern w:val="0"/>
          <w:sz w:val="36"/>
          <w:szCs w:val="36"/>
        </w:rPr>
      </w:pPr>
    </w:p>
    <w:p>
      <w:pPr>
        <w:widowControl/>
        <w:spacing w:line="500" w:lineRule="exact"/>
        <w:jc w:val="left"/>
        <w:rPr>
          <w:rFonts w:ascii="宋体" w:hAnsi="宋体"/>
          <w:bCs/>
          <w:color w:val="333333"/>
          <w:kern w:val="0"/>
          <w:sz w:val="32"/>
          <w:szCs w:val="32"/>
          <w:shd w:val="clear" w:color="auto" w:fill="FFFFFF"/>
        </w:rPr>
      </w:pPr>
      <w:r>
        <w:rPr>
          <w:rFonts w:hint="eastAsia" w:ascii="黑体" w:hAnsi="黑体" w:eastAsia="黑体"/>
          <w:bCs/>
          <w:color w:val="333333"/>
          <w:kern w:val="0"/>
          <w:sz w:val="32"/>
          <w:szCs w:val="32"/>
          <w:shd w:val="clear" w:color="auto" w:fill="FFFFFF"/>
        </w:rPr>
        <w:t>第一部分   龙城区农村经济经营管理局概况</w:t>
      </w:r>
    </w:p>
    <w:p>
      <w:pPr>
        <w:widowControl/>
        <w:spacing w:line="500" w:lineRule="exact"/>
        <w:ind w:firstLine="640" w:firstLineChars="200"/>
        <w:jc w:val="left"/>
        <w:rPr>
          <w:rFonts w:ascii="宋体" w:hAnsi="宋体"/>
          <w:bCs/>
          <w:color w:val="333333"/>
          <w:kern w:val="0"/>
          <w:sz w:val="32"/>
          <w:szCs w:val="32"/>
          <w:shd w:val="clear" w:color="auto" w:fill="FFFFFF"/>
        </w:rPr>
      </w:pPr>
      <w:r>
        <w:rPr>
          <w:rFonts w:hint="eastAsia" w:ascii="宋体" w:hAnsi="宋体"/>
          <w:bCs/>
          <w:color w:val="333333"/>
          <w:kern w:val="0"/>
          <w:sz w:val="32"/>
          <w:szCs w:val="32"/>
          <w:shd w:val="clear" w:color="auto" w:fill="FFFFFF"/>
        </w:rPr>
        <w:t>一、主要职责</w:t>
      </w:r>
    </w:p>
    <w:p>
      <w:pPr>
        <w:widowControl/>
        <w:spacing w:line="500" w:lineRule="exact"/>
        <w:ind w:firstLine="640" w:firstLineChars="200"/>
        <w:jc w:val="left"/>
        <w:rPr>
          <w:rFonts w:ascii="宋体" w:hAnsi="宋体"/>
          <w:bCs/>
          <w:color w:val="333333"/>
          <w:kern w:val="0"/>
          <w:sz w:val="32"/>
          <w:szCs w:val="32"/>
          <w:shd w:val="clear" w:color="auto" w:fill="FFFFFF"/>
        </w:rPr>
      </w:pPr>
      <w:r>
        <w:rPr>
          <w:rFonts w:hint="eastAsia" w:ascii="宋体" w:hAnsi="宋体"/>
          <w:bCs/>
          <w:color w:val="333333"/>
          <w:kern w:val="0"/>
          <w:sz w:val="32"/>
          <w:szCs w:val="32"/>
          <w:shd w:val="clear" w:color="auto" w:fill="FFFFFF"/>
        </w:rPr>
        <w:t>二、部门预算单位构成</w:t>
      </w:r>
    </w:p>
    <w:p>
      <w:pPr>
        <w:widowControl/>
        <w:spacing w:line="500" w:lineRule="exact"/>
        <w:ind w:left="1920" w:hanging="1920" w:hangingChars="600"/>
        <w:jc w:val="left"/>
        <w:rPr>
          <w:rFonts w:ascii="黑体" w:hAnsi="黑体" w:eastAsia="黑体"/>
          <w:bCs/>
          <w:color w:val="333333"/>
          <w:kern w:val="0"/>
          <w:sz w:val="32"/>
          <w:szCs w:val="32"/>
        </w:rPr>
      </w:pPr>
      <w:r>
        <w:rPr>
          <w:rFonts w:hint="eastAsia" w:ascii="黑体" w:hAnsi="黑体" w:eastAsia="黑体"/>
          <w:bCs/>
          <w:color w:val="333333"/>
          <w:kern w:val="0"/>
          <w:sz w:val="32"/>
          <w:szCs w:val="32"/>
          <w:shd w:val="clear" w:color="auto" w:fill="FFFFFF"/>
        </w:rPr>
        <w:t>第二部分    龙城区农村经济经营管理局2022年部门预算情况说明</w:t>
      </w:r>
    </w:p>
    <w:p>
      <w:pPr>
        <w:widowControl/>
        <w:spacing w:line="500" w:lineRule="exact"/>
        <w:jc w:val="left"/>
        <w:rPr>
          <w:rFonts w:ascii="黑体" w:hAnsi="黑体" w:eastAsia="黑体"/>
          <w:bCs/>
          <w:color w:val="333333"/>
          <w:kern w:val="0"/>
          <w:sz w:val="32"/>
          <w:szCs w:val="32"/>
          <w:shd w:val="clear" w:color="auto" w:fill="FFFFFF"/>
        </w:rPr>
      </w:pPr>
      <w:r>
        <w:rPr>
          <w:rFonts w:hint="eastAsia" w:ascii="黑体" w:hAnsi="黑体" w:eastAsia="黑体"/>
          <w:bCs/>
          <w:color w:val="333333"/>
          <w:kern w:val="0"/>
          <w:sz w:val="32"/>
          <w:szCs w:val="32"/>
          <w:shd w:val="clear" w:color="auto" w:fill="FFFFFF"/>
        </w:rPr>
        <w:t>第三部分    名词解释</w:t>
      </w:r>
    </w:p>
    <w:p>
      <w:pPr>
        <w:widowControl/>
        <w:spacing w:line="500" w:lineRule="exact"/>
        <w:ind w:left="1920" w:hanging="1920" w:hangingChars="600"/>
        <w:jc w:val="left"/>
        <w:rPr>
          <w:rFonts w:ascii="黑体" w:hAnsi="黑体" w:eastAsia="黑体"/>
          <w:bCs/>
          <w:color w:val="333333"/>
          <w:kern w:val="0"/>
          <w:sz w:val="32"/>
          <w:szCs w:val="32"/>
        </w:rPr>
      </w:pPr>
      <w:r>
        <w:rPr>
          <w:rFonts w:hint="eastAsia" w:ascii="黑体" w:hAnsi="黑体" w:eastAsia="黑体"/>
          <w:bCs/>
          <w:color w:val="333333"/>
          <w:kern w:val="0"/>
          <w:sz w:val="32"/>
          <w:szCs w:val="32"/>
          <w:shd w:val="clear" w:color="auto" w:fill="FFFFFF"/>
        </w:rPr>
        <w:t xml:space="preserve">第四部分    </w:t>
      </w:r>
      <w:r>
        <w:rPr>
          <w:rFonts w:hint="eastAsia" w:ascii="黑体" w:hAnsi="黑体" w:eastAsia="黑体"/>
          <w:bCs/>
          <w:color w:val="333333"/>
          <w:kern w:val="0"/>
          <w:sz w:val="32"/>
          <w:szCs w:val="32"/>
        </w:rPr>
        <w:t>2022年龙城区</w:t>
      </w:r>
      <w:r>
        <w:rPr>
          <w:rFonts w:hint="eastAsia" w:ascii="黑体" w:hAnsi="黑体" w:eastAsia="黑体"/>
          <w:bCs/>
          <w:color w:val="333333"/>
          <w:kern w:val="0"/>
          <w:sz w:val="32"/>
          <w:szCs w:val="32"/>
          <w:shd w:val="clear" w:color="auto" w:fill="FFFFFF"/>
        </w:rPr>
        <w:t>农村经济经营管理</w:t>
      </w:r>
      <w:r>
        <w:rPr>
          <w:rFonts w:hint="eastAsia" w:ascii="黑体" w:hAnsi="黑体" w:eastAsia="黑体"/>
          <w:bCs/>
          <w:color w:val="333333"/>
          <w:kern w:val="0"/>
          <w:sz w:val="32"/>
          <w:szCs w:val="32"/>
        </w:rPr>
        <w:t>局部门预算批复表</w:t>
      </w:r>
    </w:p>
    <w:p>
      <w:pPr>
        <w:widowControl/>
        <w:spacing w:line="500" w:lineRule="exact"/>
        <w:ind w:firstLine="640" w:firstLineChars="200"/>
        <w:jc w:val="left"/>
        <w:rPr>
          <w:rFonts w:ascii="宋体" w:hAnsi="宋体"/>
          <w:color w:val="333333"/>
          <w:kern w:val="0"/>
          <w:sz w:val="32"/>
          <w:szCs w:val="32"/>
        </w:rPr>
      </w:pPr>
      <w:r>
        <w:rPr>
          <w:rFonts w:hint="eastAsia" w:ascii="宋体" w:hAnsi="宋体"/>
          <w:color w:val="333333"/>
          <w:kern w:val="0"/>
          <w:sz w:val="32"/>
          <w:szCs w:val="32"/>
        </w:rPr>
        <w:t>一、收支预算总表</w:t>
      </w:r>
    </w:p>
    <w:p>
      <w:pPr>
        <w:widowControl/>
        <w:spacing w:line="500" w:lineRule="exact"/>
        <w:ind w:firstLine="640" w:firstLineChars="200"/>
        <w:jc w:val="left"/>
        <w:rPr>
          <w:rFonts w:ascii="宋体" w:hAnsi="宋体"/>
          <w:color w:val="333333"/>
          <w:kern w:val="0"/>
          <w:sz w:val="32"/>
          <w:szCs w:val="32"/>
        </w:rPr>
      </w:pPr>
      <w:r>
        <w:rPr>
          <w:rFonts w:hint="eastAsia" w:ascii="宋体" w:hAnsi="宋体"/>
          <w:color w:val="333333"/>
          <w:kern w:val="0"/>
          <w:sz w:val="32"/>
          <w:szCs w:val="32"/>
        </w:rPr>
        <w:t>二、收入预算总表</w:t>
      </w:r>
    </w:p>
    <w:p>
      <w:pPr>
        <w:widowControl/>
        <w:spacing w:line="500" w:lineRule="exact"/>
        <w:ind w:firstLine="640" w:firstLineChars="200"/>
        <w:jc w:val="left"/>
        <w:rPr>
          <w:rFonts w:ascii="宋体" w:hAnsi="宋体"/>
          <w:color w:val="333333"/>
          <w:kern w:val="0"/>
          <w:sz w:val="32"/>
          <w:szCs w:val="32"/>
        </w:rPr>
      </w:pPr>
      <w:r>
        <w:rPr>
          <w:rFonts w:hint="eastAsia" w:ascii="宋体" w:hAnsi="宋体"/>
          <w:color w:val="333333"/>
          <w:kern w:val="0"/>
          <w:sz w:val="32"/>
          <w:szCs w:val="32"/>
        </w:rPr>
        <w:t>三、支出预算总表</w:t>
      </w:r>
    </w:p>
    <w:p>
      <w:pPr>
        <w:widowControl/>
        <w:spacing w:line="500" w:lineRule="exact"/>
        <w:ind w:firstLine="640" w:firstLineChars="200"/>
        <w:jc w:val="left"/>
        <w:rPr>
          <w:rFonts w:ascii="宋体" w:hAnsi="宋体"/>
          <w:color w:val="333333"/>
          <w:kern w:val="0"/>
          <w:sz w:val="32"/>
          <w:szCs w:val="32"/>
        </w:rPr>
      </w:pPr>
      <w:r>
        <w:rPr>
          <w:rFonts w:hint="eastAsia" w:ascii="宋体" w:hAnsi="宋体"/>
          <w:color w:val="333333"/>
          <w:kern w:val="0"/>
          <w:sz w:val="32"/>
          <w:szCs w:val="32"/>
        </w:rPr>
        <w:t>四、财政拨款收支预算总表</w:t>
      </w:r>
    </w:p>
    <w:p>
      <w:pPr>
        <w:widowControl/>
        <w:spacing w:line="500" w:lineRule="exact"/>
        <w:ind w:firstLine="640" w:firstLineChars="200"/>
        <w:jc w:val="left"/>
        <w:rPr>
          <w:rFonts w:ascii="宋体" w:hAnsi="宋体"/>
          <w:color w:val="333333"/>
          <w:kern w:val="0"/>
          <w:sz w:val="32"/>
          <w:szCs w:val="32"/>
        </w:rPr>
      </w:pPr>
      <w:r>
        <w:rPr>
          <w:rFonts w:hint="eastAsia" w:ascii="宋体" w:hAnsi="宋体"/>
          <w:color w:val="333333"/>
          <w:kern w:val="0"/>
          <w:sz w:val="32"/>
          <w:szCs w:val="32"/>
        </w:rPr>
        <w:t>五、一般公共预算支出表</w:t>
      </w:r>
    </w:p>
    <w:p>
      <w:pPr>
        <w:widowControl/>
        <w:spacing w:line="500" w:lineRule="exact"/>
        <w:ind w:firstLine="640" w:firstLineChars="200"/>
        <w:jc w:val="left"/>
        <w:rPr>
          <w:rFonts w:ascii="宋体" w:hAnsi="宋体"/>
          <w:color w:val="333333"/>
          <w:kern w:val="0"/>
          <w:sz w:val="32"/>
          <w:szCs w:val="32"/>
        </w:rPr>
      </w:pPr>
      <w:r>
        <w:rPr>
          <w:rFonts w:hint="eastAsia" w:ascii="宋体" w:hAnsi="宋体"/>
          <w:color w:val="333333"/>
          <w:kern w:val="0"/>
          <w:sz w:val="32"/>
          <w:szCs w:val="32"/>
        </w:rPr>
        <w:t>六、一般公共预算基本支出表</w:t>
      </w:r>
    </w:p>
    <w:p>
      <w:pPr>
        <w:widowControl/>
        <w:spacing w:line="500" w:lineRule="exact"/>
        <w:ind w:firstLine="640" w:firstLineChars="200"/>
        <w:jc w:val="left"/>
        <w:rPr>
          <w:rFonts w:ascii="宋体" w:hAnsi="宋体"/>
          <w:color w:val="333333"/>
          <w:kern w:val="0"/>
          <w:sz w:val="32"/>
          <w:szCs w:val="32"/>
        </w:rPr>
      </w:pPr>
      <w:r>
        <w:rPr>
          <w:rFonts w:hint="eastAsia" w:ascii="宋体" w:hAnsi="宋体"/>
          <w:color w:val="333333"/>
          <w:kern w:val="0"/>
          <w:sz w:val="32"/>
          <w:szCs w:val="32"/>
        </w:rPr>
        <w:t>七、一般公共预算“三公”经费支出表</w:t>
      </w:r>
    </w:p>
    <w:p>
      <w:pPr>
        <w:widowControl/>
        <w:spacing w:line="500" w:lineRule="exact"/>
        <w:ind w:firstLine="640" w:firstLineChars="200"/>
        <w:jc w:val="left"/>
        <w:rPr>
          <w:rFonts w:ascii="宋体" w:hAnsi="宋体"/>
          <w:color w:val="333333"/>
          <w:kern w:val="0"/>
          <w:sz w:val="32"/>
          <w:szCs w:val="32"/>
        </w:rPr>
      </w:pPr>
      <w:r>
        <w:rPr>
          <w:rFonts w:hint="eastAsia" w:ascii="宋体" w:hAnsi="宋体"/>
          <w:color w:val="333333"/>
          <w:kern w:val="0"/>
          <w:sz w:val="32"/>
          <w:szCs w:val="32"/>
        </w:rPr>
        <w:t>八、政府性基金预算支出表</w:t>
      </w:r>
    </w:p>
    <w:p>
      <w:pPr>
        <w:widowControl/>
        <w:spacing w:line="500" w:lineRule="exact"/>
        <w:ind w:firstLine="640" w:firstLineChars="200"/>
        <w:jc w:val="left"/>
        <w:rPr>
          <w:rFonts w:ascii="宋体" w:hAnsi="宋体"/>
          <w:color w:val="333333"/>
          <w:kern w:val="0"/>
          <w:sz w:val="32"/>
          <w:szCs w:val="32"/>
        </w:rPr>
      </w:pPr>
      <w:r>
        <w:rPr>
          <w:rFonts w:hint="eastAsia" w:ascii="宋体" w:hAnsi="宋体"/>
          <w:color w:val="333333"/>
          <w:kern w:val="0"/>
          <w:sz w:val="32"/>
          <w:szCs w:val="32"/>
        </w:rPr>
        <w:t>九、项目支出预算表</w:t>
      </w:r>
    </w:p>
    <w:p>
      <w:pPr>
        <w:widowControl/>
        <w:spacing w:line="500" w:lineRule="exact"/>
        <w:ind w:firstLine="640" w:firstLineChars="200"/>
        <w:jc w:val="left"/>
        <w:rPr>
          <w:rFonts w:ascii="宋体" w:hAnsi="宋体"/>
          <w:color w:val="333333"/>
          <w:kern w:val="0"/>
          <w:sz w:val="32"/>
          <w:szCs w:val="32"/>
        </w:rPr>
      </w:pPr>
      <w:r>
        <w:rPr>
          <w:rFonts w:hint="eastAsia" w:ascii="宋体" w:hAnsi="宋体"/>
          <w:color w:val="333333"/>
          <w:kern w:val="0"/>
          <w:sz w:val="32"/>
          <w:szCs w:val="32"/>
        </w:rPr>
        <w:t>十、支出功能分类预算表</w:t>
      </w:r>
    </w:p>
    <w:p>
      <w:pPr>
        <w:widowControl/>
        <w:spacing w:line="500" w:lineRule="exact"/>
        <w:ind w:firstLine="640" w:firstLineChars="200"/>
        <w:jc w:val="left"/>
        <w:rPr>
          <w:rFonts w:ascii="宋体" w:hAnsi="宋体"/>
          <w:color w:val="333333"/>
          <w:kern w:val="0"/>
          <w:sz w:val="32"/>
          <w:szCs w:val="32"/>
        </w:rPr>
      </w:pPr>
      <w:r>
        <w:rPr>
          <w:rFonts w:hint="eastAsia" w:ascii="宋体" w:hAnsi="宋体"/>
          <w:color w:val="333333"/>
          <w:kern w:val="0"/>
          <w:sz w:val="32"/>
          <w:szCs w:val="32"/>
        </w:rPr>
        <w:t>十一、支出经济分类预算表（政府预算）</w:t>
      </w:r>
    </w:p>
    <w:p>
      <w:pPr>
        <w:widowControl/>
        <w:spacing w:line="500" w:lineRule="exact"/>
        <w:ind w:firstLine="640" w:firstLineChars="200"/>
        <w:jc w:val="left"/>
        <w:rPr>
          <w:rFonts w:ascii="宋体" w:hAnsi="宋体"/>
          <w:color w:val="333333"/>
          <w:kern w:val="0"/>
          <w:sz w:val="32"/>
          <w:szCs w:val="32"/>
        </w:rPr>
      </w:pPr>
      <w:r>
        <w:rPr>
          <w:rFonts w:hint="eastAsia" w:ascii="宋体" w:hAnsi="宋体"/>
          <w:color w:val="333333"/>
          <w:kern w:val="0"/>
          <w:sz w:val="32"/>
          <w:szCs w:val="32"/>
        </w:rPr>
        <w:t>十二、支出经济分类预算表（部门预算）</w:t>
      </w:r>
    </w:p>
    <w:p>
      <w:pPr>
        <w:widowControl/>
        <w:spacing w:line="500" w:lineRule="exact"/>
        <w:ind w:firstLine="640" w:firstLineChars="200"/>
        <w:jc w:val="left"/>
        <w:rPr>
          <w:rFonts w:ascii="宋体" w:hAnsi="宋体"/>
          <w:color w:val="333333"/>
          <w:kern w:val="0"/>
          <w:sz w:val="32"/>
          <w:szCs w:val="32"/>
        </w:rPr>
      </w:pPr>
      <w:r>
        <w:rPr>
          <w:rFonts w:hint="eastAsia" w:ascii="宋体" w:hAnsi="宋体"/>
          <w:color w:val="333333"/>
          <w:kern w:val="0"/>
          <w:sz w:val="32"/>
          <w:szCs w:val="32"/>
        </w:rPr>
        <w:t>十三、债务支出预算表</w:t>
      </w:r>
    </w:p>
    <w:p>
      <w:pPr>
        <w:widowControl/>
        <w:spacing w:line="500" w:lineRule="exact"/>
        <w:ind w:firstLine="640" w:firstLineChars="200"/>
        <w:jc w:val="left"/>
        <w:rPr>
          <w:rFonts w:ascii="宋体" w:hAnsi="宋体"/>
          <w:color w:val="333333"/>
          <w:kern w:val="0"/>
          <w:sz w:val="32"/>
          <w:szCs w:val="32"/>
        </w:rPr>
      </w:pPr>
      <w:r>
        <w:rPr>
          <w:rFonts w:hint="eastAsia" w:ascii="宋体" w:hAnsi="宋体"/>
          <w:color w:val="333333"/>
          <w:kern w:val="0"/>
          <w:sz w:val="32"/>
          <w:szCs w:val="32"/>
        </w:rPr>
        <w:t>十四、政府采购支出预算表</w:t>
      </w:r>
    </w:p>
    <w:p>
      <w:pPr>
        <w:widowControl/>
        <w:spacing w:line="500" w:lineRule="exact"/>
        <w:ind w:firstLine="640" w:firstLineChars="200"/>
        <w:jc w:val="left"/>
        <w:rPr>
          <w:rFonts w:ascii="宋体" w:hAnsi="宋体"/>
          <w:color w:val="333333"/>
          <w:kern w:val="0"/>
          <w:sz w:val="32"/>
          <w:szCs w:val="32"/>
        </w:rPr>
      </w:pPr>
      <w:r>
        <w:rPr>
          <w:rFonts w:hint="eastAsia" w:ascii="宋体" w:hAnsi="宋体"/>
          <w:color w:val="333333"/>
          <w:kern w:val="0"/>
          <w:sz w:val="32"/>
          <w:szCs w:val="32"/>
        </w:rPr>
        <w:t>十五、政府购买服务支出预算表</w:t>
      </w:r>
    </w:p>
    <w:p>
      <w:pPr>
        <w:widowControl/>
        <w:spacing w:line="500" w:lineRule="exact"/>
        <w:ind w:firstLine="640" w:firstLineChars="200"/>
        <w:jc w:val="left"/>
        <w:rPr>
          <w:rFonts w:ascii="宋体" w:hAnsi="宋体"/>
          <w:color w:val="333333"/>
          <w:kern w:val="0"/>
          <w:sz w:val="32"/>
          <w:szCs w:val="32"/>
        </w:rPr>
      </w:pPr>
      <w:r>
        <w:rPr>
          <w:rFonts w:hint="eastAsia" w:ascii="宋体" w:hAnsi="宋体"/>
          <w:color w:val="333333"/>
          <w:kern w:val="0"/>
          <w:sz w:val="32"/>
          <w:szCs w:val="32"/>
        </w:rPr>
        <w:t>十六、部门（单位）整体绩效目标表</w:t>
      </w:r>
    </w:p>
    <w:p>
      <w:pPr>
        <w:widowControl/>
        <w:spacing w:line="500" w:lineRule="exact"/>
        <w:ind w:firstLine="640" w:firstLineChars="200"/>
        <w:jc w:val="left"/>
        <w:rPr>
          <w:rFonts w:ascii="宋体" w:hAnsi="宋体"/>
          <w:color w:val="333333"/>
          <w:kern w:val="0"/>
          <w:sz w:val="32"/>
          <w:szCs w:val="32"/>
          <w:shd w:val="clear" w:color="auto" w:fill="FFFFFF"/>
        </w:rPr>
      </w:pPr>
      <w:r>
        <w:rPr>
          <w:rFonts w:hint="eastAsia" w:ascii="宋体" w:hAnsi="宋体"/>
          <w:color w:val="333333"/>
          <w:kern w:val="0"/>
          <w:sz w:val="32"/>
          <w:szCs w:val="32"/>
        </w:rPr>
        <w:t>十七、部门预算项目（政策）绩效目标表</w:t>
      </w: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第一部分 龙城区农村经济经营管理局概况</w:t>
      </w:r>
    </w:p>
    <w:p>
      <w:pPr>
        <w:widowControl/>
        <w:spacing w:line="600" w:lineRule="exact"/>
        <w:jc w:val="center"/>
        <w:rPr>
          <w:rFonts w:ascii="宋体" w:hAnsi="宋体"/>
          <w:color w:val="333333"/>
          <w:kern w:val="0"/>
          <w:sz w:val="32"/>
          <w:szCs w:val="32"/>
        </w:rPr>
      </w:pPr>
    </w:p>
    <w:p>
      <w:pPr>
        <w:ind w:firstLine="643" w:firstLineChars="200"/>
        <w:jc w:val="left"/>
        <w:rPr>
          <w:rFonts w:ascii="宋体"/>
          <w:sz w:val="32"/>
          <w:szCs w:val="32"/>
        </w:rPr>
      </w:pPr>
      <w:r>
        <w:rPr>
          <w:rFonts w:hint="eastAsia" w:ascii="楷体_GB2312" w:hAnsi="楷体_GB2312" w:eastAsia="楷体_GB2312" w:cs="楷体_GB2312"/>
          <w:b/>
          <w:color w:val="333333"/>
          <w:kern w:val="0"/>
          <w:sz w:val="32"/>
          <w:szCs w:val="32"/>
          <w:shd w:val="clear" w:color="auto" w:fill="FFFFFF"/>
        </w:rPr>
        <w:t xml:space="preserve">    一、主要职责</w:t>
      </w:r>
      <w:r>
        <w:rPr>
          <w:rFonts w:hint="eastAsia" w:ascii="仿宋_GB2312" w:hAnsi="宋体" w:eastAsia="仿宋_GB2312"/>
          <w:b/>
          <w:color w:val="333333"/>
          <w:kern w:val="0"/>
          <w:sz w:val="32"/>
          <w:szCs w:val="32"/>
        </w:rPr>
        <w:br w:type="textWrapping"/>
      </w:r>
      <w:r>
        <w:rPr>
          <w:rFonts w:hint="eastAsia" w:ascii="仿宋_GB2312" w:hAnsi="仿宋_GB2312" w:eastAsia="仿宋_GB2312" w:cs="仿宋_GB2312"/>
          <w:color w:val="333333"/>
          <w:kern w:val="0"/>
          <w:sz w:val="32"/>
          <w:szCs w:val="32"/>
          <w:shd w:val="clear" w:color="auto" w:fill="FFFFFF"/>
        </w:rPr>
        <w:t xml:space="preserve">    （一）</w:t>
      </w:r>
      <w:r>
        <w:rPr>
          <w:rFonts w:hint="eastAsia" w:ascii="宋体" w:hAnsi="宋体"/>
          <w:sz w:val="32"/>
          <w:szCs w:val="32"/>
        </w:rPr>
        <w:t>指导全区农村各类农业承包合同的签订、鉴证和档案管理，建立和完善各项管理制度，调解和仲裁农业承包合同纠纷，调查处理农民涉地上访等；</w:t>
      </w:r>
    </w:p>
    <w:p>
      <w:pPr>
        <w:ind w:firstLine="640" w:firstLineChars="200"/>
        <w:jc w:val="left"/>
        <w:rPr>
          <w:rFonts w:ascii="宋体"/>
          <w:sz w:val="32"/>
          <w:szCs w:val="32"/>
        </w:rPr>
      </w:pPr>
      <w:r>
        <w:rPr>
          <w:rFonts w:hint="eastAsia" w:ascii="宋体" w:hAnsi="宋体"/>
          <w:sz w:val="32"/>
          <w:szCs w:val="32"/>
        </w:rPr>
        <w:t>（二）指导农村土地承包经营权规范有序流转；</w:t>
      </w:r>
    </w:p>
    <w:p>
      <w:pPr>
        <w:ind w:firstLine="640" w:firstLineChars="200"/>
        <w:jc w:val="left"/>
        <w:rPr>
          <w:rFonts w:ascii="宋体"/>
          <w:sz w:val="32"/>
          <w:szCs w:val="32"/>
        </w:rPr>
      </w:pPr>
      <w:r>
        <w:rPr>
          <w:rFonts w:hint="eastAsia" w:ascii="宋体" w:hAnsi="宋体"/>
          <w:sz w:val="32"/>
          <w:szCs w:val="32"/>
        </w:rPr>
        <w:t>（三）指导村级财务管理与会计核算、财务公开、培训财务会计人员及村主要干部任期目标及离任经济责任审计工作，调查处理农民因村级财务上访等；</w:t>
      </w:r>
    </w:p>
    <w:p>
      <w:pPr>
        <w:ind w:firstLine="640" w:firstLineChars="200"/>
        <w:jc w:val="left"/>
        <w:rPr>
          <w:rFonts w:ascii="宋体"/>
          <w:sz w:val="32"/>
          <w:szCs w:val="32"/>
        </w:rPr>
      </w:pPr>
      <w:r>
        <w:rPr>
          <w:rFonts w:hint="eastAsia" w:ascii="宋体" w:hAnsi="宋体"/>
          <w:sz w:val="32"/>
          <w:szCs w:val="32"/>
        </w:rPr>
        <w:t>（四）指导各类农民专业合作社完善组织机构，健全运行和利益联结机制；</w:t>
      </w:r>
    </w:p>
    <w:p>
      <w:pPr>
        <w:ind w:firstLine="640" w:firstLineChars="200"/>
        <w:jc w:val="left"/>
        <w:rPr>
          <w:rFonts w:ascii="宋体"/>
          <w:sz w:val="32"/>
          <w:szCs w:val="32"/>
        </w:rPr>
      </w:pPr>
      <w:r>
        <w:rPr>
          <w:rFonts w:hint="eastAsia" w:ascii="宋体" w:hAnsi="宋体"/>
          <w:sz w:val="32"/>
          <w:szCs w:val="32"/>
        </w:rPr>
        <w:t>（五）指导村级开展“一事一议、筹资筹劳”工作。</w:t>
      </w:r>
    </w:p>
    <w:p>
      <w:pPr>
        <w:ind w:firstLine="640" w:firstLineChars="200"/>
        <w:jc w:val="left"/>
        <w:rPr>
          <w:rFonts w:ascii="宋体"/>
          <w:sz w:val="32"/>
          <w:szCs w:val="32"/>
        </w:rPr>
      </w:pPr>
      <w:r>
        <w:rPr>
          <w:rFonts w:ascii="宋体" w:hAnsi="宋体"/>
          <w:sz w:val="32"/>
          <w:szCs w:val="32"/>
        </w:rPr>
        <w:t>(</w:t>
      </w:r>
      <w:r>
        <w:rPr>
          <w:rFonts w:hint="eastAsia" w:ascii="宋体" w:hAnsi="宋体"/>
          <w:sz w:val="32"/>
          <w:szCs w:val="32"/>
        </w:rPr>
        <w:t>六</w:t>
      </w:r>
      <w:r>
        <w:rPr>
          <w:rFonts w:ascii="宋体" w:hAnsi="宋体"/>
          <w:sz w:val="32"/>
          <w:szCs w:val="32"/>
        </w:rPr>
        <w:t>)</w:t>
      </w:r>
      <w:r>
        <w:rPr>
          <w:rFonts w:hint="eastAsia" w:ascii="宋体" w:hAnsi="宋体"/>
          <w:sz w:val="32"/>
          <w:szCs w:val="32"/>
        </w:rPr>
        <w:t>农村宅基地管理工作。</w:t>
      </w:r>
    </w:p>
    <w:p>
      <w:pPr>
        <w:ind w:firstLine="640" w:firstLineChars="200"/>
        <w:jc w:val="left"/>
        <w:rPr>
          <w:rFonts w:ascii="宋体"/>
          <w:sz w:val="32"/>
          <w:szCs w:val="32"/>
        </w:rPr>
      </w:pPr>
      <w:r>
        <w:rPr>
          <w:rFonts w:hint="eastAsia" w:ascii="宋体" w:hAnsi="宋体"/>
          <w:sz w:val="32"/>
          <w:szCs w:val="32"/>
        </w:rPr>
        <w:t>（七）承办区政府交办的其他事项。</w:t>
      </w:r>
    </w:p>
    <w:p>
      <w:pPr>
        <w:widowControl/>
        <w:spacing w:line="560" w:lineRule="exact"/>
        <w:jc w:val="left"/>
        <w:rPr>
          <w:rFonts w:ascii="仿宋_GB2312" w:hAnsi="宋体" w:eastAsia="仿宋_GB2312"/>
          <w:bCs/>
          <w:color w:val="333333"/>
          <w:kern w:val="0"/>
          <w:sz w:val="32"/>
          <w:szCs w:val="32"/>
          <w:shd w:val="clear" w:color="auto" w:fill="FFFFFF"/>
        </w:rPr>
      </w:pPr>
      <w:r>
        <w:rPr>
          <w:rFonts w:hint="eastAsia" w:ascii="楷体_GB2312" w:hAnsi="楷体_GB2312" w:eastAsia="楷体_GB2312" w:cs="楷体_GB2312"/>
          <w:b/>
          <w:color w:val="333333"/>
          <w:kern w:val="0"/>
          <w:sz w:val="32"/>
          <w:szCs w:val="32"/>
          <w:shd w:val="clear" w:color="auto" w:fill="FFFFFF"/>
        </w:rPr>
        <w:t xml:space="preserve">    二、部门预算单位构成</w:t>
      </w:r>
      <w:r>
        <w:rPr>
          <w:rFonts w:hint="eastAsia" w:ascii="宋体" w:hAnsi="宋体"/>
          <w:color w:val="333333"/>
          <w:kern w:val="0"/>
          <w:sz w:val="32"/>
          <w:szCs w:val="32"/>
        </w:rPr>
        <w:br w:type="textWrapping"/>
      </w:r>
      <w:r>
        <w:rPr>
          <w:rFonts w:hint="eastAsia" w:ascii="仿宋_GB2312" w:hAnsi="宋体" w:eastAsia="仿宋_GB2312"/>
          <w:bCs/>
          <w:color w:val="333333"/>
          <w:kern w:val="0"/>
          <w:sz w:val="32"/>
          <w:szCs w:val="32"/>
          <w:shd w:val="clear" w:color="auto" w:fill="FFFFFF"/>
        </w:rPr>
        <w:t xml:space="preserve">    纳入2022年部门预算编制范围的预算单位包括：</w:t>
      </w:r>
    </w:p>
    <w:p>
      <w:pPr>
        <w:widowControl/>
        <w:spacing w:line="560" w:lineRule="exact"/>
        <w:ind w:firstLine="640" w:firstLineChars="200"/>
        <w:jc w:val="left"/>
        <w:rPr>
          <w:rFonts w:ascii="仿宋_GB2312" w:hAnsi="宋体" w:eastAsia="仿宋_GB2312"/>
          <w:bCs/>
          <w:color w:val="333333"/>
          <w:kern w:val="0"/>
          <w:sz w:val="32"/>
          <w:szCs w:val="32"/>
          <w:shd w:val="clear" w:color="auto" w:fill="FFFFFF"/>
        </w:rPr>
      </w:pPr>
      <w:r>
        <w:rPr>
          <w:rFonts w:hint="eastAsia" w:ascii="仿宋_GB2312" w:hAnsi="宋体" w:eastAsia="仿宋_GB2312"/>
          <w:bCs/>
          <w:color w:val="333333"/>
          <w:kern w:val="0"/>
          <w:sz w:val="32"/>
          <w:szCs w:val="32"/>
          <w:shd w:val="clear" w:color="auto" w:fill="FFFFFF"/>
        </w:rPr>
        <w:t>1、龙城区农村经济经营管理局本级</w:t>
      </w:r>
    </w:p>
    <w:p>
      <w:pPr>
        <w:widowControl/>
        <w:spacing w:line="560" w:lineRule="exact"/>
        <w:jc w:val="left"/>
        <w:rPr>
          <w:rFonts w:ascii="宋体" w:hAnsi="宋体"/>
          <w:kern w:val="0"/>
          <w:sz w:val="36"/>
          <w:szCs w:val="36"/>
        </w:rPr>
      </w:pPr>
    </w:p>
    <w:p>
      <w:pPr>
        <w:widowControl/>
        <w:spacing w:line="600" w:lineRule="exact"/>
        <w:jc w:val="center"/>
        <w:rPr>
          <w:rFonts w:ascii="黑体" w:hAnsi="黑体" w:eastAsia="黑体" w:cs="黑体"/>
          <w:color w:val="333333"/>
          <w:kern w:val="0"/>
          <w:sz w:val="36"/>
          <w:szCs w:val="36"/>
        </w:rPr>
      </w:pP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第二部分 龙城区农村经济经营管理局2022年部门预算情况说明</w:t>
      </w:r>
    </w:p>
    <w:p>
      <w:pPr>
        <w:widowControl/>
        <w:spacing w:line="560" w:lineRule="exact"/>
        <w:ind w:firstLine="720" w:firstLineChars="200"/>
        <w:jc w:val="left"/>
        <w:rPr>
          <w:rFonts w:ascii="宋体" w:hAnsi="宋体"/>
          <w:color w:val="333333"/>
          <w:kern w:val="0"/>
          <w:sz w:val="36"/>
          <w:szCs w:val="36"/>
        </w:rPr>
      </w:pPr>
    </w:p>
    <w:p>
      <w:pPr>
        <w:widowControl/>
        <w:spacing w:line="600" w:lineRule="exact"/>
        <w:jc w:val="left"/>
        <w:rPr>
          <w:rFonts w:ascii="宋体" w:hAnsi="宋体"/>
          <w:color w:val="333333"/>
          <w:kern w:val="0"/>
          <w:sz w:val="32"/>
          <w:szCs w:val="32"/>
        </w:rPr>
      </w:pPr>
      <w:r>
        <w:rPr>
          <w:rFonts w:hint="eastAsia" w:ascii="楷体_GB2312" w:hAnsi="楷体_GB2312" w:eastAsia="楷体_GB2312" w:cs="楷体_GB2312"/>
          <w:b/>
          <w:bCs/>
          <w:color w:val="333333"/>
          <w:kern w:val="0"/>
          <w:sz w:val="32"/>
          <w:szCs w:val="32"/>
        </w:rPr>
        <w:t xml:space="preserve">    一、收支预算的总体情况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按照综合预算的原则，2022 年所有收入和支出均纳入部门预算管理。其中：</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（一）收入预算</w:t>
      </w:r>
      <w:r>
        <w:rPr>
          <w:rFonts w:ascii="仿宋_GB2312" w:hAnsi="仿宋_GB2312" w:eastAsia="仿宋_GB2312" w:cs="仿宋_GB2312"/>
          <w:color w:val="333333"/>
          <w:kern w:val="0"/>
          <w:sz w:val="32"/>
          <w:szCs w:val="32"/>
        </w:rPr>
        <w:t>132.21</w:t>
      </w:r>
      <w:r>
        <w:rPr>
          <w:rFonts w:hint="eastAsia" w:ascii="仿宋_GB2312" w:hAnsi="仿宋_GB2312" w:eastAsia="仿宋_GB2312" w:cs="仿宋_GB2312"/>
          <w:color w:val="333333"/>
          <w:kern w:val="0"/>
          <w:sz w:val="32"/>
          <w:szCs w:val="32"/>
        </w:rPr>
        <w:t>万元，包括：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1.一般公共预算拨款收入132.21万元；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2.政府性基金预算拨款收入0万元；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3.国有资本经营预算拨款收入0万元；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4.财政专户管理资金收入0万元；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5.单位资金收入0万元；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6.上年结转结余0万元。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（二）支出预算132.21万元，包括：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1.基本支出122.21万元；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2.项目支出10万元。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在支出预算132.21万元中，债务支出0万元，政府采购支出0万元，政府购买服务支出0万元。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2022年预算收支比 2021 年增加11.78万元。</w:t>
      </w:r>
    </w:p>
    <w:p>
      <w:pPr>
        <w:widowControl/>
        <w:spacing w:line="60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二、机关运行经费安排情况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2022年机关运行经费预算为</w:t>
      </w:r>
      <w:r>
        <w:rPr>
          <w:rFonts w:hint="default" w:ascii="仿宋_GB2312" w:hAnsi="仿宋_GB2312" w:eastAsia="仿宋_GB2312" w:cs="仿宋_GB2312"/>
          <w:color w:val="333333"/>
          <w:kern w:val="0"/>
          <w:sz w:val="32"/>
          <w:szCs w:val="32"/>
          <w:lang w:val="en-US"/>
        </w:rPr>
        <w:t>9.89</w:t>
      </w:r>
      <w:r>
        <w:rPr>
          <w:rFonts w:hint="eastAsia" w:ascii="仿宋_GB2312" w:hAnsi="仿宋_GB2312" w:eastAsia="仿宋_GB2312" w:cs="仿宋_GB2312"/>
          <w:color w:val="333333"/>
          <w:kern w:val="0"/>
          <w:sz w:val="32"/>
          <w:szCs w:val="32"/>
        </w:rPr>
        <w:t>元。主要包括办公费、劳务费、邮电费、工会经费、其他商品和服务支出、公务用车运行维护费等。</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三、政府采购情况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2022年预算无政府采购项目。</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四、 “三公”经费预算情况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5.5万元，与上年持平</w:t>
      </w:r>
      <w:bookmarkStart w:id="0" w:name="_GoBack"/>
      <w:bookmarkEnd w:id="0"/>
      <w:r>
        <w:rPr>
          <w:rFonts w:hint="eastAsia" w:ascii="仿宋_GB2312" w:hAnsi="仿宋_GB2312" w:eastAsia="仿宋_GB2312" w:cs="仿宋_GB2312"/>
          <w:color w:val="333333"/>
          <w:kern w:val="0"/>
          <w:sz w:val="32"/>
          <w:szCs w:val="32"/>
        </w:rPr>
        <w:t>。其中：</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因公出国（境）费0万元，与上年持平。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公务接待费0万元，与上年持平；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公务用车运行费5.5万元，与上年持平。</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五、国有资产占用情况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2022年年初预算购置车辆 0台，金额0万元，单位价值 50 万元以上的通用设备0台，单位价值 100万元以上的专用设备 0台。</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六、预算绩效目标情况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根据预算绩效管理要求，2022年应编制部门（单位）整体绩效目标共1个，实际编制部门（单位）整体绩效目标共1</w:t>
      </w:r>
      <w:r>
        <w:rPr>
          <w:rFonts w:hint="eastAsia" w:ascii="仿宋_GB2312" w:hAnsi="仿宋_GB2312" w:eastAsia="仿宋_GB2312" w:cs="仿宋_GB2312"/>
          <w:color w:val="333333"/>
          <w:kern w:val="0"/>
          <w:sz w:val="32"/>
          <w:szCs w:val="32"/>
          <w:lang w:eastAsia="zh-CN"/>
        </w:rPr>
        <w:t>个</w:t>
      </w:r>
      <w:r>
        <w:rPr>
          <w:rFonts w:hint="eastAsia" w:ascii="仿宋_GB2312" w:hAnsi="仿宋_GB2312" w:eastAsia="仿宋_GB2312" w:cs="仿宋_GB2312"/>
          <w:color w:val="333333"/>
          <w:kern w:val="0"/>
          <w:sz w:val="32"/>
          <w:szCs w:val="32"/>
        </w:rPr>
        <w:t>，编制部门（单位）整体绩效目标覆盖率（实际编制绩效目标的数量/应编制绩效目标的数量）为100%。应编制绩效目标的特定目标类项目共0个，实际编制绩效目标的特定目标类项目共 0个,涉及资金0万元，编制特定目标的项目覆盖率（实际编制绩效目标的数量/应编制绩效目标的数量）为100%。</w:t>
      </w: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第三部分 名词解释</w:t>
      </w:r>
    </w:p>
    <w:p>
      <w:pPr>
        <w:widowControl/>
        <w:spacing w:line="600" w:lineRule="exact"/>
        <w:jc w:val="center"/>
        <w:rPr>
          <w:rFonts w:ascii="宋体" w:hAnsi="宋体"/>
          <w:color w:val="333333"/>
          <w:kern w:val="0"/>
          <w:sz w:val="36"/>
          <w:szCs w:val="36"/>
        </w:rPr>
      </w:pP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1.一般公共预算拨款收入：</w:t>
      </w:r>
      <w:r>
        <w:rPr>
          <w:rFonts w:hint="eastAsia" w:ascii="仿宋_GB2312" w:hAnsi="仿宋_GB2312" w:eastAsia="仿宋_GB2312" w:cs="仿宋_GB2312"/>
          <w:color w:val="333333"/>
          <w:kern w:val="0"/>
          <w:sz w:val="32"/>
          <w:szCs w:val="32"/>
          <w:shd w:val="clear" w:color="auto" w:fill="FFFFFF"/>
        </w:rPr>
        <w:t>指区级财政当年拨付的资金。</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2.基本支出：</w:t>
      </w:r>
      <w:r>
        <w:rPr>
          <w:rFonts w:hint="eastAsia" w:ascii="仿宋_GB2312" w:hAnsi="仿宋_GB2312" w:eastAsia="仿宋_GB2312" w:cs="仿宋_GB2312"/>
          <w:color w:val="333333"/>
          <w:kern w:val="0"/>
          <w:sz w:val="32"/>
          <w:szCs w:val="32"/>
          <w:shd w:val="clear" w:color="auto" w:fill="FFFFFF"/>
        </w:rPr>
        <w:t>指保障机构正常运转、完成日常工作任务而发生的人员经费和公用经费。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3.项目支出：</w:t>
      </w:r>
      <w:r>
        <w:rPr>
          <w:rFonts w:hint="eastAsia" w:ascii="仿宋_GB2312" w:hAnsi="仿宋_GB2312" w:eastAsia="仿宋_GB2312" w:cs="仿宋_GB2312"/>
          <w:color w:val="333333"/>
          <w:kern w:val="0"/>
          <w:sz w:val="32"/>
          <w:szCs w:val="32"/>
          <w:shd w:val="clear" w:color="auto" w:fill="FFFFFF"/>
        </w:rPr>
        <w:t>指在基本支出之外为完成特定工作任务和事业发展目标所发生的支出。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4.“三公”经费：</w:t>
      </w:r>
      <w:r>
        <w:rPr>
          <w:rFonts w:hint="eastAsia" w:ascii="仿宋_GB2312" w:hAnsi="仿宋_GB2312" w:eastAsia="仿宋_GB2312" w:cs="仿宋_GB2312"/>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5.卫生健康（类）行政事业单位医疗（款）事业单位医疗（项）：</w:t>
      </w:r>
      <w:r>
        <w:rPr>
          <w:rFonts w:hint="eastAsia" w:ascii="仿宋_GB2312" w:hAnsi="仿宋_GB2312" w:eastAsia="仿宋_GB2312" w:cs="仿宋_GB2312"/>
          <w:color w:val="333333"/>
          <w:kern w:val="0"/>
          <w:sz w:val="32"/>
          <w:szCs w:val="32"/>
          <w:shd w:val="clear" w:color="auto" w:fill="FFFFFF"/>
        </w:rPr>
        <w:t>反应财政部门安排的事业单位基本医疗保险缴费经费，未参加医疗保险的事业单位的公费医疗经费，按国家规定享受离休人员待遇的医疗经费。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6.农林水（类）农业农村（款）事业运行（项）：</w:t>
      </w:r>
      <w:r>
        <w:rPr>
          <w:rFonts w:hint="eastAsia" w:ascii="仿宋_GB2312" w:hAnsi="仿宋_GB2312" w:eastAsia="仿宋_GB2312" w:cs="仿宋_GB2312"/>
          <w:color w:val="333333"/>
          <w:kern w:val="0"/>
          <w:sz w:val="32"/>
          <w:szCs w:val="32"/>
          <w:shd w:val="clear" w:color="auto" w:fill="FFFFFF"/>
        </w:rPr>
        <w:t>反应用于农业事业单位基本支出，事业单位设施、系统运行与资产维护等方面的支出。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7.住房保障（类）住房改革（款）住房公积金（项）：</w:t>
      </w:r>
      <w:r>
        <w:rPr>
          <w:rFonts w:hint="eastAsia" w:ascii="仿宋_GB2312" w:hAnsi="仿宋_GB2312" w:eastAsia="仿宋_GB2312" w:cs="仿宋_GB2312"/>
          <w:color w:val="333333"/>
          <w:kern w:val="0"/>
          <w:sz w:val="32"/>
          <w:szCs w:val="32"/>
          <w:shd w:val="clear" w:color="auto" w:fill="FFFFFF"/>
        </w:rPr>
        <w:t>反映行政事业单位按人力资源和社会保障部、财政部规定的基本工资和津贴补贴以及规定比例为职工缴纳的住房公积金。</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8.社会保障和就业支出（类） 行政事业单位养老支出（款）机关事业单位基本养老保险缴费支出（项）：</w:t>
      </w:r>
      <w:r>
        <w:rPr>
          <w:rFonts w:hint="eastAsia" w:ascii="仿宋_GB2312" w:hAnsi="仿宋_GB2312" w:eastAsia="仿宋_GB2312" w:cs="仿宋_GB2312"/>
          <w:color w:val="333333"/>
          <w:kern w:val="0"/>
          <w:sz w:val="32"/>
          <w:szCs w:val="32"/>
          <w:shd w:val="clear" w:color="auto" w:fill="FFFFFF"/>
        </w:rPr>
        <w:t>反应机关事业单位实施养老保险制度由单位缴纳的基本养老费支出。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9.社会保障和就业（类）行政事业单位离退休（款）事业单位离退休（项）:</w:t>
      </w:r>
      <w:r>
        <w:rPr>
          <w:rFonts w:hint="eastAsia" w:ascii="仿宋_GB2312" w:hAnsi="仿宋_GB2312" w:eastAsia="仿宋_GB2312" w:cs="仿宋_GB2312"/>
          <w:color w:val="333333"/>
          <w:kern w:val="0"/>
          <w:sz w:val="32"/>
          <w:szCs w:val="32"/>
          <w:shd w:val="clear" w:color="auto" w:fill="FFFFFF"/>
        </w:rPr>
        <w:t>反应事业单位开支的离退休经费。</w:t>
      </w:r>
    </w:p>
    <w:p>
      <w:pPr>
        <w:spacing w:line="600" w:lineRule="exact"/>
        <w:jc w:val="left"/>
        <w:rPr>
          <w:rFonts w:ascii="宋体" w:hAnsi="宋体"/>
          <w:color w:val="333333"/>
          <w:kern w:val="0"/>
          <w:sz w:val="36"/>
          <w:szCs w:val="36"/>
          <w:shd w:val="clear" w:color="auto" w:fill="FFFFFF"/>
        </w:rPr>
      </w:pPr>
    </w:p>
    <w:p>
      <w:pPr>
        <w:spacing w:line="600" w:lineRule="exact"/>
        <w:jc w:val="left"/>
        <w:rPr>
          <w:rFonts w:ascii="宋体" w:hAnsi="宋体"/>
          <w:color w:val="333333"/>
          <w:kern w:val="0"/>
          <w:sz w:val="36"/>
          <w:szCs w:val="36"/>
          <w:shd w:val="clear" w:color="auto" w:fill="FFFFFF"/>
        </w:rPr>
      </w:pPr>
    </w:p>
    <w:p>
      <w:pPr>
        <w:spacing w:line="600" w:lineRule="exact"/>
        <w:jc w:val="left"/>
        <w:rPr>
          <w:rFonts w:ascii="宋体" w:hAnsi="宋体"/>
          <w:color w:val="333333"/>
          <w:kern w:val="0"/>
          <w:sz w:val="36"/>
          <w:szCs w:val="36"/>
          <w:shd w:val="clear" w:color="auto" w:fill="FFFFFF"/>
        </w:rPr>
      </w:pPr>
    </w:p>
    <w:p>
      <w:pPr>
        <w:spacing w:line="600" w:lineRule="exact"/>
        <w:jc w:val="left"/>
        <w:rPr>
          <w:rFonts w:ascii="宋体" w:hAnsi="宋体"/>
          <w:color w:val="333333"/>
          <w:kern w:val="0"/>
          <w:sz w:val="36"/>
          <w:szCs w:val="36"/>
          <w:shd w:val="clear" w:color="auto" w:fill="FFFFFF"/>
        </w:rPr>
      </w:pPr>
    </w:p>
    <w:p>
      <w:pPr>
        <w:spacing w:line="600" w:lineRule="exact"/>
        <w:jc w:val="left"/>
        <w:rPr>
          <w:rFonts w:ascii="宋体" w:hAnsi="宋体"/>
          <w:color w:val="333333"/>
          <w:kern w:val="0"/>
          <w:sz w:val="36"/>
          <w:szCs w:val="36"/>
          <w:shd w:val="clear" w:color="auto" w:fill="FFFFFF"/>
        </w:rPr>
      </w:pPr>
    </w:p>
    <w:p>
      <w:pPr>
        <w:spacing w:line="600" w:lineRule="exact"/>
        <w:jc w:val="left"/>
        <w:rPr>
          <w:rFonts w:ascii="宋体" w:hAnsi="宋体"/>
          <w:color w:val="333333"/>
          <w:kern w:val="0"/>
          <w:sz w:val="36"/>
          <w:szCs w:val="36"/>
          <w:shd w:val="clear" w:color="auto" w:fill="FFFFFF"/>
        </w:rPr>
      </w:pPr>
    </w:p>
    <w:p>
      <w:pPr>
        <w:spacing w:line="600" w:lineRule="exact"/>
        <w:jc w:val="left"/>
        <w:rPr>
          <w:rFonts w:ascii="宋体" w:hAnsi="宋体"/>
          <w:color w:val="333333"/>
          <w:kern w:val="0"/>
          <w:sz w:val="36"/>
          <w:szCs w:val="36"/>
          <w:shd w:val="clear" w:color="auto" w:fill="FFFFFF"/>
        </w:rPr>
      </w:pPr>
    </w:p>
    <w:p>
      <w:pPr>
        <w:spacing w:line="600" w:lineRule="exact"/>
        <w:jc w:val="left"/>
        <w:rPr>
          <w:rFonts w:ascii="宋体" w:hAnsi="宋体"/>
          <w:color w:val="333333"/>
          <w:kern w:val="0"/>
          <w:sz w:val="36"/>
          <w:szCs w:val="36"/>
          <w:shd w:val="clear" w:color="auto" w:fill="FFFFFF"/>
        </w:rPr>
      </w:pPr>
    </w:p>
    <w:p>
      <w:pPr>
        <w:spacing w:line="600" w:lineRule="exact"/>
        <w:jc w:val="left"/>
        <w:rPr>
          <w:rFonts w:ascii="宋体" w:hAnsi="宋体"/>
          <w:color w:val="333333"/>
          <w:kern w:val="0"/>
          <w:sz w:val="36"/>
          <w:szCs w:val="36"/>
          <w:shd w:val="clear" w:color="auto" w:fill="FFFFFF"/>
        </w:rPr>
      </w:pPr>
    </w:p>
    <w:p>
      <w:pPr>
        <w:spacing w:line="600" w:lineRule="exact"/>
        <w:jc w:val="left"/>
        <w:rPr>
          <w:rFonts w:ascii="宋体" w:hAnsi="宋体"/>
          <w:color w:val="333333"/>
          <w:kern w:val="0"/>
          <w:sz w:val="36"/>
          <w:szCs w:val="36"/>
          <w:shd w:val="clear" w:color="auto" w:fill="FFFFFF"/>
        </w:rPr>
      </w:pPr>
    </w:p>
    <w:p>
      <w:pPr>
        <w:spacing w:line="600" w:lineRule="exact"/>
        <w:jc w:val="left"/>
        <w:rPr>
          <w:rFonts w:ascii="宋体" w:hAnsi="宋体"/>
          <w:color w:val="333333"/>
          <w:kern w:val="0"/>
          <w:sz w:val="36"/>
          <w:szCs w:val="36"/>
          <w:shd w:val="clear" w:color="auto" w:fill="FFFFFF"/>
        </w:rPr>
      </w:pPr>
    </w:p>
    <w:p>
      <w:pPr>
        <w:spacing w:line="600" w:lineRule="exact"/>
        <w:jc w:val="left"/>
        <w:rPr>
          <w:rFonts w:ascii="宋体" w:hAnsi="宋体"/>
          <w:color w:val="333333"/>
          <w:kern w:val="0"/>
          <w:sz w:val="36"/>
          <w:szCs w:val="36"/>
          <w:shd w:val="clear" w:color="auto" w:fill="FFFFFF"/>
        </w:rPr>
      </w:pPr>
    </w:p>
    <w:p>
      <w:pPr>
        <w:widowControl/>
        <w:spacing w:line="600" w:lineRule="exact"/>
        <w:jc w:val="center"/>
        <w:rPr>
          <w:rFonts w:ascii="黑体" w:hAnsi="黑体" w:eastAsia="黑体"/>
          <w:color w:val="333333"/>
          <w:kern w:val="0"/>
          <w:sz w:val="36"/>
          <w:szCs w:val="36"/>
        </w:rPr>
      </w:pPr>
      <w:r>
        <w:rPr>
          <w:rFonts w:hint="eastAsia" w:ascii="黑体" w:hAnsi="黑体" w:eastAsia="黑体"/>
          <w:color w:val="333333"/>
          <w:kern w:val="0"/>
          <w:sz w:val="36"/>
          <w:szCs w:val="36"/>
        </w:rPr>
        <w:t>第四部分 2022年龙城</w:t>
      </w:r>
      <w:r>
        <w:rPr>
          <w:rFonts w:hint="eastAsia" w:ascii="黑体" w:hAnsi="黑体" w:eastAsia="黑体"/>
          <w:color w:val="333333"/>
          <w:kern w:val="0"/>
          <w:sz w:val="36"/>
          <w:szCs w:val="36"/>
          <w:lang w:eastAsia="zh-CN"/>
        </w:rPr>
        <w:t>区农村经济经营管理局</w:t>
      </w:r>
      <w:r>
        <w:rPr>
          <w:rFonts w:hint="eastAsia" w:ascii="黑体" w:hAnsi="黑体" w:eastAsia="黑体"/>
          <w:color w:val="333333"/>
          <w:kern w:val="0"/>
          <w:sz w:val="36"/>
          <w:szCs w:val="36"/>
        </w:rPr>
        <w:t>预算批复表</w:t>
      </w:r>
    </w:p>
    <w:p>
      <w:pPr>
        <w:widowControl/>
        <w:spacing w:line="600" w:lineRule="exact"/>
        <w:jc w:val="left"/>
        <w:rPr>
          <w:rFonts w:ascii="仿宋_GB2312" w:hAnsi="宋体" w:eastAsia="仿宋_GB2312"/>
          <w:color w:val="333333"/>
          <w:kern w:val="0"/>
          <w:sz w:val="36"/>
          <w:szCs w:val="36"/>
          <w:shd w:val="clear" w:color="auto" w:fill="FFFFFF"/>
        </w:rPr>
      </w:pPr>
    </w:p>
    <w:p>
      <w:pPr>
        <w:widowControl/>
        <w:spacing w:line="600" w:lineRule="exact"/>
        <w:jc w:val="left"/>
        <w:rPr>
          <w:rFonts w:ascii="仿宋_GB2312" w:hAnsi="宋体" w:eastAsia="仿宋_GB2312"/>
          <w:kern w:val="0"/>
          <w:sz w:val="36"/>
          <w:szCs w:val="36"/>
        </w:rPr>
      </w:pPr>
      <w:r>
        <w:rPr>
          <w:rFonts w:hint="eastAsia" w:ascii="仿宋_GB2312" w:hAnsi="宋体" w:eastAsia="仿宋_GB2312"/>
          <w:color w:val="333333"/>
          <w:kern w:val="0"/>
          <w:sz w:val="32"/>
          <w:szCs w:val="32"/>
          <w:shd w:val="clear" w:color="auto" w:fill="FFFFFF"/>
        </w:rPr>
        <w:t>详见附表：</w:t>
      </w:r>
      <w:r>
        <w:rPr>
          <w:rFonts w:hint="eastAsia" w:ascii="仿宋_GB2312" w:hAnsi="宋体" w:eastAsia="仿宋_GB2312"/>
          <w:color w:val="333333"/>
          <w:kern w:val="0"/>
          <w:sz w:val="32"/>
          <w:szCs w:val="32"/>
        </w:rPr>
        <w:t>2022年龙城</w:t>
      </w:r>
      <w:r>
        <w:rPr>
          <w:rFonts w:hint="eastAsia" w:ascii="仿宋_GB2312" w:hAnsi="宋体" w:eastAsia="仿宋_GB2312"/>
          <w:color w:val="333333"/>
          <w:kern w:val="0"/>
          <w:sz w:val="32"/>
          <w:szCs w:val="32"/>
          <w:lang w:eastAsia="zh-CN"/>
        </w:rPr>
        <w:t>区农村经济经营管理局</w:t>
      </w:r>
      <w:r>
        <w:rPr>
          <w:rFonts w:hint="eastAsia" w:ascii="仿宋_GB2312" w:hAnsi="宋体" w:eastAsia="仿宋_GB2312"/>
          <w:color w:val="333333"/>
          <w:kern w:val="0"/>
          <w:sz w:val="32"/>
          <w:szCs w:val="32"/>
        </w:rPr>
        <w:t>预算批复表</w:t>
      </w:r>
    </w:p>
    <w:p>
      <w:pPr>
        <w:spacing w:line="600" w:lineRule="exact"/>
        <w:jc w:val="left"/>
        <w:rPr>
          <w:rFonts w:ascii="仿宋_GB2312" w:eastAsia="仿宋_GB2312"/>
          <w:sz w:val="36"/>
          <w:szCs w:val="36"/>
          <w:highlight w:val="yellow"/>
        </w:rPr>
      </w:pPr>
    </w:p>
    <w:sectPr>
      <w:footerReference r:id="rId3" w:type="default"/>
      <w:pgSz w:w="11906" w:h="16838"/>
      <w:pgMar w:top="1701" w:right="1418" w:bottom="1701"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40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409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CwT&#10;t6O2AQAAkgMAAA4AAAAAAAAAAQAgAAAAHgEAAGRycy9lMm9Eb2MueG1sUEsFBgAAAAAGAAYAWQEA&#10;AEY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A09FD"/>
    <w:rsid w:val="12D14D6A"/>
    <w:rsid w:val="18C354F3"/>
    <w:rsid w:val="373D04C1"/>
    <w:rsid w:val="3B8E1B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b/>
      <w:bCs/>
      <w:kern w:val="0"/>
      <w:sz w:val="36"/>
      <w:szCs w:val="36"/>
    </w:rPr>
  </w:style>
  <w:style w:type="character" w:default="1" w:styleId="9">
    <w:name w:val="Default Paragraph Font"/>
    <w:uiPriority w:val="1"/>
  </w:style>
  <w:style w:type="table" w:default="1" w:styleId="8">
    <w:name w:val="Normal Table"/>
    <w:qFormat/>
    <w:uiPriority w:val="99"/>
    <w:tblPr>
      <w:tblCellMar>
        <w:top w:w="0" w:type="dxa"/>
        <w:left w:w="108" w:type="dxa"/>
        <w:bottom w:w="0" w:type="dxa"/>
        <w:right w:w="108" w:type="dxa"/>
      </w:tblCellMar>
    </w:tblPr>
  </w:style>
  <w:style w:type="paragraph" w:styleId="4">
    <w:name w:val="Balloon Text"/>
    <w:basedOn w:val="1"/>
    <w:link w:val="16"/>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10">
    <w:name w:val="Strong"/>
    <w:basedOn w:val="9"/>
    <w:qFormat/>
    <w:uiPriority w:val="22"/>
    <w:rPr>
      <w:b/>
      <w:bCs/>
    </w:rPr>
  </w:style>
  <w:style w:type="character" w:styleId="11">
    <w:name w:val="Hyperlink"/>
    <w:basedOn w:val="9"/>
    <w:qFormat/>
    <w:uiPriority w:val="99"/>
    <w:rPr>
      <w:color w:val="0000FF"/>
      <w:u w:val="single"/>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标题 2 Char"/>
    <w:basedOn w:val="9"/>
    <w:link w:val="3"/>
    <w:qFormat/>
    <w:uiPriority w:val="9"/>
    <w:rPr>
      <w:rFonts w:ascii="宋体" w:hAnsi="宋体" w:eastAsia="宋体" w:cs="宋体"/>
      <w:b/>
      <w:bCs/>
      <w:kern w:val="0"/>
      <w:sz w:val="36"/>
      <w:szCs w:val="36"/>
    </w:rPr>
  </w:style>
  <w:style w:type="character" w:customStyle="1" w:styleId="14">
    <w:name w:val="页眉 Char"/>
    <w:basedOn w:val="9"/>
    <w:link w:val="6"/>
    <w:qFormat/>
    <w:uiPriority w:val="99"/>
    <w:rPr>
      <w:sz w:val="18"/>
      <w:szCs w:val="18"/>
    </w:rPr>
  </w:style>
  <w:style w:type="character" w:customStyle="1" w:styleId="15">
    <w:name w:val="页脚 Char"/>
    <w:basedOn w:val="9"/>
    <w:link w:val="5"/>
    <w:qFormat/>
    <w:uiPriority w:val="99"/>
    <w:rPr>
      <w:sz w:val="18"/>
      <w:szCs w:val="18"/>
    </w:rPr>
  </w:style>
  <w:style w:type="character" w:customStyle="1" w:styleId="16">
    <w:name w:val="批注框文本 Char"/>
    <w:basedOn w:val="9"/>
    <w:link w:val="4"/>
    <w:qFormat/>
    <w:uiPriority w:val="99"/>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2133</Words>
  <Characters>2241</Characters>
  <Paragraphs>123</Paragraphs>
  <TotalTime>1</TotalTime>
  <ScaleCrop>false</ScaleCrop>
  <LinksUpToDate>false</LinksUpToDate>
  <CharactersWithSpaces>2297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2022-01-04T06:44:00Z</dcterms:created>
  <dc:creator>微软用户</dc:creator>
  <cp:lastModifiedBy>邓悦.</cp:lastModifiedBy>
  <cp:lastPrinted>2022-01-12T06:55:58Z</cp:lastPrinted>
  <dcterms:modified xsi:type="dcterms:W3CDTF">2022-01-12T06:56:18Z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AE19520113404823A0F8B9B56DBB3EEA</vt:lpwstr>
  </property>
</Properties>
</file>