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b/>
          <w:sz w:val="44"/>
          <w:szCs w:val="44"/>
          <w:u w:val="single"/>
        </w:rPr>
      </w:pPr>
      <w:bookmarkStart w:id="0" w:name="_GoBack"/>
    </w:p>
    <w:bookmarkEnd w:id="0"/>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700" w:lineRule="exac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龙城区水利局部门预算</w:t>
      </w:r>
    </w:p>
    <w:p>
      <w:pPr>
        <w:spacing w:line="700" w:lineRule="exac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（2022年）</w:t>
      </w:r>
    </w:p>
    <w:p>
      <w:pPr>
        <w:spacing w:line="600" w:lineRule="exact"/>
        <w:jc w:val="left"/>
        <w:rPr>
          <w:rFonts w:ascii="Times New Roman" w:hAnsi="Times New Roman" w:eastAsia="宋体"/>
          <w:b/>
          <w:sz w:val="52"/>
          <w:szCs w:val="52"/>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widowControl/>
        <w:spacing w:line="600" w:lineRule="exact"/>
        <w:outlineLvl w:val="0"/>
        <w:rPr>
          <w:rFonts w:cs="宋体" w:asciiTheme="majorEastAsia" w:hAnsiTheme="majorEastAsia" w:eastAsiaTheme="majorEastAsia"/>
          <w:b/>
          <w:bCs/>
          <w:color w:val="333333"/>
          <w:kern w:val="36"/>
          <w:sz w:val="44"/>
          <w:szCs w:val="44"/>
        </w:rPr>
        <w:sectPr>
          <w:pgSz w:w="11906" w:h="16838"/>
          <w:pgMar w:top="1701" w:right="1418" w:bottom="1701" w:left="1701" w:header="851" w:footer="992" w:gutter="0"/>
          <w:cols w:space="425" w:num="1"/>
          <w:docGrid w:type="lines" w:linePitch="312" w:charSpace="0"/>
        </w:sectPr>
      </w:pPr>
    </w:p>
    <w:p>
      <w:pPr>
        <w:widowControl/>
        <w:spacing w:line="600" w:lineRule="exact"/>
        <w:jc w:val="center"/>
        <w:outlineLvl w:val="0"/>
        <w:rPr>
          <w:rFonts w:cs="宋体" w:asciiTheme="majorEastAsia" w:hAnsiTheme="majorEastAsia" w:eastAsiaTheme="majorEastAsia"/>
          <w:b/>
          <w:bCs/>
          <w:color w:val="333333"/>
          <w:kern w:val="36"/>
          <w:sz w:val="44"/>
          <w:szCs w:val="44"/>
        </w:rPr>
      </w:pPr>
      <w:r>
        <w:rPr>
          <w:rFonts w:hint="eastAsia" w:cs="宋体" w:asciiTheme="majorEastAsia" w:hAnsiTheme="majorEastAsia" w:eastAsiaTheme="majorEastAsia"/>
          <w:b/>
          <w:bCs/>
          <w:color w:val="333333"/>
          <w:kern w:val="36"/>
          <w:sz w:val="44"/>
          <w:szCs w:val="44"/>
        </w:rPr>
        <w:t>2022年龙城区水利局部门预算</w:t>
      </w:r>
    </w:p>
    <w:p>
      <w:pPr>
        <w:widowControl/>
        <w:spacing w:line="300" w:lineRule="exact"/>
        <w:jc w:val="center"/>
        <w:outlineLvl w:val="0"/>
        <w:rPr>
          <w:rFonts w:cs="宋体" w:asciiTheme="majorEastAsia" w:hAnsiTheme="majorEastAsia" w:eastAsiaTheme="majorEastAsia"/>
          <w:b/>
          <w:bCs/>
          <w:color w:val="333333"/>
          <w:kern w:val="36"/>
          <w:sz w:val="44"/>
          <w:szCs w:val="44"/>
        </w:rPr>
      </w:pPr>
    </w:p>
    <w:p>
      <w:pPr>
        <w:widowControl/>
        <w:spacing w:line="600" w:lineRule="exact"/>
        <w:jc w:val="center"/>
        <w:rPr>
          <w:rFonts w:cs="宋体" w:asciiTheme="majorEastAsia" w:hAnsiTheme="majorEastAsia" w:eastAsiaTheme="majorEastAsia"/>
          <w:b/>
          <w:bCs/>
          <w:color w:val="333333"/>
          <w:kern w:val="0"/>
          <w:sz w:val="36"/>
          <w:szCs w:val="36"/>
        </w:rPr>
      </w:pPr>
      <w:r>
        <w:rPr>
          <w:rFonts w:hint="eastAsia" w:cs="宋体" w:asciiTheme="majorEastAsia" w:hAnsiTheme="majorEastAsia" w:eastAsiaTheme="majorEastAsia"/>
          <w:b/>
          <w:bCs/>
          <w:color w:val="333333"/>
          <w:kern w:val="0"/>
          <w:sz w:val="36"/>
          <w:szCs w:val="36"/>
        </w:rPr>
        <w:t>目    录</w:t>
      </w:r>
    </w:p>
    <w:p>
      <w:pPr>
        <w:widowControl/>
        <w:spacing w:line="300" w:lineRule="exact"/>
        <w:jc w:val="center"/>
        <w:rPr>
          <w:rFonts w:cs="宋体" w:asciiTheme="majorEastAsia" w:hAnsiTheme="majorEastAsia" w:eastAsiaTheme="majorEastAsia"/>
          <w:b/>
          <w:bCs/>
          <w:color w:val="333333"/>
          <w:kern w:val="0"/>
          <w:sz w:val="36"/>
          <w:szCs w:val="36"/>
        </w:rPr>
      </w:pPr>
    </w:p>
    <w:p>
      <w:pPr>
        <w:widowControl/>
        <w:spacing w:line="500" w:lineRule="exact"/>
        <w:jc w:val="left"/>
        <w:rPr>
          <w:rFonts w:ascii="宋体" w:hAnsi="宋体" w:eastAsia="宋体" w:cs="宋体"/>
          <w:bCs/>
          <w:color w:val="333333"/>
          <w:kern w:val="0"/>
          <w:sz w:val="32"/>
          <w:szCs w:val="32"/>
          <w:shd w:val="clear" w:color="auto" w:fill="FFFFFF"/>
        </w:rPr>
      </w:pPr>
      <w:r>
        <w:rPr>
          <w:rFonts w:hint="eastAsia" w:ascii="黑体" w:hAnsi="黑体" w:eastAsia="黑体" w:cs="宋体"/>
          <w:bCs/>
          <w:color w:val="333333"/>
          <w:kern w:val="0"/>
          <w:sz w:val="32"/>
          <w:szCs w:val="32"/>
          <w:shd w:val="clear" w:color="auto" w:fill="FFFFFF"/>
        </w:rPr>
        <w:t>第一部分   龙城区水利局概况</w:t>
      </w:r>
    </w:p>
    <w:p>
      <w:pPr>
        <w:widowControl/>
        <w:spacing w:line="500" w:lineRule="exact"/>
        <w:ind w:firstLine="640" w:firstLineChars="200"/>
        <w:jc w:val="left"/>
        <w:rPr>
          <w:rFonts w:ascii="宋体" w:hAnsi="宋体" w:eastAsia="宋体" w:cs="宋体"/>
          <w:bCs/>
          <w:color w:val="333333"/>
          <w:kern w:val="0"/>
          <w:sz w:val="32"/>
          <w:szCs w:val="32"/>
          <w:shd w:val="clear" w:color="auto" w:fill="FFFFFF"/>
        </w:rPr>
      </w:pPr>
      <w:r>
        <w:rPr>
          <w:rFonts w:hint="eastAsia" w:ascii="宋体" w:hAnsi="宋体" w:eastAsia="宋体" w:cs="宋体"/>
          <w:bCs/>
          <w:color w:val="333333"/>
          <w:kern w:val="0"/>
          <w:sz w:val="32"/>
          <w:szCs w:val="32"/>
          <w:shd w:val="clear" w:color="auto" w:fill="FFFFFF"/>
        </w:rPr>
        <w:t>一、主要职责</w:t>
      </w:r>
    </w:p>
    <w:p>
      <w:pPr>
        <w:widowControl/>
        <w:spacing w:line="500" w:lineRule="exact"/>
        <w:ind w:firstLine="640" w:firstLineChars="200"/>
        <w:jc w:val="left"/>
        <w:rPr>
          <w:rFonts w:ascii="宋体" w:hAnsi="宋体" w:eastAsia="宋体" w:cs="宋体"/>
          <w:bCs/>
          <w:color w:val="333333"/>
          <w:kern w:val="0"/>
          <w:sz w:val="32"/>
          <w:szCs w:val="32"/>
          <w:shd w:val="clear" w:color="auto" w:fill="FFFFFF"/>
        </w:rPr>
      </w:pPr>
      <w:r>
        <w:rPr>
          <w:rFonts w:hint="eastAsia" w:ascii="宋体" w:hAnsi="宋体" w:eastAsia="宋体" w:cs="宋体"/>
          <w:bCs/>
          <w:color w:val="333333"/>
          <w:kern w:val="0"/>
          <w:sz w:val="32"/>
          <w:szCs w:val="32"/>
          <w:shd w:val="clear" w:color="auto" w:fill="FFFFFF"/>
        </w:rPr>
        <w:t>二、部门预算单位构成</w:t>
      </w:r>
    </w:p>
    <w:p>
      <w:pPr>
        <w:widowControl/>
        <w:spacing w:line="500" w:lineRule="exact"/>
        <w:jc w:val="left"/>
        <w:rPr>
          <w:rFonts w:ascii="黑体" w:hAnsi="黑体" w:eastAsia="黑体" w:cs="宋体"/>
          <w:bCs/>
          <w:color w:val="333333"/>
          <w:kern w:val="0"/>
          <w:sz w:val="32"/>
          <w:szCs w:val="32"/>
        </w:rPr>
      </w:pPr>
      <w:r>
        <w:rPr>
          <w:rFonts w:hint="eastAsia" w:ascii="黑体" w:hAnsi="黑体" w:eastAsia="黑体" w:cs="宋体"/>
          <w:bCs/>
          <w:color w:val="333333"/>
          <w:kern w:val="0"/>
          <w:sz w:val="32"/>
          <w:szCs w:val="32"/>
          <w:shd w:val="clear" w:color="auto" w:fill="FFFFFF"/>
        </w:rPr>
        <w:t>第二部分    龙城区水利局2022年部门预算情况说明</w:t>
      </w:r>
    </w:p>
    <w:p>
      <w:pPr>
        <w:widowControl/>
        <w:spacing w:line="500" w:lineRule="exact"/>
        <w:jc w:val="left"/>
        <w:rPr>
          <w:rFonts w:ascii="黑体" w:hAnsi="黑体" w:eastAsia="黑体" w:cs="宋体"/>
          <w:bCs/>
          <w:color w:val="333333"/>
          <w:kern w:val="0"/>
          <w:sz w:val="32"/>
          <w:szCs w:val="32"/>
          <w:shd w:val="clear" w:color="auto" w:fill="FFFFFF"/>
        </w:rPr>
      </w:pPr>
      <w:r>
        <w:rPr>
          <w:rFonts w:hint="eastAsia" w:ascii="黑体" w:hAnsi="黑体" w:eastAsia="黑体" w:cs="宋体"/>
          <w:bCs/>
          <w:color w:val="333333"/>
          <w:kern w:val="0"/>
          <w:sz w:val="32"/>
          <w:szCs w:val="32"/>
          <w:shd w:val="clear" w:color="auto" w:fill="FFFFFF"/>
        </w:rPr>
        <w:t>第三部分    名词解释</w:t>
      </w:r>
    </w:p>
    <w:p>
      <w:pPr>
        <w:widowControl/>
        <w:spacing w:line="500" w:lineRule="exact"/>
        <w:jc w:val="left"/>
        <w:rPr>
          <w:rFonts w:ascii="黑体" w:hAnsi="黑体" w:eastAsia="黑体" w:cs="宋体"/>
          <w:bCs/>
          <w:color w:val="333333"/>
          <w:kern w:val="0"/>
          <w:sz w:val="32"/>
          <w:szCs w:val="32"/>
        </w:rPr>
      </w:pPr>
      <w:r>
        <w:rPr>
          <w:rFonts w:hint="eastAsia" w:ascii="黑体" w:hAnsi="黑体" w:eastAsia="黑体" w:cs="宋体"/>
          <w:bCs/>
          <w:color w:val="333333"/>
          <w:kern w:val="0"/>
          <w:sz w:val="32"/>
          <w:szCs w:val="32"/>
          <w:shd w:val="clear" w:color="auto" w:fill="FFFFFF"/>
        </w:rPr>
        <w:t xml:space="preserve">第四部分    </w:t>
      </w:r>
      <w:r>
        <w:rPr>
          <w:rFonts w:hint="eastAsia" w:ascii="黑体" w:hAnsi="黑体" w:eastAsia="黑体" w:cs="宋体"/>
          <w:bCs/>
          <w:color w:val="333333"/>
          <w:kern w:val="0"/>
          <w:sz w:val="32"/>
          <w:szCs w:val="32"/>
        </w:rPr>
        <w:t>2022年龙城区水利局部门预算批复表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一、收支预算总表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二、收入预算总表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三、支出预算总表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四、财政拨款收支预算总表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五、一般公共预算支出表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六、一般公共预算基本支出表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七、一般公共预算“三公”经费支出表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八、政府性基金预算支出表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九、项目支出预算表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十、支出功能分类预算表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十一、支出经济分类预算表（政府预算）</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十二、支出经济分类预算表（部门预算）</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十三、债务支出预算表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十四、政府采购支出预算表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十五、政府购买服务支出预算表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十六、部门（单位）整体绩效目标表</w:t>
      </w:r>
    </w:p>
    <w:p>
      <w:pPr>
        <w:widowControl/>
        <w:spacing w:line="500" w:lineRule="exact"/>
        <w:ind w:firstLine="640" w:firstLineChars="200"/>
        <w:jc w:val="left"/>
        <w:rPr>
          <w:rFonts w:ascii="宋体" w:hAnsi="宋体" w:eastAsia="宋体" w:cs="宋体"/>
          <w:color w:val="333333"/>
          <w:kern w:val="0"/>
          <w:sz w:val="32"/>
          <w:szCs w:val="32"/>
          <w:shd w:val="clear" w:color="auto" w:fill="FFFFFF"/>
        </w:rPr>
      </w:pPr>
      <w:r>
        <w:rPr>
          <w:rFonts w:hint="eastAsia" w:ascii="宋体" w:hAnsi="宋体" w:eastAsia="宋体" w:cs="宋体"/>
          <w:color w:val="333333"/>
          <w:kern w:val="0"/>
          <w:sz w:val="32"/>
          <w:szCs w:val="32"/>
        </w:rPr>
        <w:t>十七、部门预算项目（政策）绩效目标表</w:t>
      </w: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第一部分 龙城区水利局概况</w:t>
      </w:r>
    </w:p>
    <w:p>
      <w:pPr>
        <w:widowControl/>
        <w:spacing w:line="600" w:lineRule="exact"/>
        <w:jc w:val="center"/>
        <w:rPr>
          <w:rFonts w:ascii="宋体" w:hAnsi="宋体" w:eastAsia="宋体" w:cs="宋体"/>
          <w:color w:val="333333"/>
          <w:kern w:val="0"/>
          <w:sz w:val="32"/>
          <w:szCs w:val="32"/>
        </w:rPr>
      </w:pPr>
    </w:p>
    <w:p>
      <w:pPr>
        <w:spacing w:line="560" w:lineRule="exact"/>
        <w:ind w:firstLine="633" w:firstLineChars="197"/>
        <w:rPr>
          <w:rFonts w:ascii="仿宋" w:hAnsi="仿宋" w:eastAsia="仿宋" w:cs="宋体"/>
          <w:color w:val="333333"/>
          <w:kern w:val="0"/>
          <w:sz w:val="32"/>
          <w:szCs w:val="32"/>
          <w:shd w:val="clear" w:color="auto" w:fill="FFFFFF"/>
        </w:rPr>
      </w:pPr>
      <w:r>
        <w:rPr>
          <w:rFonts w:hint="eastAsia" w:ascii="楷体_GB2312" w:hAnsi="楷体_GB2312" w:eastAsia="楷体_GB2312" w:cs="楷体_GB2312"/>
          <w:b/>
          <w:color w:val="333333"/>
          <w:kern w:val="0"/>
          <w:sz w:val="32"/>
          <w:szCs w:val="32"/>
          <w:shd w:val="clear" w:color="auto" w:fill="FFFFFF"/>
        </w:rPr>
        <w:t xml:space="preserve">    一、主要职责</w:t>
      </w:r>
      <w:r>
        <w:rPr>
          <w:rFonts w:hint="eastAsia" w:ascii="仿宋_GB2312" w:hAnsi="宋体" w:eastAsia="仿宋_GB2312" w:cs="宋体"/>
          <w:b/>
          <w:color w:val="333333"/>
          <w:kern w:val="0"/>
          <w:sz w:val="32"/>
          <w:szCs w:val="32"/>
        </w:rPr>
        <w:br w:type="textWrapping"/>
      </w:r>
      <w:r>
        <w:rPr>
          <w:rFonts w:ascii="宋体" w:hAnsi="宋体" w:eastAsia="仿宋" w:cs="宋体"/>
          <w:color w:val="333333"/>
          <w:kern w:val="0"/>
          <w:sz w:val="32"/>
          <w:szCs w:val="32"/>
          <w:shd w:val="clear" w:color="auto" w:fill="FFFFFF"/>
        </w:rPr>
        <w:t> </w:t>
      </w:r>
      <w:r>
        <w:rPr>
          <w:rFonts w:hint="eastAsia" w:ascii="仿宋" w:hAnsi="仿宋" w:eastAsia="仿宋" w:cs="宋体"/>
          <w:color w:val="333333"/>
          <w:kern w:val="0"/>
          <w:sz w:val="32"/>
          <w:szCs w:val="32"/>
          <w:shd w:val="clear" w:color="auto" w:fill="FFFFFF"/>
        </w:rPr>
        <w:t>一、主要职责</w:t>
      </w:r>
      <w:r>
        <w:rPr>
          <w:rFonts w:ascii="仿宋" w:hAnsi="仿宋" w:eastAsia="仿宋" w:cs="宋体"/>
          <w:color w:val="333333"/>
          <w:kern w:val="0"/>
          <w:sz w:val="32"/>
          <w:szCs w:val="32"/>
        </w:rPr>
        <w:br w:type="textWrapping"/>
      </w:r>
      <w:r>
        <w:rPr>
          <w:rFonts w:hint="eastAsia" w:ascii="仿宋" w:hAnsi="仿宋" w:eastAsia="仿宋" w:cs="宋体"/>
          <w:color w:val="333333"/>
          <w:kern w:val="0"/>
          <w:sz w:val="32"/>
          <w:szCs w:val="32"/>
          <w:shd w:val="clear" w:color="auto" w:fill="FFFFFF"/>
        </w:rPr>
        <w:t>（一）负责保障水资源的合理开发利用。拟订全区水利发展规划，贯彻执行国家法律法规及有关方针政策，组织编制全区水资源综合规划、重要河流流域综合规划、防洪规划等重大水利规划。</w:t>
      </w:r>
    </w:p>
    <w:p>
      <w:pPr>
        <w:spacing w:line="560" w:lineRule="exact"/>
        <w:ind w:firstLine="630" w:firstLineChars="197"/>
        <w:rPr>
          <w:rFonts w:ascii="仿宋" w:hAnsi="仿宋" w:eastAsia="仿宋" w:cs="宋体"/>
          <w:color w:val="333333"/>
          <w:kern w:val="0"/>
          <w:sz w:val="32"/>
          <w:szCs w:val="32"/>
          <w:shd w:val="clear" w:color="auto" w:fill="FFFFFF"/>
        </w:rPr>
      </w:pPr>
      <w:r>
        <w:rPr>
          <w:rFonts w:hint="eastAsia" w:ascii="仿宋" w:hAnsi="仿宋" w:eastAsia="仿宋" w:cs="宋体"/>
          <w:color w:val="333333"/>
          <w:kern w:val="0"/>
          <w:sz w:val="32"/>
          <w:szCs w:val="32"/>
          <w:shd w:val="clear" w:color="auto" w:fill="FFFFFF"/>
        </w:rPr>
        <w:t>（二）负责生活、生产经营和生态环境用水的统筹和保障。组织实施最严格水资源管理制度，实施水资源的统一监督管理，拟订全区水中长期供求规划、水量分配方案并监督实施。负责重要流域、区域以及调水工程的水资源调度。指导开展水资源有偿使用工作。指导水利行业供水工作。</w:t>
      </w:r>
    </w:p>
    <w:p>
      <w:pPr>
        <w:spacing w:line="560" w:lineRule="exact"/>
        <w:ind w:firstLine="630" w:firstLineChars="197"/>
        <w:rPr>
          <w:rFonts w:ascii="仿宋" w:hAnsi="仿宋" w:eastAsia="仿宋" w:cs="宋体"/>
          <w:color w:val="333333"/>
          <w:kern w:val="0"/>
          <w:sz w:val="32"/>
          <w:szCs w:val="32"/>
          <w:shd w:val="clear" w:color="auto" w:fill="FFFFFF"/>
        </w:rPr>
      </w:pPr>
      <w:r>
        <w:rPr>
          <w:rFonts w:hint="eastAsia" w:ascii="仿宋" w:hAnsi="仿宋" w:eastAsia="仿宋" w:cs="宋体"/>
          <w:color w:val="333333"/>
          <w:kern w:val="0"/>
          <w:sz w:val="32"/>
          <w:szCs w:val="32"/>
          <w:shd w:val="clear" w:color="auto" w:fill="FFFFFF"/>
        </w:rPr>
        <w:t>（三）组织实施国家和省、市、区水利工程建设有关制度，负责提出中央和省、市、区水利固定资产投资规模、方向、具体安排建议并组织指导实施，提出中央和省、市、区水利资金安排建议并负责项目实施的监督管理。</w:t>
      </w:r>
    </w:p>
    <w:p>
      <w:pPr>
        <w:spacing w:line="560" w:lineRule="exact"/>
        <w:ind w:firstLine="630" w:firstLineChars="197"/>
        <w:rPr>
          <w:rFonts w:ascii="仿宋" w:hAnsi="仿宋" w:eastAsia="仿宋" w:cs="宋体"/>
          <w:color w:val="333333"/>
          <w:kern w:val="0"/>
          <w:sz w:val="32"/>
          <w:szCs w:val="32"/>
          <w:shd w:val="clear" w:color="auto" w:fill="FFFFFF"/>
        </w:rPr>
      </w:pPr>
      <w:r>
        <w:rPr>
          <w:rFonts w:hint="eastAsia" w:ascii="仿宋" w:hAnsi="仿宋" w:eastAsia="仿宋" w:cs="宋体"/>
          <w:color w:val="333333"/>
          <w:kern w:val="0"/>
          <w:sz w:val="32"/>
          <w:szCs w:val="32"/>
          <w:shd w:val="clear" w:color="auto" w:fill="FFFFFF"/>
        </w:rPr>
        <w:t>（四）配合有关部门完成全区水资源保护工作。参与编制全区水资源保护规划。指导农村饮用水水源保护有关工作，指导地下水开发利用和地下水资源管理。组织指导地下水超采区综合治理。</w:t>
      </w:r>
    </w:p>
    <w:p>
      <w:pPr>
        <w:spacing w:line="560" w:lineRule="exact"/>
        <w:ind w:firstLine="630" w:firstLineChars="197"/>
        <w:rPr>
          <w:rFonts w:ascii="仿宋" w:hAnsi="仿宋" w:eastAsia="仿宋" w:cs="宋体"/>
          <w:color w:val="333333"/>
          <w:kern w:val="0"/>
          <w:sz w:val="32"/>
          <w:szCs w:val="32"/>
          <w:shd w:val="clear" w:color="auto" w:fill="FFFFFF"/>
        </w:rPr>
      </w:pPr>
      <w:r>
        <w:rPr>
          <w:rFonts w:hint="eastAsia" w:ascii="仿宋" w:hAnsi="仿宋" w:eastAsia="仿宋" w:cs="宋体"/>
          <w:color w:val="333333"/>
          <w:kern w:val="0"/>
          <w:sz w:val="32"/>
          <w:szCs w:val="32"/>
          <w:shd w:val="clear" w:color="auto" w:fill="FFFFFF"/>
        </w:rPr>
        <w:t>（五）负责行业节约用水工作。组织实施用水总量控制等管理制度，指导和推动节水型社会建设工作。</w:t>
      </w:r>
    </w:p>
    <w:p>
      <w:pPr>
        <w:spacing w:line="560" w:lineRule="exact"/>
        <w:ind w:firstLine="630" w:firstLineChars="197"/>
        <w:rPr>
          <w:rFonts w:ascii="仿宋" w:hAnsi="仿宋" w:eastAsia="仿宋" w:cs="宋体"/>
          <w:color w:val="333333"/>
          <w:kern w:val="0"/>
          <w:sz w:val="32"/>
          <w:szCs w:val="32"/>
          <w:shd w:val="clear" w:color="auto" w:fill="FFFFFF"/>
        </w:rPr>
      </w:pPr>
      <w:r>
        <w:rPr>
          <w:rFonts w:hint="eastAsia" w:ascii="仿宋" w:hAnsi="仿宋" w:eastAsia="仿宋" w:cs="宋体"/>
          <w:color w:val="333333"/>
          <w:kern w:val="0"/>
          <w:sz w:val="32"/>
          <w:szCs w:val="32"/>
          <w:shd w:val="clear" w:color="auto" w:fill="FFFFFF"/>
        </w:rPr>
        <w:t>（六）配合上级业务部门做好全区水文工作。协助上级业务部门做好全区水文水资源监测、水文站网建设和管理。按规定组织开展水资源、水能资源调查评价和水资源承载能力监测预警工作。</w:t>
      </w:r>
    </w:p>
    <w:p>
      <w:pPr>
        <w:spacing w:line="560" w:lineRule="exact"/>
        <w:ind w:firstLine="630" w:firstLineChars="197"/>
        <w:rPr>
          <w:rFonts w:ascii="仿宋" w:hAnsi="仿宋" w:eastAsia="仿宋" w:cs="宋体"/>
          <w:color w:val="333333"/>
          <w:kern w:val="0"/>
          <w:sz w:val="32"/>
          <w:szCs w:val="32"/>
          <w:shd w:val="clear" w:color="auto" w:fill="FFFFFF"/>
        </w:rPr>
      </w:pPr>
      <w:r>
        <w:rPr>
          <w:rFonts w:hint="eastAsia" w:ascii="仿宋" w:hAnsi="仿宋" w:eastAsia="仿宋" w:cs="宋体"/>
          <w:color w:val="333333"/>
          <w:kern w:val="0"/>
          <w:sz w:val="32"/>
          <w:szCs w:val="32"/>
          <w:shd w:val="clear" w:color="auto" w:fill="FFFFFF"/>
        </w:rPr>
        <w:t>（七）指导水利设施、水域及其岸线的管理、保护与综合利用。组织指导全区水利基础设施网络建设。指导区内河流开发和保护。指导河湖水生态保护与修复、河湖生态流量水量管理以及河湖水系连通工作。负责全区河道采砂管理工作。指导全区水库工程管理工作。（凌河局职能，是否保留）</w:t>
      </w:r>
    </w:p>
    <w:p>
      <w:pPr>
        <w:spacing w:line="560" w:lineRule="exact"/>
        <w:ind w:firstLine="630" w:firstLineChars="197"/>
        <w:rPr>
          <w:rFonts w:ascii="仿宋" w:hAnsi="仿宋" w:eastAsia="仿宋" w:cs="宋体"/>
          <w:color w:val="333333"/>
          <w:kern w:val="0"/>
          <w:sz w:val="32"/>
          <w:szCs w:val="32"/>
          <w:shd w:val="clear" w:color="auto" w:fill="FFFFFF"/>
        </w:rPr>
      </w:pPr>
      <w:r>
        <w:rPr>
          <w:rFonts w:hint="eastAsia" w:ascii="仿宋" w:hAnsi="仿宋" w:eastAsia="仿宋" w:cs="宋体"/>
          <w:color w:val="333333"/>
          <w:kern w:val="0"/>
          <w:sz w:val="32"/>
          <w:szCs w:val="32"/>
          <w:shd w:val="clear" w:color="auto" w:fill="FFFFFF"/>
        </w:rPr>
        <w:t>（八）指导监督水利工程建设与运行管理。指导具有控制性的重要水利工程建设与运行管理，组织提出、协调落实有关政策措施，指导监督工程安全运行，参与组织工程验收有关工作。</w:t>
      </w:r>
    </w:p>
    <w:p>
      <w:pPr>
        <w:spacing w:line="560" w:lineRule="exact"/>
        <w:ind w:firstLine="630" w:firstLineChars="197"/>
        <w:rPr>
          <w:rFonts w:ascii="仿宋" w:hAnsi="仿宋" w:eastAsia="仿宋" w:cs="宋体"/>
          <w:color w:val="333333"/>
          <w:kern w:val="0"/>
          <w:sz w:val="32"/>
          <w:szCs w:val="32"/>
          <w:shd w:val="clear" w:color="auto" w:fill="FFFFFF"/>
        </w:rPr>
      </w:pPr>
      <w:r>
        <w:rPr>
          <w:rFonts w:hint="eastAsia" w:ascii="仿宋" w:hAnsi="仿宋" w:eastAsia="仿宋" w:cs="宋体"/>
          <w:color w:val="333333"/>
          <w:kern w:val="0"/>
          <w:sz w:val="32"/>
          <w:szCs w:val="32"/>
          <w:shd w:val="clear" w:color="auto" w:fill="FFFFFF"/>
        </w:rPr>
        <w:t>（九）负责水土保持工作。拟订全区水土保持规划并监督实施，组织实施水土流失的综合防治、监测预报并定期公告。负责建设项目水土保持监督管理工作，指导国家和省、市、区重点水土保持建设项目的实施。</w:t>
      </w:r>
    </w:p>
    <w:p>
      <w:pPr>
        <w:spacing w:line="560" w:lineRule="exact"/>
        <w:ind w:firstLine="630" w:firstLineChars="197"/>
        <w:rPr>
          <w:rFonts w:ascii="仿宋" w:hAnsi="仿宋" w:eastAsia="仿宋" w:cs="宋体"/>
          <w:color w:val="333333"/>
          <w:kern w:val="0"/>
          <w:sz w:val="32"/>
          <w:szCs w:val="32"/>
          <w:shd w:val="clear" w:color="auto" w:fill="FFFFFF"/>
        </w:rPr>
      </w:pPr>
      <w:r>
        <w:rPr>
          <w:rFonts w:hint="eastAsia" w:ascii="仿宋" w:hAnsi="仿宋" w:eastAsia="仿宋" w:cs="宋体"/>
          <w:color w:val="333333"/>
          <w:kern w:val="0"/>
          <w:sz w:val="32"/>
          <w:szCs w:val="32"/>
          <w:shd w:val="clear" w:color="auto" w:fill="FFFFFF"/>
        </w:rPr>
        <w:t>（十）指导农村水利工作。组织开展大中型灌排工程建设与改造。指导农村饮水安全工程建设管理工作，指导节水灌溉有关工作。指导农村水利改革创新和社会化服务体系建设。指导农村水能资源开发、小水电改造和水电农村电气化工作。</w:t>
      </w:r>
    </w:p>
    <w:p>
      <w:pPr>
        <w:spacing w:line="560" w:lineRule="exact"/>
        <w:ind w:firstLine="630" w:firstLineChars="197"/>
        <w:rPr>
          <w:rFonts w:ascii="仿宋" w:hAnsi="仿宋" w:eastAsia="仿宋" w:cs="宋体"/>
          <w:color w:val="333333"/>
          <w:kern w:val="0"/>
          <w:sz w:val="32"/>
          <w:szCs w:val="32"/>
          <w:shd w:val="clear" w:color="auto" w:fill="FFFFFF"/>
        </w:rPr>
      </w:pPr>
      <w:r>
        <w:rPr>
          <w:rFonts w:hint="eastAsia" w:ascii="仿宋" w:hAnsi="仿宋" w:eastAsia="仿宋" w:cs="宋体"/>
          <w:color w:val="333333"/>
          <w:kern w:val="0"/>
          <w:sz w:val="32"/>
          <w:szCs w:val="32"/>
          <w:shd w:val="clear" w:color="auto" w:fill="FFFFFF"/>
        </w:rPr>
        <w:t>（十一）指导水利工程移民管理工作。拟订全区水利工程移民有关政策并监督实施，组织实施水利工程移民安置验收、监督评估等制度。指导监督水库移民后期扶持政策的实施，协调推动对口支援等工作。（移民局职能，是否保留）</w:t>
      </w:r>
    </w:p>
    <w:p>
      <w:pPr>
        <w:spacing w:line="560" w:lineRule="exact"/>
        <w:ind w:firstLine="630" w:firstLineChars="197"/>
        <w:rPr>
          <w:rFonts w:ascii="仿宋" w:hAnsi="仿宋" w:eastAsia="仿宋" w:cs="宋体"/>
          <w:color w:val="333333"/>
          <w:kern w:val="0"/>
          <w:sz w:val="32"/>
          <w:szCs w:val="32"/>
          <w:shd w:val="clear" w:color="auto" w:fill="FFFFFF"/>
        </w:rPr>
      </w:pPr>
      <w:r>
        <w:rPr>
          <w:rFonts w:hint="eastAsia" w:ascii="仿宋" w:hAnsi="仿宋" w:eastAsia="仿宋" w:cs="宋体"/>
          <w:color w:val="333333"/>
          <w:kern w:val="0"/>
          <w:sz w:val="32"/>
          <w:szCs w:val="32"/>
          <w:shd w:val="clear" w:color="auto" w:fill="FFFFFF"/>
        </w:rPr>
        <w:t>（十二）负责重大涉水违法事件的查处，协调和仲裁跨镇街水事纠纷，负责水政监察和水行政执法。依法负责水利行业安全生产工作，组织指导水库、水电站大坝、农村水电站等水利工程的安全监管。指导全区水利建设市场的监督管理，组织实施水利工程建设的监督。</w:t>
      </w:r>
    </w:p>
    <w:p>
      <w:pPr>
        <w:spacing w:line="560" w:lineRule="exact"/>
        <w:ind w:firstLine="630" w:firstLineChars="197"/>
        <w:rPr>
          <w:rFonts w:ascii="仿宋" w:hAnsi="仿宋" w:eastAsia="仿宋" w:cs="宋体"/>
          <w:color w:val="333333"/>
          <w:kern w:val="0"/>
          <w:sz w:val="32"/>
          <w:szCs w:val="32"/>
          <w:shd w:val="clear" w:color="auto" w:fill="FFFFFF"/>
        </w:rPr>
      </w:pPr>
      <w:r>
        <w:rPr>
          <w:rFonts w:hint="eastAsia" w:ascii="仿宋" w:hAnsi="仿宋" w:eastAsia="仿宋" w:cs="宋体"/>
          <w:color w:val="333333"/>
          <w:kern w:val="0"/>
          <w:sz w:val="32"/>
          <w:szCs w:val="32"/>
          <w:shd w:val="clear" w:color="auto" w:fill="FFFFFF"/>
        </w:rPr>
        <w:t>（十三）开展水利科技和外事工作。组织开展水利行业质量监督工作。</w:t>
      </w:r>
    </w:p>
    <w:p>
      <w:pPr>
        <w:spacing w:line="560" w:lineRule="exact"/>
        <w:ind w:firstLine="630" w:firstLineChars="197"/>
        <w:rPr>
          <w:rFonts w:ascii="仿宋" w:hAnsi="仿宋" w:eastAsia="仿宋" w:cs="宋体"/>
          <w:color w:val="333333"/>
          <w:kern w:val="0"/>
          <w:sz w:val="32"/>
          <w:szCs w:val="32"/>
          <w:shd w:val="clear" w:color="auto" w:fill="FFFFFF"/>
        </w:rPr>
      </w:pPr>
      <w:r>
        <w:rPr>
          <w:rFonts w:hint="eastAsia" w:ascii="仿宋" w:hAnsi="仿宋" w:eastAsia="仿宋" w:cs="宋体"/>
          <w:color w:val="333333"/>
          <w:kern w:val="0"/>
          <w:sz w:val="32"/>
          <w:szCs w:val="32"/>
          <w:shd w:val="clear" w:color="auto" w:fill="FFFFFF"/>
        </w:rPr>
        <w:t>（十四）负责落实综合防灾减灾规划相关要求，组织编制全区重要河流和重要水工程的防御洪水抗御旱灾调度及应急水量调度方案，按程序报批并组织实施。承担防御洪水应急抢险的技术支撑工作。承担台风防御期间重要水工程调度工作。</w:t>
      </w:r>
    </w:p>
    <w:p>
      <w:pPr>
        <w:spacing w:line="560" w:lineRule="exact"/>
        <w:ind w:firstLine="630" w:firstLineChars="197"/>
        <w:rPr>
          <w:rFonts w:ascii="仿宋" w:hAnsi="仿宋" w:eastAsia="仿宋" w:cs="宋体"/>
          <w:color w:val="333333"/>
          <w:kern w:val="0"/>
          <w:sz w:val="32"/>
          <w:szCs w:val="32"/>
          <w:shd w:val="clear" w:color="auto" w:fill="FFFFFF"/>
        </w:rPr>
      </w:pPr>
      <w:r>
        <w:rPr>
          <w:rFonts w:hint="eastAsia" w:ascii="仿宋" w:hAnsi="仿宋" w:eastAsia="仿宋" w:cs="宋体"/>
          <w:color w:val="333333"/>
          <w:kern w:val="0"/>
          <w:sz w:val="32"/>
          <w:szCs w:val="32"/>
          <w:shd w:val="clear" w:color="auto" w:fill="FFFFFF"/>
        </w:rPr>
        <w:t>（十五）区河长制办公室设在区水利局，承担全区河长制的组织实施工作。负责全面推行河长制工作的组织协调、调度督导、检查考核，落实区总河长、副总河长及河长确定的事项，协调区直有关部门开展河长制相关工作。</w:t>
      </w:r>
    </w:p>
    <w:p>
      <w:pPr>
        <w:spacing w:line="560" w:lineRule="exact"/>
        <w:ind w:firstLine="630" w:firstLineChars="197"/>
        <w:rPr>
          <w:rFonts w:ascii="仿宋" w:hAnsi="仿宋" w:eastAsia="仿宋" w:cs="宋体"/>
          <w:color w:val="333333"/>
          <w:kern w:val="0"/>
          <w:sz w:val="32"/>
          <w:szCs w:val="32"/>
          <w:shd w:val="clear" w:color="auto" w:fill="FFFFFF"/>
        </w:rPr>
      </w:pPr>
      <w:r>
        <w:rPr>
          <w:rFonts w:hint="eastAsia" w:ascii="仿宋" w:hAnsi="仿宋" w:eastAsia="仿宋" w:cs="宋体"/>
          <w:color w:val="333333"/>
          <w:kern w:val="0"/>
          <w:sz w:val="32"/>
          <w:szCs w:val="32"/>
          <w:shd w:val="clear" w:color="auto" w:fill="FFFFFF"/>
        </w:rPr>
        <w:t>（十六）完成区委、区政府交办的其他任务。</w:t>
      </w:r>
    </w:p>
    <w:p>
      <w:pPr>
        <w:widowControl/>
        <w:spacing w:line="560" w:lineRule="exact"/>
        <w:jc w:val="left"/>
        <w:rPr>
          <w:rFonts w:ascii="楷体_GB2312" w:hAnsi="楷体_GB2312" w:eastAsia="楷体_GB2312" w:cs="楷体_GB2312"/>
          <w:b/>
          <w:color w:val="333333"/>
          <w:kern w:val="0"/>
          <w:sz w:val="32"/>
          <w:szCs w:val="32"/>
          <w:shd w:val="clear" w:color="auto" w:fill="FFFFFF"/>
        </w:rPr>
      </w:pPr>
    </w:p>
    <w:p>
      <w:pPr>
        <w:widowControl/>
        <w:spacing w:line="560" w:lineRule="exact"/>
        <w:ind w:firstLine="643" w:firstLineChars="200"/>
        <w:jc w:val="left"/>
        <w:rPr>
          <w:rFonts w:ascii="仿宋_GB2312" w:hAnsi="宋体" w:eastAsia="仿宋_GB2312" w:cs="宋体"/>
          <w:bCs/>
          <w:color w:val="333333"/>
          <w:kern w:val="0"/>
          <w:sz w:val="32"/>
          <w:szCs w:val="32"/>
          <w:shd w:val="clear" w:color="auto" w:fill="FFFFFF"/>
        </w:rPr>
      </w:pPr>
      <w:r>
        <w:rPr>
          <w:rFonts w:hint="eastAsia" w:ascii="楷体_GB2312" w:hAnsi="楷体_GB2312" w:eastAsia="楷体_GB2312" w:cs="楷体_GB2312"/>
          <w:b/>
          <w:color w:val="333333"/>
          <w:kern w:val="0"/>
          <w:sz w:val="32"/>
          <w:szCs w:val="32"/>
          <w:shd w:val="clear" w:color="auto" w:fill="FFFFFF"/>
        </w:rPr>
        <w:t>二、部门预算单位构成</w:t>
      </w:r>
      <w:r>
        <w:rPr>
          <w:rFonts w:hint="eastAsia" w:ascii="宋体" w:hAnsi="宋体" w:eastAsia="宋体" w:cs="宋体"/>
          <w:color w:val="333333"/>
          <w:kern w:val="0"/>
          <w:sz w:val="32"/>
          <w:szCs w:val="32"/>
        </w:rPr>
        <w:br w:type="textWrapping"/>
      </w:r>
      <w:r>
        <w:rPr>
          <w:rFonts w:hint="eastAsia" w:ascii="仿宋_GB2312" w:hAnsi="宋体" w:eastAsia="仿宋_GB2312" w:cs="宋体"/>
          <w:bCs/>
          <w:color w:val="333333"/>
          <w:kern w:val="0"/>
          <w:sz w:val="32"/>
          <w:szCs w:val="32"/>
          <w:shd w:val="clear" w:color="auto" w:fill="FFFFFF"/>
        </w:rPr>
        <w:t xml:space="preserve">    纳入2022年部门预算编制范围的预算单位包括：</w:t>
      </w:r>
    </w:p>
    <w:p>
      <w:pPr>
        <w:widowControl/>
        <w:spacing w:line="560" w:lineRule="exact"/>
        <w:ind w:firstLine="640" w:firstLineChars="200"/>
        <w:jc w:val="left"/>
        <w:rPr>
          <w:rFonts w:ascii="仿宋_GB2312" w:hAnsi="宋体" w:eastAsia="仿宋_GB2312" w:cs="宋体"/>
          <w:bCs/>
          <w:color w:val="333333"/>
          <w:kern w:val="0"/>
          <w:sz w:val="32"/>
          <w:szCs w:val="32"/>
          <w:shd w:val="clear" w:color="auto" w:fill="FFFFFF"/>
        </w:rPr>
      </w:pPr>
      <w:r>
        <w:rPr>
          <w:rFonts w:hint="eastAsia" w:ascii="仿宋_GB2312" w:hAnsi="宋体" w:eastAsia="仿宋_GB2312" w:cs="宋体"/>
          <w:bCs/>
          <w:color w:val="333333"/>
          <w:kern w:val="0"/>
          <w:sz w:val="32"/>
          <w:szCs w:val="32"/>
          <w:shd w:val="clear" w:color="auto" w:fill="FFFFFF"/>
        </w:rPr>
        <w:t>1、龙城区水利局本级</w:t>
      </w: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第二部分 龙城区水利局2022年部门预算情况说明</w:t>
      </w:r>
    </w:p>
    <w:p>
      <w:pPr>
        <w:widowControl/>
        <w:spacing w:line="560" w:lineRule="exact"/>
        <w:ind w:firstLine="720" w:firstLineChars="200"/>
        <w:jc w:val="left"/>
        <w:rPr>
          <w:rFonts w:ascii="宋体" w:hAnsi="宋体" w:eastAsia="宋体" w:cs="宋体"/>
          <w:color w:val="333333"/>
          <w:kern w:val="0"/>
          <w:sz w:val="36"/>
          <w:szCs w:val="36"/>
        </w:rPr>
      </w:pPr>
    </w:p>
    <w:p>
      <w:pPr>
        <w:widowControl/>
        <w:spacing w:line="600" w:lineRule="exact"/>
        <w:jc w:val="left"/>
        <w:rPr>
          <w:rFonts w:ascii="宋体" w:hAnsi="宋体" w:eastAsia="宋体" w:cs="宋体"/>
          <w:color w:val="333333"/>
          <w:kern w:val="0"/>
          <w:sz w:val="32"/>
          <w:szCs w:val="32"/>
        </w:rPr>
      </w:pPr>
      <w:r>
        <w:rPr>
          <w:rFonts w:hint="eastAsia" w:ascii="楷体_GB2312" w:hAnsi="楷体_GB2312" w:eastAsia="楷体_GB2312" w:cs="楷体_GB2312"/>
          <w:b/>
          <w:bCs/>
          <w:color w:val="333333"/>
          <w:kern w:val="0"/>
          <w:sz w:val="32"/>
          <w:szCs w:val="32"/>
        </w:rPr>
        <w:t xml:space="preserve">    一、收支预算的总体情况</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按照综合预算的原则，2022 年所有收入和支出均纳入部门预算管理。其中：</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（一）收</w:t>
      </w:r>
      <w:r>
        <w:rPr>
          <w:rFonts w:hint="eastAsia" w:ascii="仿宋_GB2312" w:hAnsi="仿宋_GB2312" w:eastAsia="仿宋_GB2312" w:cs="仿宋_GB2312"/>
          <w:color w:val="333333"/>
          <w:kern w:val="0"/>
          <w:sz w:val="32"/>
          <w:szCs w:val="32"/>
          <w:highlight w:val="none"/>
        </w:rPr>
        <w:t>入预算</w:t>
      </w:r>
      <w:r>
        <w:rPr>
          <w:rFonts w:hint="eastAsia" w:ascii="仿宋_GB2312" w:hAnsi="仿宋_GB2312" w:eastAsia="仿宋_GB2312" w:cs="仿宋_GB2312"/>
          <w:color w:val="333333"/>
          <w:kern w:val="0"/>
          <w:sz w:val="32"/>
          <w:szCs w:val="32"/>
          <w:highlight w:val="none"/>
          <w:lang w:val="en-US" w:eastAsia="zh-CN"/>
        </w:rPr>
        <w:t>548.22</w:t>
      </w:r>
      <w:r>
        <w:rPr>
          <w:rFonts w:hint="eastAsia" w:ascii="仿宋_GB2312" w:hAnsi="仿宋_GB2312" w:eastAsia="仿宋_GB2312" w:cs="仿宋_GB2312"/>
          <w:color w:val="333333"/>
          <w:kern w:val="0"/>
          <w:sz w:val="32"/>
          <w:szCs w:val="32"/>
          <w:highlight w:val="none"/>
        </w:rPr>
        <w:t>万元</w:t>
      </w:r>
      <w:r>
        <w:rPr>
          <w:rFonts w:hint="eastAsia" w:ascii="仿宋_GB2312" w:hAnsi="仿宋_GB2312" w:eastAsia="仿宋_GB2312" w:cs="仿宋_GB2312"/>
          <w:color w:val="333333"/>
          <w:kern w:val="0"/>
          <w:sz w:val="32"/>
          <w:szCs w:val="32"/>
        </w:rPr>
        <w:t>，包括：</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1.一般公共预算拨款收入548.22万元；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2.政府性基金预算拨款收入0万元；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3.国有资本经营预算拨款收入0万元；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4.财政专户管理资金收入0万元；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5.单位资金收入0万元；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6.上年结转结余0万元。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（二）支出预算548.22万元，包括：</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1.基本支出522.92万元；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2.项目支出25.3万元。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在支出预算548.22万元中，债务支出0万元，政府采购支出0万元，政府购买服务支出0万元。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2022年预算收支比 2021 年增加78.46万元。</w:t>
      </w:r>
    </w:p>
    <w:p>
      <w:pPr>
        <w:widowControl/>
        <w:spacing w:line="60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二、机关运行经费安排情况</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2022年机关运行经费预算为36.06万元。主要包括办公费、邮电费、劳务费、工会经费、公务用车运行维护费、其他商品和服务支出。</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三、政府采购情况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2022年预算无政府采购项目。</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四、 “三公”经费预算情况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按照中央及省委、省政府关于厉行节约、改进工作作风、密切联系群众“八项规定”等有关要求，严格控制“三公”经费支出，压减公务接待费和公务用车购置及运行费。一般公共预算安排的“三公”经费预算数8.9万元，与上年持平。其中：</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因公出国（境）费0万元，与上年持平。</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公务接待费0万元，与上年持平；</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公务用车运行费8.9万元，与上年持平。</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五、国有资产占用情况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2022年年初预算购置车辆 0台，金额0万元，单位价值 50 万元以上的通用设备0台，单位价值 100万元以上的专用设备 0台。</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六、预算绩效目标情况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根据预算绩效管理要求，2022年应编制部门（单位）整体绩效目标共1个，实际编制部门（单位）整体绩效目标共1个，编制部门（单位）整体绩效目标覆盖率（实际编制绩效目标的数量/应编制绩效目标的数量）为100%。应编制绩效目标的特定目标类项目共1个，实际编制绩效目标的特定目标类项目共 1个,涉及资金23.3万元，编制特定目标的项目覆盖率（实际编制绩效目标的数量/应编制绩效目标的数量）为100%。</w:t>
      </w:r>
    </w:p>
    <w:p>
      <w:pPr>
        <w:widowControl/>
        <w:spacing w:line="600" w:lineRule="exact"/>
        <w:jc w:val="center"/>
        <w:rPr>
          <w:rFonts w:ascii="黑体" w:hAnsi="黑体" w:eastAsia="黑体" w:cs="黑体"/>
          <w:color w:val="333333"/>
          <w:kern w:val="0"/>
          <w:sz w:val="36"/>
          <w:szCs w:val="36"/>
        </w:rPr>
      </w:pPr>
    </w:p>
    <w:p>
      <w:pPr>
        <w:widowControl/>
        <w:spacing w:line="600" w:lineRule="exact"/>
        <w:jc w:val="center"/>
        <w:rPr>
          <w:rFonts w:ascii="黑体" w:hAnsi="黑体" w:eastAsia="黑体" w:cs="黑体"/>
          <w:color w:val="333333"/>
          <w:kern w:val="0"/>
          <w:sz w:val="36"/>
          <w:szCs w:val="36"/>
        </w:rPr>
      </w:pP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第三部分 名词解释</w:t>
      </w:r>
    </w:p>
    <w:p>
      <w:pPr>
        <w:numPr>
          <w:ilvl w:val="0"/>
          <w:numId w:val="1"/>
        </w:numPr>
        <w:spacing w:line="620" w:lineRule="exact"/>
        <w:ind w:firstLine="643"/>
        <w:jc w:val="left"/>
        <w:rPr>
          <w:rFonts w:ascii="仿宋_GB2312" w:hAnsi="仿宋_GB2312" w:eastAsia="仿宋_GB2312" w:cs="仿宋_GB2312"/>
          <w:b/>
          <w:bCs/>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一般公共预算拨款收入：指区级财政当年拨付的资金。</w:t>
      </w:r>
    </w:p>
    <w:p>
      <w:pPr>
        <w:numPr>
          <w:ilvl w:val="0"/>
          <w:numId w:val="1"/>
        </w:numPr>
        <w:spacing w:line="620" w:lineRule="exact"/>
        <w:ind w:firstLine="643"/>
        <w:jc w:val="left"/>
        <w:rPr>
          <w:rFonts w:ascii="仿宋_GB2312" w:hAnsi="仿宋_GB2312" w:eastAsia="仿宋_GB2312" w:cs="仿宋_GB2312"/>
          <w:b/>
          <w:bCs/>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基本支出：指保障机构正常运转、完成日常工作任务而发生的人员经费和公用经费。</w:t>
      </w:r>
    </w:p>
    <w:p>
      <w:pPr>
        <w:numPr>
          <w:ilvl w:val="0"/>
          <w:numId w:val="1"/>
        </w:numPr>
        <w:spacing w:line="620" w:lineRule="exact"/>
        <w:ind w:firstLine="643"/>
        <w:jc w:val="left"/>
        <w:rPr>
          <w:rFonts w:ascii="仿宋_GB2312" w:hAnsi="仿宋_GB2312" w:eastAsia="仿宋_GB2312" w:cs="仿宋_GB2312"/>
          <w:b/>
          <w:bCs/>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项目支出：指在基本支出之外为完成特定工作任务和事业发展目标所发生的支出。</w:t>
      </w:r>
    </w:p>
    <w:p>
      <w:pPr>
        <w:numPr>
          <w:ilvl w:val="0"/>
          <w:numId w:val="1"/>
        </w:numPr>
        <w:spacing w:line="620" w:lineRule="exact"/>
        <w:ind w:firstLine="643"/>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“三公”经费：指用一般公共预算拨款安排的因公出国（境）费、公务用车购置及运行费和公务接待费。其中，因公出国（境）费反应单位公务出国（境）的住宿费、旅费、伙食</w:t>
      </w:r>
      <w:r>
        <w:rPr>
          <w:rFonts w:hint="eastAsia" w:ascii="仿宋_GB2312" w:hAnsi="仿宋_GB2312" w:eastAsia="仿宋_GB2312" w:cs="仿宋_GB2312"/>
          <w:color w:val="333333"/>
          <w:kern w:val="0"/>
          <w:sz w:val="32"/>
          <w:szCs w:val="32"/>
          <w:shd w:val="clear" w:color="auto" w:fill="FFFFFF"/>
        </w:rPr>
        <w:t>补助费、杂费、培训费等支出；公务用车购置及运行费反映单位公务用车购置费及租用费、燃料费、维修费、过路过桥费、保险费、安全奖励费用等支出；公务接待费反映单位按规定开支的各类公务接待（含外宾接待）支出。</w:t>
      </w:r>
    </w:p>
    <w:p>
      <w:pPr>
        <w:numPr>
          <w:ilvl w:val="0"/>
          <w:numId w:val="1"/>
        </w:numPr>
        <w:spacing w:line="620" w:lineRule="exact"/>
        <w:ind w:firstLine="643"/>
        <w:jc w:val="left"/>
        <w:rPr>
          <w:rFonts w:ascii="仿宋_GB2312" w:hAnsi="仿宋_GB2312" w:eastAsia="仿宋_GB2312" w:cs="仿宋_GB2312"/>
          <w:b/>
          <w:bCs/>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一般公共服务（类）水利（款）行政运行（项）：</w:t>
      </w:r>
      <w:r>
        <w:rPr>
          <w:rFonts w:hint="eastAsia" w:ascii="仿宋_GB2312" w:hAnsi="仿宋_GB2312" w:eastAsia="仿宋_GB2312" w:cs="仿宋_GB2312"/>
          <w:color w:val="333333"/>
          <w:kern w:val="0"/>
          <w:sz w:val="32"/>
          <w:szCs w:val="32"/>
          <w:shd w:val="clear" w:color="auto" w:fill="FFFFFF"/>
        </w:rPr>
        <w:t>反映行政单位（包括实行公务员管理的事业单位）的基本支出。</w:t>
      </w:r>
    </w:p>
    <w:p>
      <w:pPr>
        <w:numPr>
          <w:ilvl w:val="0"/>
          <w:numId w:val="1"/>
        </w:numPr>
        <w:spacing w:line="620" w:lineRule="exact"/>
        <w:ind w:firstLine="643"/>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一般公共服务（类）水利（款）其他水利支出（项）：</w:t>
      </w:r>
      <w:r>
        <w:rPr>
          <w:rFonts w:hint="eastAsia" w:ascii="仿宋_GB2312" w:hAnsi="仿宋_GB2312" w:eastAsia="仿宋_GB2312" w:cs="仿宋_GB2312"/>
          <w:color w:val="333333"/>
          <w:kern w:val="0"/>
          <w:sz w:val="32"/>
          <w:szCs w:val="32"/>
          <w:shd w:val="clear" w:color="auto" w:fill="FFFFFF"/>
        </w:rPr>
        <w:t>反映除上述项目以外其他用于水利方面的支出，</w:t>
      </w:r>
    </w:p>
    <w:p>
      <w:pPr>
        <w:numPr>
          <w:ilvl w:val="0"/>
          <w:numId w:val="1"/>
        </w:numPr>
        <w:spacing w:line="620" w:lineRule="exact"/>
        <w:ind w:firstLine="643"/>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社会保障和就业（类）行政事业单位养老（款）行政单位离退休（项）：</w:t>
      </w:r>
      <w:r>
        <w:rPr>
          <w:rFonts w:hint="eastAsia" w:ascii="仿宋_GB2312" w:hAnsi="仿宋_GB2312" w:eastAsia="仿宋_GB2312" w:cs="仿宋_GB2312"/>
          <w:color w:val="333333"/>
          <w:kern w:val="0"/>
          <w:sz w:val="32"/>
          <w:szCs w:val="32"/>
          <w:shd w:val="clear" w:color="auto" w:fill="FFFFFF"/>
        </w:rPr>
        <w:t>反映行政单位（包括实行公务员的事业单位）开支的离退休经费。</w:t>
      </w:r>
    </w:p>
    <w:p>
      <w:pPr>
        <w:numPr>
          <w:ilvl w:val="0"/>
          <w:numId w:val="1"/>
        </w:numPr>
        <w:spacing w:line="620" w:lineRule="exact"/>
        <w:ind w:firstLine="643"/>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社会保障和就业（类）行政事业单位离退休（款）机关事业单位基本养老保险缴费支出（项）：</w:t>
      </w:r>
      <w:r>
        <w:rPr>
          <w:rFonts w:hint="eastAsia" w:ascii="仿宋_GB2312" w:hAnsi="仿宋_GB2312" w:eastAsia="仿宋_GB2312" w:cs="仿宋_GB2312"/>
          <w:color w:val="333333"/>
          <w:kern w:val="0"/>
          <w:sz w:val="32"/>
          <w:szCs w:val="32"/>
          <w:shd w:val="clear" w:color="auto" w:fill="FFFFFF"/>
        </w:rPr>
        <w:t>反映机关事业单位实施养老保险制度由单位缴纳的基本养老保险费支出。</w:t>
      </w:r>
    </w:p>
    <w:p>
      <w:pPr>
        <w:numPr>
          <w:ilvl w:val="0"/>
          <w:numId w:val="1"/>
        </w:numPr>
        <w:spacing w:line="620" w:lineRule="exact"/>
        <w:ind w:firstLine="643"/>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卫生健康（类）行政事业单位医疗（款）行政单位医疗（项）：</w:t>
      </w:r>
      <w:r>
        <w:rPr>
          <w:rFonts w:hint="eastAsia" w:ascii="仿宋_GB2312" w:hAnsi="仿宋_GB2312" w:eastAsia="仿宋_GB2312" w:cs="仿宋_GB2312"/>
          <w:color w:val="333333"/>
          <w:kern w:val="0"/>
          <w:sz w:val="32"/>
          <w:szCs w:val="32"/>
          <w:shd w:val="clear" w:color="auto" w:fill="FFFFFF"/>
        </w:rPr>
        <w:t>反映财政部门安排的行政单位（包括实行公务员管理的事业单位,下同）基本医疗保险缴费经费，未参加医疗保险的行政单位的公费医疗经费，按国家规定享受离休人员、红军老战士待遇人员的医疗经费。</w:t>
      </w:r>
    </w:p>
    <w:p>
      <w:pPr>
        <w:numPr>
          <w:ilvl w:val="0"/>
          <w:numId w:val="1"/>
        </w:numPr>
        <w:spacing w:line="620" w:lineRule="exact"/>
        <w:ind w:firstLine="643"/>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住房保障（类）住房改革（款）住房公积金（项）：</w:t>
      </w:r>
      <w:r>
        <w:rPr>
          <w:rFonts w:hint="eastAsia" w:ascii="仿宋_GB2312" w:hAnsi="仿宋_GB2312" w:eastAsia="仿宋_GB2312" w:cs="仿宋_GB2312"/>
          <w:color w:val="333333"/>
          <w:kern w:val="0"/>
          <w:sz w:val="32"/>
          <w:szCs w:val="32"/>
          <w:shd w:val="clear" w:color="auto" w:fill="FFFFFF"/>
        </w:rPr>
        <w:t>反映行政事业单位按人力资源和社会保障部、财政部规定的基本工资和津贴补贴以及规定比例为职工缴纳的住房公积金。</w:t>
      </w: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center"/>
        <w:rPr>
          <w:rFonts w:ascii="黑体" w:hAnsi="黑体" w:eastAsia="黑体" w:cs="宋体"/>
          <w:color w:val="333333"/>
          <w:kern w:val="0"/>
          <w:sz w:val="36"/>
          <w:szCs w:val="36"/>
        </w:rPr>
      </w:pPr>
      <w:r>
        <w:rPr>
          <w:rFonts w:hint="eastAsia" w:ascii="黑体" w:hAnsi="黑体" w:eastAsia="黑体" w:cs="宋体"/>
          <w:color w:val="333333"/>
          <w:kern w:val="0"/>
          <w:sz w:val="36"/>
          <w:szCs w:val="36"/>
        </w:rPr>
        <w:t>第四部分 2022年龙</w:t>
      </w:r>
      <w:r>
        <w:rPr>
          <w:rFonts w:hint="eastAsia" w:ascii="黑体" w:hAnsi="黑体" w:eastAsia="黑体" w:cs="宋体"/>
          <w:color w:val="333333"/>
          <w:kern w:val="0"/>
          <w:sz w:val="36"/>
          <w:szCs w:val="36"/>
          <w:highlight w:val="none"/>
        </w:rPr>
        <w:t>城区</w:t>
      </w:r>
      <w:r>
        <w:rPr>
          <w:rFonts w:hint="eastAsia" w:ascii="黑体" w:hAnsi="黑体" w:eastAsia="黑体" w:cs="宋体"/>
          <w:color w:val="333333"/>
          <w:kern w:val="0"/>
          <w:sz w:val="36"/>
          <w:szCs w:val="36"/>
          <w:highlight w:val="none"/>
          <w:lang w:val="en-US" w:eastAsia="zh-CN"/>
        </w:rPr>
        <w:t>水利</w:t>
      </w:r>
      <w:r>
        <w:rPr>
          <w:rFonts w:hint="eastAsia" w:ascii="黑体" w:hAnsi="黑体" w:eastAsia="黑体" w:cs="宋体"/>
          <w:color w:val="333333"/>
          <w:kern w:val="0"/>
          <w:sz w:val="36"/>
          <w:szCs w:val="36"/>
          <w:highlight w:val="none"/>
        </w:rPr>
        <w:t>局部</w:t>
      </w:r>
      <w:r>
        <w:rPr>
          <w:rFonts w:hint="eastAsia" w:ascii="黑体" w:hAnsi="黑体" w:eastAsia="黑体" w:cs="宋体"/>
          <w:color w:val="333333"/>
          <w:kern w:val="0"/>
          <w:sz w:val="36"/>
          <w:szCs w:val="36"/>
        </w:rPr>
        <w:t>门预算批复表</w:t>
      </w:r>
    </w:p>
    <w:p>
      <w:pPr>
        <w:widowControl/>
        <w:spacing w:line="600" w:lineRule="exact"/>
        <w:jc w:val="left"/>
        <w:rPr>
          <w:rFonts w:ascii="仿宋_GB2312" w:hAnsi="宋体" w:eastAsia="仿宋_GB2312" w:cs="宋体"/>
          <w:color w:val="333333"/>
          <w:kern w:val="0"/>
          <w:sz w:val="36"/>
          <w:szCs w:val="36"/>
          <w:shd w:val="clear" w:color="auto" w:fill="FFFFFF"/>
        </w:rPr>
      </w:pPr>
    </w:p>
    <w:p>
      <w:pPr>
        <w:widowControl/>
        <w:spacing w:line="600" w:lineRule="exact"/>
        <w:jc w:val="left"/>
        <w:rPr>
          <w:rFonts w:ascii="仿宋_GB2312" w:hAnsi="宋体" w:eastAsia="仿宋_GB2312" w:cs="宋体"/>
          <w:kern w:val="0"/>
          <w:sz w:val="36"/>
          <w:szCs w:val="36"/>
          <w:highlight w:val="none"/>
        </w:rPr>
      </w:pPr>
      <w:r>
        <w:rPr>
          <w:rFonts w:hint="eastAsia" w:ascii="仿宋_GB2312" w:hAnsi="宋体" w:eastAsia="仿宋_GB2312" w:cs="宋体"/>
          <w:color w:val="333333"/>
          <w:kern w:val="0"/>
          <w:sz w:val="32"/>
          <w:szCs w:val="32"/>
          <w:shd w:val="clear" w:color="auto" w:fill="FFFFFF"/>
        </w:rPr>
        <w:t>详见附表：</w:t>
      </w:r>
      <w:r>
        <w:rPr>
          <w:rFonts w:hint="eastAsia" w:ascii="仿宋_GB2312" w:hAnsi="宋体" w:eastAsia="仿宋_GB2312" w:cs="宋体"/>
          <w:color w:val="333333"/>
          <w:kern w:val="0"/>
          <w:sz w:val="32"/>
          <w:szCs w:val="32"/>
        </w:rPr>
        <w:t>2022年龙</w:t>
      </w:r>
      <w:r>
        <w:rPr>
          <w:rFonts w:hint="eastAsia" w:ascii="仿宋_GB2312" w:hAnsi="宋体" w:eastAsia="仿宋_GB2312" w:cs="宋体"/>
          <w:color w:val="333333"/>
          <w:kern w:val="0"/>
          <w:sz w:val="32"/>
          <w:szCs w:val="32"/>
          <w:highlight w:val="none"/>
        </w:rPr>
        <w:t>城区</w:t>
      </w:r>
      <w:r>
        <w:rPr>
          <w:rFonts w:hint="eastAsia" w:ascii="仿宋_GB2312" w:hAnsi="宋体" w:eastAsia="仿宋_GB2312" w:cs="宋体"/>
          <w:color w:val="333333"/>
          <w:kern w:val="0"/>
          <w:sz w:val="32"/>
          <w:szCs w:val="32"/>
          <w:highlight w:val="none"/>
          <w:lang w:val="en-US" w:eastAsia="zh-CN"/>
        </w:rPr>
        <w:t>水利</w:t>
      </w:r>
      <w:r>
        <w:rPr>
          <w:rFonts w:hint="eastAsia" w:ascii="仿宋_GB2312" w:hAnsi="宋体" w:eastAsia="仿宋_GB2312" w:cs="宋体"/>
          <w:color w:val="333333"/>
          <w:kern w:val="0"/>
          <w:sz w:val="32"/>
          <w:szCs w:val="32"/>
          <w:highlight w:val="none"/>
        </w:rPr>
        <w:t>局部门预算批复表</w:t>
      </w:r>
    </w:p>
    <w:p>
      <w:pPr>
        <w:spacing w:line="600" w:lineRule="exact"/>
        <w:jc w:val="left"/>
        <w:rPr>
          <w:rFonts w:ascii="仿宋_GB2312" w:eastAsia="仿宋_GB2312"/>
          <w:sz w:val="36"/>
          <w:szCs w:val="36"/>
          <w:highlight w:val="none"/>
        </w:rPr>
      </w:pPr>
    </w:p>
    <w:sectPr>
      <w:footerReference r:id="rId3" w:type="default"/>
      <w:pgSz w:w="11906" w:h="16838"/>
      <w:pgMar w:top="1701" w:right="1418" w:bottom="1701"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Z3r480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eOBl3mKdHf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6Z3r480BAACnAwAADgAAAAAAAAABACAAAAAeAQAAZHJzL2Uy&#10;b0RvYy54bWxQSwUGAAAAAAYABgBZAQAAXQ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9FC08C"/>
    <w:multiLevelType w:val="singleLevel"/>
    <w:tmpl w:val="689FC08C"/>
    <w:lvl w:ilvl="0" w:tentative="0">
      <w:start w:val="1"/>
      <w:numFmt w:val="decimal"/>
      <w:suff w:val="nothing"/>
      <w:lvlText w:val="%1．"/>
      <w:lvlJc w:val="left"/>
      <w:pPr>
        <w:ind w:left="-13"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405"/>
    <w:rsid w:val="00013A56"/>
    <w:rsid w:val="000149E6"/>
    <w:rsid w:val="00030A85"/>
    <w:rsid w:val="0003771B"/>
    <w:rsid w:val="00043215"/>
    <w:rsid w:val="00047FE8"/>
    <w:rsid w:val="00090925"/>
    <w:rsid w:val="00092E0A"/>
    <w:rsid w:val="000E2768"/>
    <w:rsid w:val="000F5006"/>
    <w:rsid w:val="001174ED"/>
    <w:rsid w:val="001346CD"/>
    <w:rsid w:val="00164EE2"/>
    <w:rsid w:val="00185E91"/>
    <w:rsid w:val="001B61B1"/>
    <w:rsid w:val="0021024E"/>
    <w:rsid w:val="00213E50"/>
    <w:rsid w:val="00220C5F"/>
    <w:rsid w:val="00225BC5"/>
    <w:rsid w:val="0023397A"/>
    <w:rsid w:val="00234682"/>
    <w:rsid w:val="002732A0"/>
    <w:rsid w:val="00276547"/>
    <w:rsid w:val="002A5AC6"/>
    <w:rsid w:val="002B4F24"/>
    <w:rsid w:val="003163EE"/>
    <w:rsid w:val="00355960"/>
    <w:rsid w:val="003C4405"/>
    <w:rsid w:val="003D2678"/>
    <w:rsid w:val="00402944"/>
    <w:rsid w:val="00431D1D"/>
    <w:rsid w:val="00432CF0"/>
    <w:rsid w:val="00445E2C"/>
    <w:rsid w:val="004B6C5D"/>
    <w:rsid w:val="004C674C"/>
    <w:rsid w:val="004D7509"/>
    <w:rsid w:val="00527D20"/>
    <w:rsid w:val="0054696D"/>
    <w:rsid w:val="00547E1A"/>
    <w:rsid w:val="005553D6"/>
    <w:rsid w:val="00557F0D"/>
    <w:rsid w:val="00562378"/>
    <w:rsid w:val="005F025F"/>
    <w:rsid w:val="006572C8"/>
    <w:rsid w:val="00686E27"/>
    <w:rsid w:val="006C5DB9"/>
    <w:rsid w:val="006D318D"/>
    <w:rsid w:val="007233F3"/>
    <w:rsid w:val="007314F8"/>
    <w:rsid w:val="00737963"/>
    <w:rsid w:val="00773D18"/>
    <w:rsid w:val="0077615C"/>
    <w:rsid w:val="00796FF7"/>
    <w:rsid w:val="007C744B"/>
    <w:rsid w:val="00800800"/>
    <w:rsid w:val="00872639"/>
    <w:rsid w:val="008735FF"/>
    <w:rsid w:val="008C0176"/>
    <w:rsid w:val="008F639A"/>
    <w:rsid w:val="009222EF"/>
    <w:rsid w:val="00926E8E"/>
    <w:rsid w:val="00930000"/>
    <w:rsid w:val="00937B7A"/>
    <w:rsid w:val="00970F52"/>
    <w:rsid w:val="00975103"/>
    <w:rsid w:val="009758FE"/>
    <w:rsid w:val="00975A87"/>
    <w:rsid w:val="00977A56"/>
    <w:rsid w:val="00987CAA"/>
    <w:rsid w:val="009A4745"/>
    <w:rsid w:val="009A705A"/>
    <w:rsid w:val="009F76B7"/>
    <w:rsid w:val="00A32398"/>
    <w:rsid w:val="00A454C4"/>
    <w:rsid w:val="00A77C11"/>
    <w:rsid w:val="00A84A58"/>
    <w:rsid w:val="00A86797"/>
    <w:rsid w:val="00A9299F"/>
    <w:rsid w:val="00A93537"/>
    <w:rsid w:val="00AB2A8C"/>
    <w:rsid w:val="00B22BC7"/>
    <w:rsid w:val="00B55A00"/>
    <w:rsid w:val="00B757C5"/>
    <w:rsid w:val="00B77772"/>
    <w:rsid w:val="00B8047F"/>
    <w:rsid w:val="00B92519"/>
    <w:rsid w:val="00BD1227"/>
    <w:rsid w:val="00C1756C"/>
    <w:rsid w:val="00C176CA"/>
    <w:rsid w:val="00C21B8F"/>
    <w:rsid w:val="00C24DC5"/>
    <w:rsid w:val="00C31141"/>
    <w:rsid w:val="00C97B24"/>
    <w:rsid w:val="00CD0239"/>
    <w:rsid w:val="00D31DCF"/>
    <w:rsid w:val="00D37C8C"/>
    <w:rsid w:val="00D407E3"/>
    <w:rsid w:val="00D644D6"/>
    <w:rsid w:val="00D64855"/>
    <w:rsid w:val="00D828A5"/>
    <w:rsid w:val="00DB0F6C"/>
    <w:rsid w:val="00DC359B"/>
    <w:rsid w:val="00E13AF1"/>
    <w:rsid w:val="00E317BA"/>
    <w:rsid w:val="00E4354B"/>
    <w:rsid w:val="00E61702"/>
    <w:rsid w:val="00E73E69"/>
    <w:rsid w:val="00EB52FA"/>
    <w:rsid w:val="00EB5C42"/>
    <w:rsid w:val="00ED6420"/>
    <w:rsid w:val="00EF2A3A"/>
    <w:rsid w:val="00F06896"/>
    <w:rsid w:val="00F20F4C"/>
    <w:rsid w:val="00F24E44"/>
    <w:rsid w:val="00F33DE8"/>
    <w:rsid w:val="00F404C5"/>
    <w:rsid w:val="00F6157F"/>
    <w:rsid w:val="00F80D8D"/>
    <w:rsid w:val="00F81352"/>
    <w:rsid w:val="00FC7F22"/>
    <w:rsid w:val="00FF0E8C"/>
    <w:rsid w:val="00FF3ABD"/>
    <w:rsid w:val="00FF61DC"/>
    <w:rsid w:val="025F7F8E"/>
    <w:rsid w:val="05645DD5"/>
    <w:rsid w:val="0FF03899"/>
    <w:rsid w:val="1D11562F"/>
    <w:rsid w:val="23446E27"/>
    <w:rsid w:val="3C6077A7"/>
    <w:rsid w:val="440C62CB"/>
    <w:rsid w:val="4855661E"/>
    <w:rsid w:val="604B01CA"/>
    <w:rsid w:val="65C63716"/>
    <w:rsid w:val="6C170A0E"/>
    <w:rsid w:val="6E5B298D"/>
    <w:rsid w:val="701F4FF2"/>
    <w:rsid w:val="70FD3884"/>
    <w:rsid w:val="723B31C2"/>
    <w:rsid w:val="724F0EE9"/>
    <w:rsid w:val="76062B3C"/>
    <w:rsid w:val="79615874"/>
    <w:rsid w:val="7DBB41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sz w:val="18"/>
      <w:szCs w:val="18"/>
    </w:r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标题 1 Char"/>
    <w:basedOn w:val="9"/>
    <w:link w:val="2"/>
    <w:qFormat/>
    <w:uiPriority w:val="9"/>
    <w:rPr>
      <w:rFonts w:ascii="宋体" w:hAnsi="宋体" w:eastAsia="宋体" w:cs="宋体"/>
      <w:b/>
      <w:bCs/>
      <w:kern w:val="36"/>
      <w:sz w:val="48"/>
      <w:szCs w:val="48"/>
    </w:rPr>
  </w:style>
  <w:style w:type="character" w:customStyle="1" w:styleId="13">
    <w:name w:val="标题 2 Char"/>
    <w:basedOn w:val="9"/>
    <w:link w:val="3"/>
    <w:qFormat/>
    <w:uiPriority w:val="9"/>
    <w:rPr>
      <w:rFonts w:ascii="宋体" w:hAnsi="宋体" w:eastAsia="宋体" w:cs="宋体"/>
      <w:b/>
      <w:bCs/>
      <w:kern w:val="0"/>
      <w:sz w:val="36"/>
      <w:szCs w:val="36"/>
    </w:rPr>
  </w:style>
  <w:style w:type="character" w:customStyle="1" w:styleId="14">
    <w:name w:val="页眉 Char"/>
    <w:basedOn w:val="9"/>
    <w:link w:val="6"/>
    <w:semiHidden/>
    <w:qFormat/>
    <w:uiPriority w:val="99"/>
    <w:rPr>
      <w:sz w:val="18"/>
      <w:szCs w:val="18"/>
    </w:rPr>
  </w:style>
  <w:style w:type="character" w:customStyle="1" w:styleId="15">
    <w:name w:val="页脚 Char"/>
    <w:basedOn w:val="9"/>
    <w:link w:val="5"/>
    <w:semiHidden/>
    <w:qFormat/>
    <w:uiPriority w:val="99"/>
    <w:rPr>
      <w:sz w:val="18"/>
      <w:szCs w:val="18"/>
    </w:rPr>
  </w:style>
  <w:style w:type="character" w:customStyle="1" w:styleId="16">
    <w:name w:val="批注框文本 Char"/>
    <w:basedOn w:val="9"/>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532</Words>
  <Characters>3033</Characters>
  <Lines>25</Lines>
  <Paragraphs>7</Paragraphs>
  <TotalTime>6</TotalTime>
  <ScaleCrop>false</ScaleCrop>
  <LinksUpToDate>false</LinksUpToDate>
  <CharactersWithSpaces>3558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2022-01-04T06:44:00Z</dcterms:created>
  <dc:creator>微软用户</dc:creator>
  <cp:lastModifiedBy>刘凌嘉</cp:lastModifiedBy>
  <cp:lastPrinted>2022-01-12T02:31:37Z</cp:lastPrinted>
  <dcterms:modified xsi:type="dcterms:W3CDTF">2022-01-12T02:32:36Z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36BABBA2CCFD45CB97452962B03FB05C</vt:lpwstr>
  </property>
</Properties>
</file>