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龙城区</w:t>
      </w:r>
      <w:r>
        <w:rPr>
          <w:rFonts w:hint="eastAsia" w:asciiTheme="majorEastAsia" w:hAnsiTheme="majorEastAsia" w:eastAsiaTheme="majorEastAsia"/>
          <w:b/>
          <w:sz w:val="52"/>
          <w:szCs w:val="52"/>
          <w:lang w:eastAsia="zh-CN"/>
        </w:rPr>
        <w:t>农业综合扶贫开发</w:t>
      </w:r>
      <w:r>
        <w:rPr>
          <w:rFonts w:hint="eastAsia" w:asciiTheme="majorEastAsia" w:hAnsiTheme="majorEastAsia" w:eastAsiaTheme="majorEastAsia"/>
          <w:b/>
          <w:sz w:val="52"/>
          <w:szCs w:val="52"/>
        </w:rPr>
        <w:t>局部门预算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outlineLvl w:val="0"/>
        <w:rPr>
          <w:rFonts w:cs="宋体" w:asciiTheme="majorEastAsia" w:hAnsiTheme="majorEastAsia" w:eastAsiaTheme="majorEastAsia"/>
          <w:b/>
          <w:bCs/>
          <w:color w:val="333333"/>
          <w:kern w:val="36"/>
          <w:sz w:val="44"/>
          <w:szCs w:val="44"/>
        </w:rPr>
        <w:sectPr>
          <w:pgSz w:w="11906" w:h="16838"/>
          <w:pgMar w:top="1701" w:right="1418" w:bottom="1701" w:left="1701" w:header="851" w:footer="992" w:gutter="0"/>
          <w:cols w:space="425" w:num="1"/>
          <w:docGrid w:type="lines" w:linePitch="312" w:charSpace="0"/>
        </w:sect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2022年龙城区</w:t>
      </w:r>
      <w:r>
        <w:rPr>
          <w:rFonts w:hint="eastAsia" w:cs="宋体" w:asciiTheme="majorEastAsia" w:hAnsiTheme="majorEastAsia" w:eastAsiaTheme="majorEastAsia"/>
          <w:b/>
          <w:bCs/>
          <w:color w:val="333333"/>
          <w:kern w:val="36"/>
          <w:sz w:val="44"/>
          <w:szCs w:val="44"/>
          <w:lang w:eastAsia="zh-CN"/>
        </w:rPr>
        <w:t>农业综合扶贫开发</w:t>
      </w:r>
      <w:r>
        <w:rPr>
          <w:rFonts w:hint="eastAsia" w:cs="宋体" w:asciiTheme="majorEastAsia" w:hAnsiTheme="majorEastAsia" w:eastAsiaTheme="majorEastAsia"/>
          <w:b/>
          <w:bCs/>
          <w:color w:val="333333"/>
          <w:kern w:val="36"/>
          <w:sz w:val="44"/>
          <w:szCs w:val="44"/>
        </w:rPr>
        <w:t>局部门预算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第一部分   龙城区</w:t>
      </w:r>
      <w:r>
        <w:rPr>
          <w:rFonts w:hint="eastAsia" w:ascii="黑体" w:hAnsi="黑体" w:eastAsia="黑体" w:cs="宋体"/>
          <w:bCs/>
          <w:color w:val="333333"/>
          <w:kern w:val="0"/>
          <w:sz w:val="32"/>
          <w:szCs w:val="32"/>
          <w:shd w:val="clear" w:color="auto" w:fill="FFFFFF"/>
          <w:lang w:eastAsia="zh-CN"/>
        </w:rPr>
        <w:t>农业综合扶贫开发</w:t>
      </w:r>
      <w:r>
        <w:rPr>
          <w:rFonts w:hint="eastAsia" w:ascii="黑体" w:hAnsi="黑体" w:eastAsia="黑体" w:cs="宋体"/>
          <w:bCs/>
          <w:color w:val="333333"/>
          <w:kern w:val="0"/>
          <w:sz w:val="32"/>
          <w:szCs w:val="32"/>
          <w:shd w:val="clear" w:color="auto" w:fill="FFFFFF"/>
        </w:rPr>
        <w:t>局概况</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第二部分    龙城区</w:t>
      </w:r>
      <w:r>
        <w:rPr>
          <w:rFonts w:hint="eastAsia" w:ascii="黑体" w:hAnsi="黑体" w:eastAsia="黑体" w:cs="宋体"/>
          <w:bCs/>
          <w:color w:val="333333"/>
          <w:kern w:val="0"/>
          <w:sz w:val="32"/>
          <w:szCs w:val="32"/>
          <w:shd w:val="clear" w:color="auto" w:fill="FFFFFF"/>
          <w:lang w:eastAsia="zh-CN"/>
        </w:rPr>
        <w:t>农业综合扶贫开发</w:t>
      </w:r>
      <w:r>
        <w:rPr>
          <w:rFonts w:hint="eastAsia" w:ascii="黑体" w:hAnsi="黑体" w:eastAsia="黑体" w:cs="宋体"/>
          <w:bCs/>
          <w:color w:val="333333"/>
          <w:kern w:val="0"/>
          <w:sz w:val="32"/>
          <w:szCs w:val="32"/>
          <w:shd w:val="clear" w:color="auto" w:fill="FFFFFF"/>
        </w:rPr>
        <w:t>局2022年部门预算情况说明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2022年龙城区</w:t>
      </w:r>
      <w:r>
        <w:rPr>
          <w:rFonts w:hint="eastAsia" w:ascii="黑体" w:hAnsi="黑体" w:eastAsia="黑体" w:cs="宋体"/>
          <w:bCs/>
          <w:color w:val="333333"/>
          <w:kern w:val="0"/>
          <w:sz w:val="32"/>
          <w:szCs w:val="32"/>
          <w:shd w:val="clear" w:color="auto" w:fill="FFFFFF"/>
          <w:lang w:eastAsia="zh-CN"/>
        </w:rPr>
        <w:t>农业综合扶贫开发</w:t>
      </w:r>
      <w:r>
        <w:rPr>
          <w:rFonts w:hint="eastAsia" w:ascii="黑体" w:hAnsi="黑体" w:eastAsia="黑体" w:cs="宋体"/>
          <w:bCs/>
          <w:color w:val="333333"/>
          <w:kern w:val="0"/>
          <w:sz w:val="32"/>
          <w:szCs w:val="32"/>
        </w:rPr>
        <w:t>局部门预算批复表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ascii="宋体" w:hAnsi="宋体" w:eastAsia="宋体" w:cs="宋体"/>
          <w:color w:val="333333"/>
          <w:kern w:val="0"/>
          <w:sz w:val="32"/>
          <w:szCs w:val="32"/>
          <w:shd w:val="clear" w:color="auto" w:fill="FFFFFF"/>
        </w:rPr>
      </w:pPr>
      <w:r>
        <w:rPr>
          <w:rFonts w:hint="eastAsia" w:ascii="宋体" w:hAnsi="宋体" w:eastAsia="宋体" w:cs="宋体"/>
          <w:color w:val="333333"/>
          <w:kern w:val="0"/>
          <w:sz w:val="32"/>
          <w:szCs w:val="32"/>
        </w:rPr>
        <w:t>十七、部门预算项目（政策）绩效目标表</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第一部分 龙城区</w:t>
      </w:r>
      <w:r>
        <w:rPr>
          <w:rFonts w:hint="eastAsia" w:ascii="黑体" w:hAnsi="黑体" w:eastAsia="黑体" w:cs="黑体"/>
          <w:color w:val="333333"/>
          <w:kern w:val="0"/>
          <w:sz w:val="36"/>
          <w:szCs w:val="36"/>
          <w:lang w:eastAsia="zh-CN"/>
        </w:rPr>
        <w:t>农业综合扶贫开发</w:t>
      </w:r>
      <w:r>
        <w:rPr>
          <w:rFonts w:hint="eastAsia" w:ascii="黑体" w:hAnsi="黑体" w:eastAsia="黑体" w:cs="黑体"/>
          <w:color w:val="333333"/>
          <w:kern w:val="0"/>
          <w:sz w:val="36"/>
          <w:szCs w:val="36"/>
        </w:rPr>
        <w:t>局概况</w:t>
      </w:r>
    </w:p>
    <w:p>
      <w:pPr>
        <w:widowControl/>
        <w:spacing w:line="600" w:lineRule="exact"/>
        <w:jc w:val="center"/>
        <w:rPr>
          <w:rFonts w:ascii="宋体" w:hAnsi="宋体" w:eastAsia="宋体" w:cs="宋体"/>
          <w:color w:val="333333"/>
          <w:kern w:val="0"/>
          <w:sz w:val="32"/>
          <w:szCs w:val="32"/>
        </w:rPr>
      </w:pPr>
    </w:p>
    <w:p>
      <w:pPr>
        <w:widowControl/>
        <w:spacing w:line="560" w:lineRule="exact"/>
        <w:jc w:val="left"/>
        <w:rPr>
          <w:rFonts w:ascii="仿宋_GB2312" w:hAnsi="仿宋_GB2312" w:eastAsia="仿宋_GB2312" w:cs="仿宋_GB2312"/>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hint="eastAsia" w:ascii="仿宋_GB2312" w:eastAsia="仿宋_GB2312"/>
          <w:sz w:val="32"/>
          <w:szCs w:val="32"/>
        </w:rPr>
        <w:t>（一）承担全区脱贫攻坚政治任务；负责扶贫开发项目立项前的调查准备、建立项目库；负责扶贫项目的申报、立项审批、实施、验收；负责扶贫资金拨付、使用、监管；负责扶贫平台建设和金融机构衔接，金融扶贫项目评估、推荐、管理、检查；负责专项扶贫资金绩效考核；负责全区脱贫攻坚任务督查巡查。</w:t>
      </w:r>
      <w:r>
        <w:rPr>
          <w:rFonts w:hint="eastAsia" w:ascii="仿宋_GB2312" w:eastAsia="仿宋_GB2312"/>
          <w:sz w:val="32"/>
          <w:szCs w:val="32"/>
        </w:rPr>
        <w:br w:type="textWrapping"/>
      </w:r>
      <w:r>
        <w:rPr>
          <w:rFonts w:hint="eastAsia" w:ascii="仿宋_GB2312" w:eastAsia="仿宋_GB2312"/>
          <w:sz w:val="32"/>
          <w:szCs w:val="32"/>
        </w:rPr>
        <w:t>     （二）负责全区贫困人口精准识别、扶贫项目、扶贫资金、扶贫成效监测 ；负责扶贫开发统计监测和扶贫统计信息数据库建设；指导全区扶贫开发统计监测工作；负责全区脱贫成效监测；负责扶贫档案整理。</w:t>
      </w:r>
      <w:r>
        <w:rPr>
          <w:rFonts w:hint="eastAsia" w:ascii="仿宋_GB2312" w:eastAsia="仿宋_GB2312"/>
          <w:sz w:val="32"/>
          <w:szCs w:val="32"/>
        </w:rPr>
        <w:br w:type="textWrapping"/>
      </w:r>
      <w:r>
        <w:rPr>
          <w:rFonts w:hint="eastAsia" w:ascii="仿宋_GB2312" w:eastAsia="仿宋_GB2312"/>
          <w:sz w:val="32"/>
          <w:szCs w:val="32"/>
        </w:rPr>
        <w:t>     （三）负责编制全区农业综合开发总体规划；负责全区土地治理和产业化项目的规划、申报、立项审批、实施和检查验收；负责组织、检查、监督和指导农业开发各项工作。</w:t>
      </w:r>
      <w:r>
        <w:rPr>
          <w:rFonts w:hint="eastAsia" w:ascii="仿宋_GB2312" w:eastAsia="仿宋_GB2312"/>
          <w:sz w:val="32"/>
          <w:szCs w:val="32"/>
        </w:rPr>
        <w:br w:type="textWrapping"/>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1、龙城区</w:t>
      </w:r>
      <w:r>
        <w:rPr>
          <w:rFonts w:hint="eastAsia" w:ascii="仿宋_GB2312" w:hAnsi="宋体" w:eastAsia="仿宋_GB2312" w:cs="宋体"/>
          <w:bCs/>
          <w:color w:val="333333"/>
          <w:kern w:val="0"/>
          <w:sz w:val="32"/>
          <w:szCs w:val="32"/>
          <w:shd w:val="clear" w:color="auto" w:fill="FFFFFF"/>
          <w:lang w:eastAsia="zh-CN"/>
        </w:rPr>
        <w:t>农业综合扶贫开发</w:t>
      </w:r>
      <w:r>
        <w:rPr>
          <w:rFonts w:hint="eastAsia" w:ascii="仿宋_GB2312" w:hAnsi="宋体" w:eastAsia="仿宋_GB2312" w:cs="宋体"/>
          <w:bCs/>
          <w:color w:val="333333"/>
          <w:kern w:val="0"/>
          <w:sz w:val="32"/>
          <w:szCs w:val="32"/>
          <w:shd w:val="clear" w:color="auto" w:fill="FFFFFF"/>
        </w:rPr>
        <w:t>局本级</w:t>
      </w: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 xml:space="preserve"> </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kern w:val="0"/>
          <w:sz w:val="36"/>
          <w:szCs w:val="36"/>
        </w:rPr>
      </w:pPr>
    </w:p>
    <w:p>
      <w:pPr>
        <w:widowControl/>
        <w:spacing w:line="600" w:lineRule="exact"/>
        <w:jc w:val="left"/>
        <w:rPr>
          <w:rFonts w:ascii="宋体" w:hAnsi="宋体" w:eastAsia="宋体" w:cs="宋体"/>
          <w:kern w:val="0"/>
          <w:sz w:val="36"/>
          <w:szCs w:val="36"/>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第二部分 龙城区</w:t>
      </w:r>
      <w:r>
        <w:rPr>
          <w:rFonts w:hint="eastAsia" w:ascii="黑体" w:hAnsi="黑体" w:eastAsia="黑体" w:cs="黑体"/>
          <w:color w:val="333333"/>
          <w:kern w:val="0"/>
          <w:sz w:val="36"/>
          <w:szCs w:val="36"/>
          <w:lang w:eastAsia="zh-CN"/>
        </w:rPr>
        <w:t>农业综合扶贫开发</w:t>
      </w:r>
      <w:r>
        <w:rPr>
          <w:rFonts w:hint="eastAsia" w:ascii="黑体" w:hAnsi="黑体" w:eastAsia="黑体" w:cs="黑体"/>
          <w:color w:val="333333"/>
          <w:kern w:val="0"/>
          <w:sz w:val="36"/>
          <w:szCs w:val="36"/>
        </w:rPr>
        <w:t>局2022年部门预算情况说明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lang w:val="en-US" w:eastAsia="zh-CN"/>
        </w:rPr>
        <w:t>204.6</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lang w:val="en-US" w:eastAsia="zh-CN"/>
        </w:rPr>
        <w:t>204.6</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lang w:val="en-US" w:eastAsia="zh-CN"/>
        </w:rPr>
        <w:t>204.6</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w:t>
      </w:r>
      <w:r>
        <w:rPr>
          <w:rFonts w:hint="eastAsia" w:ascii="仿宋_GB2312" w:hAnsi="仿宋_GB2312" w:eastAsia="仿宋_GB2312" w:cs="仿宋_GB2312"/>
          <w:color w:val="333333"/>
          <w:kern w:val="0"/>
          <w:sz w:val="32"/>
          <w:szCs w:val="32"/>
          <w:lang w:val="en-US" w:eastAsia="zh-CN"/>
        </w:rPr>
        <w:t>200.25</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w:t>
      </w:r>
      <w:r>
        <w:rPr>
          <w:rFonts w:hint="eastAsia" w:ascii="仿宋_GB2312" w:hAnsi="仿宋_GB2312" w:eastAsia="仿宋_GB2312" w:cs="仿宋_GB2312"/>
          <w:color w:val="333333"/>
          <w:kern w:val="0"/>
          <w:sz w:val="32"/>
          <w:szCs w:val="32"/>
          <w:lang w:val="en-US" w:eastAsia="zh-CN"/>
        </w:rPr>
        <w:t>4.35</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lang w:val="en-US" w:eastAsia="zh-CN"/>
        </w:rPr>
        <w:t>204.6</w:t>
      </w:r>
      <w:r>
        <w:rPr>
          <w:rFonts w:hint="eastAsia" w:ascii="仿宋_GB2312" w:hAnsi="仿宋_GB2312" w:eastAsia="仿宋_GB2312" w:cs="仿宋_GB2312"/>
          <w:color w:val="333333"/>
          <w:kern w:val="0"/>
          <w:sz w:val="32"/>
          <w:szCs w:val="32"/>
        </w:rPr>
        <w:t>万元中，债务支出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w:t>
      </w:r>
      <w:r>
        <w:rPr>
          <w:rFonts w:hint="eastAsia" w:ascii="仿宋_GB2312" w:hAnsi="仿宋_GB2312" w:eastAsia="仿宋_GB2312" w:cs="仿宋_GB2312"/>
          <w:color w:val="333333"/>
          <w:kern w:val="0"/>
          <w:sz w:val="32"/>
          <w:szCs w:val="32"/>
          <w:lang w:eastAsia="zh-CN"/>
        </w:rPr>
        <w:t>增加</w:t>
      </w:r>
      <w:r>
        <w:rPr>
          <w:rFonts w:hint="eastAsia" w:ascii="仿宋_GB2312" w:hAnsi="仿宋_GB2312" w:eastAsia="仿宋_GB2312" w:cs="仿宋_GB2312"/>
          <w:color w:val="333333"/>
          <w:kern w:val="0"/>
          <w:sz w:val="32"/>
          <w:szCs w:val="32"/>
          <w:lang w:val="en-US" w:eastAsia="zh-CN"/>
        </w:rPr>
        <w:t>30</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lang w:val="en-US" w:eastAsia="zh-CN"/>
        </w:rPr>
        <w:t>17.47</w:t>
      </w:r>
      <w:r>
        <w:rPr>
          <w:rFonts w:hint="eastAsia" w:ascii="仿宋_GB2312" w:hAnsi="仿宋_GB2312" w:eastAsia="仿宋_GB2312" w:cs="仿宋_GB2312"/>
          <w:color w:val="333333"/>
          <w:kern w:val="0"/>
          <w:sz w:val="32"/>
          <w:szCs w:val="32"/>
        </w:rPr>
        <w:t>万元。主要包括</w:t>
      </w:r>
      <w:r>
        <w:rPr>
          <w:rFonts w:hint="eastAsia" w:ascii="仿宋_GB2312" w:hAnsi="仿宋_GB2312" w:eastAsia="仿宋_GB2312" w:cs="仿宋_GB2312"/>
          <w:color w:val="333333"/>
          <w:kern w:val="0"/>
          <w:sz w:val="32"/>
          <w:szCs w:val="32"/>
          <w:lang w:eastAsia="zh-CN"/>
        </w:rPr>
        <w:t>办公费、水电费、邮电费、劳务费、工会经费、公务车运行及维护费、其他交通费用。</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rPr>
        <w:t>万元，与上年持平。</w:t>
      </w:r>
    </w:p>
    <w:p>
      <w:pPr>
        <w:widowControl/>
        <w:spacing w:line="540" w:lineRule="exact"/>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其中：因公出国（境）费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lang w:val="en-US" w:eastAsia="zh-CN"/>
        </w:rPr>
        <w:t>5</w:t>
      </w:r>
      <w:r>
        <w:rPr>
          <w:rFonts w:hint="eastAsia" w:ascii="仿宋_GB2312" w:hAnsi="仿宋_GB2312" w:eastAsia="仿宋_GB2312" w:cs="仿宋_GB2312"/>
          <w:color w:val="333333"/>
          <w:kern w:val="0"/>
          <w:sz w:val="32"/>
          <w:szCs w:val="32"/>
        </w:rPr>
        <w:t>万元，与上年持平。</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2022年年初预算购置车辆</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台，金额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万元，单位价值 50 万元以上的通用设备</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 台，单位价值 100万元以上的专用设备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lang w:val="en-US" w:eastAsia="zh-CN"/>
        </w:rPr>
        <w:t>1</w:t>
      </w:r>
      <w:bookmarkStart w:id="0" w:name="_GoBack"/>
      <w:bookmarkEnd w:id="0"/>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default"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rPr>
        <w:t>5.卫生健康（类）行政事业单位医疗（款）事业单位医疗（项）：</w:t>
      </w:r>
      <w:r>
        <w:rPr>
          <w:rFonts w:hint="eastAsia" w:ascii="仿宋_GB2312" w:hAnsi="仿宋_GB2312" w:eastAsia="仿宋_GB2312" w:cs="仿宋_GB2312"/>
          <w:color w:val="333333"/>
          <w:kern w:val="0"/>
          <w:sz w:val="32"/>
          <w:szCs w:val="32"/>
          <w:shd w:val="clear" w:color="auto" w:fill="FFFFFF"/>
        </w:rPr>
        <w:t>反应财政部门安排的事业单位基本医疗保险缴费经费，未参加医疗保险的事业单位的公费医疗经费，按国家规定享受离休人员待遇的医疗经费。</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lang w:val="en-US" w:eastAsia="zh-CN"/>
        </w:rPr>
        <w:t>6.</w:t>
      </w:r>
      <w:r>
        <w:rPr>
          <w:rFonts w:hint="eastAsia" w:ascii="仿宋_GB2312" w:hAnsi="仿宋_GB2312" w:eastAsia="仿宋_GB2312" w:cs="仿宋_GB2312"/>
          <w:b/>
          <w:bCs/>
          <w:color w:val="333333"/>
          <w:kern w:val="0"/>
          <w:sz w:val="32"/>
          <w:szCs w:val="32"/>
          <w:shd w:val="clear" w:color="auto" w:fill="FFFFFF"/>
        </w:rPr>
        <w:t>农林水（类）</w:t>
      </w:r>
      <w:r>
        <w:rPr>
          <w:rFonts w:hint="eastAsia" w:ascii="仿宋_GB2312" w:hAnsi="仿宋_GB2312" w:eastAsia="仿宋_GB2312" w:cs="仿宋_GB2312"/>
          <w:b/>
          <w:bCs/>
          <w:color w:val="333333"/>
          <w:kern w:val="0"/>
          <w:sz w:val="32"/>
          <w:szCs w:val="32"/>
          <w:shd w:val="clear" w:color="auto" w:fill="FFFFFF"/>
          <w:lang w:val="en-US" w:eastAsia="zh-CN"/>
        </w:rPr>
        <w:t>巩固脱贫衔接乡村振兴</w:t>
      </w:r>
      <w:r>
        <w:rPr>
          <w:rFonts w:hint="eastAsia" w:ascii="仿宋_GB2312" w:hAnsi="仿宋_GB2312" w:eastAsia="仿宋_GB2312" w:cs="仿宋_GB2312"/>
          <w:b/>
          <w:bCs/>
          <w:color w:val="333333"/>
          <w:kern w:val="0"/>
          <w:sz w:val="32"/>
          <w:szCs w:val="32"/>
          <w:shd w:val="clear" w:color="auto" w:fill="FFFFFF"/>
        </w:rPr>
        <w:t>（款）事业运行（项）</w:t>
      </w:r>
      <w:r>
        <w:rPr>
          <w:rFonts w:hint="eastAsia" w:ascii="仿宋_GB2312" w:hAnsi="仿宋_GB2312" w:eastAsia="仿宋_GB2312" w:cs="仿宋_GB2312"/>
          <w:b/>
          <w:bCs/>
          <w:color w:val="333333"/>
          <w:kern w:val="0"/>
          <w:sz w:val="32"/>
          <w:szCs w:val="32"/>
          <w:shd w:val="clear" w:color="auto" w:fill="FFFFFF"/>
          <w:lang w:eastAsia="zh-CN"/>
        </w:rPr>
        <w:t>：</w:t>
      </w:r>
      <w:r>
        <w:rPr>
          <w:rFonts w:hint="eastAsia" w:ascii="仿宋_GB2312" w:hAnsi="仿宋_GB2312" w:eastAsia="仿宋_GB2312" w:cs="仿宋_GB2312"/>
          <w:color w:val="333333"/>
          <w:kern w:val="0"/>
          <w:sz w:val="32"/>
          <w:szCs w:val="32"/>
          <w:shd w:val="clear" w:color="auto" w:fill="FFFFFF"/>
          <w:lang w:eastAsia="zh-CN"/>
        </w:rPr>
        <w:t>反映事业单位基本支出，不包括行政单位（包括实行公务员管理的事业单位）后勤服务中心、医务室等附属事业单位的支出。</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7.</w:t>
      </w:r>
      <w:r>
        <w:rPr>
          <w:rFonts w:hint="eastAsia" w:ascii="仿宋_GB2312" w:hAnsi="仿宋_GB2312" w:eastAsia="仿宋_GB2312" w:cs="仿宋_GB2312"/>
          <w:b/>
          <w:bCs/>
          <w:color w:val="333333"/>
          <w:kern w:val="0"/>
          <w:sz w:val="32"/>
          <w:szCs w:val="32"/>
          <w:shd w:val="clear" w:color="auto" w:fill="FFFFFF"/>
        </w:rPr>
        <w:t>社会保障和就业（类）行政事业单位离退休（款）机关事业单位基本养老保险缴费支出（项）：</w:t>
      </w:r>
      <w:r>
        <w:rPr>
          <w:rFonts w:hint="eastAsia" w:ascii="仿宋_GB2312" w:hAnsi="仿宋_GB2312" w:eastAsia="仿宋_GB2312" w:cs="仿宋_GB2312"/>
          <w:color w:val="333333"/>
          <w:kern w:val="0"/>
          <w:sz w:val="32"/>
          <w:szCs w:val="32"/>
          <w:shd w:val="clear" w:color="auto" w:fill="FFFFFF"/>
        </w:rPr>
        <w:t>反应机关事业单位实施养老保险制度由单位缴纳的基本养老费支出。</w:t>
      </w:r>
    </w:p>
    <w:p>
      <w:pPr>
        <w:spacing w:line="620" w:lineRule="exact"/>
        <w:ind w:firstLine="643" w:firstLineChars="200"/>
        <w:jc w:val="left"/>
        <w:rPr>
          <w:rFonts w:hint="eastAsia" w:ascii="仿宋_GB2312" w:hAnsi="仿宋_GB2312" w:eastAsia="仿宋_GB2312" w:cs="仿宋_GB2312"/>
          <w:color w:val="333333"/>
          <w:kern w:val="0"/>
          <w:sz w:val="32"/>
          <w:szCs w:val="32"/>
          <w:shd w:val="clear" w:color="auto" w:fill="FFFFFF"/>
          <w:lang w:val="en-US" w:eastAsia="zh-CN"/>
        </w:rPr>
      </w:pPr>
      <w:r>
        <w:rPr>
          <w:rFonts w:hint="eastAsia" w:ascii="仿宋_GB2312" w:hAnsi="仿宋_GB2312" w:eastAsia="仿宋_GB2312" w:cs="仿宋_GB2312"/>
          <w:b/>
          <w:bCs/>
          <w:color w:val="333333"/>
          <w:kern w:val="0"/>
          <w:sz w:val="32"/>
          <w:szCs w:val="32"/>
          <w:shd w:val="clear" w:color="auto" w:fill="FFFFFF"/>
          <w:lang w:val="en-US" w:eastAsia="zh-CN"/>
        </w:rPr>
        <w:t>8.</w:t>
      </w:r>
      <w:r>
        <w:rPr>
          <w:rFonts w:hint="eastAsia" w:ascii="仿宋_GB2312" w:hAnsi="仿宋_GB2312" w:eastAsia="仿宋_GB2312" w:cs="仿宋_GB2312"/>
          <w:b/>
          <w:bCs/>
          <w:color w:val="333333"/>
          <w:kern w:val="0"/>
          <w:sz w:val="32"/>
          <w:szCs w:val="32"/>
          <w:shd w:val="clear" w:color="auto" w:fill="FFFFFF"/>
        </w:rPr>
        <w:t>社会保障和就业（类）行政事业单位离退休（款）事业单位离退休（项）：</w:t>
      </w:r>
      <w:r>
        <w:rPr>
          <w:rFonts w:hint="eastAsia" w:ascii="仿宋_GB2312" w:hAnsi="仿宋_GB2312" w:eastAsia="仿宋_GB2312" w:cs="仿宋_GB2312"/>
          <w:color w:val="333333"/>
          <w:kern w:val="0"/>
          <w:sz w:val="32"/>
          <w:szCs w:val="32"/>
          <w:shd w:val="clear" w:color="auto" w:fill="FFFFFF"/>
          <w:lang w:val="en-US" w:eastAsia="zh-CN"/>
        </w:rPr>
        <w:t>反映事业单位开支的离退休经费。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lang w:val="en-US" w:eastAsia="zh-CN"/>
        </w:rPr>
        <w:t>9.</w:t>
      </w: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2022年龙城区</w:t>
      </w:r>
      <w:r>
        <w:rPr>
          <w:rFonts w:hint="eastAsia" w:ascii="黑体" w:hAnsi="黑体" w:eastAsia="黑体" w:cs="宋体"/>
          <w:color w:val="333333"/>
          <w:kern w:val="0"/>
          <w:sz w:val="36"/>
          <w:szCs w:val="36"/>
          <w:lang w:eastAsia="zh-CN"/>
        </w:rPr>
        <w:t>农业综合扶贫开发</w:t>
      </w:r>
      <w:r>
        <w:rPr>
          <w:rFonts w:hint="eastAsia" w:ascii="黑体" w:hAnsi="黑体" w:eastAsia="黑体" w:cs="宋体"/>
          <w:color w:val="333333"/>
          <w:kern w:val="0"/>
          <w:sz w:val="36"/>
          <w:szCs w:val="36"/>
        </w:rPr>
        <w:t>局部门预算批复表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详见附表：</w:t>
      </w:r>
      <w:r>
        <w:rPr>
          <w:rFonts w:hint="eastAsia" w:ascii="仿宋_GB2312" w:hAnsi="宋体" w:eastAsia="仿宋_GB2312" w:cs="宋体"/>
          <w:color w:val="333333"/>
          <w:kern w:val="0"/>
          <w:sz w:val="32"/>
          <w:szCs w:val="32"/>
        </w:rPr>
        <w:t>2022年龙城区</w:t>
      </w:r>
      <w:r>
        <w:rPr>
          <w:rFonts w:hint="eastAsia" w:ascii="仿宋_GB2312" w:hAnsi="宋体" w:eastAsia="仿宋_GB2312" w:cs="宋体"/>
          <w:color w:val="333333"/>
          <w:kern w:val="0"/>
          <w:sz w:val="32"/>
          <w:szCs w:val="32"/>
          <w:lang w:eastAsia="zh-CN"/>
        </w:rPr>
        <w:t>农业综合扶贫开发</w:t>
      </w:r>
      <w:r>
        <w:rPr>
          <w:rFonts w:hint="eastAsia" w:ascii="仿宋_GB2312" w:hAnsi="宋体" w:eastAsia="仿宋_GB2312" w:cs="宋体"/>
          <w:color w:val="333333"/>
          <w:kern w:val="0"/>
          <w:sz w:val="32"/>
          <w:szCs w:val="32"/>
        </w:rPr>
        <w:t>局部门预算批复表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4E44"/>
    <w:rsid w:val="00F33DE8"/>
    <w:rsid w:val="00F404C5"/>
    <w:rsid w:val="00F6157F"/>
    <w:rsid w:val="00F80D8D"/>
    <w:rsid w:val="00F81352"/>
    <w:rsid w:val="00FC7F22"/>
    <w:rsid w:val="00FF0E8C"/>
    <w:rsid w:val="00FF3ABD"/>
    <w:rsid w:val="00FF61DC"/>
    <w:rsid w:val="05645DD5"/>
    <w:rsid w:val="0FF03899"/>
    <w:rsid w:val="1AFF7E79"/>
    <w:rsid w:val="1D11562F"/>
    <w:rsid w:val="1E7D79E2"/>
    <w:rsid w:val="23446E27"/>
    <w:rsid w:val="3BDC4316"/>
    <w:rsid w:val="3C6077A7"/>
    <w:rsid w:val="604B01CA"/>
    <w:rsid w:val="65C63716"/>
    <w:rsid w:val="6B9F494A"/>
    <w:rsid w:val="6BF45CDA"/>
    <w:rsid w:val="6E5B298D"/>
    <w:rsid w:val="701F4FF2"/>
    <w:rsid w:val="70D33C80"/>
    <w:rsid w:val="723B31C2"/>
    <w:rsid w:val="79615874"/>
    <w:rsid w:val="7DBB41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1861</Characters>
  <Lines>15</Lines>
  <Paragraphs>4</Paragraphs>
  <TotalTime>2</TotalTime>
  <ScaleCrop>false</ScaleCrop>
  <LinksUpToDate>false</LinksUpToDate>
  <CharactersWithSpaces>2183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邓悦.</cp:lastModifiedBy>
  <cp:lastPrinted>2022-01-12T03:18:00Z</cp:lastPrinted>
  <dcterms:modified xsi:type="dcterms:W3CDTF">2022-01-12T07:50:19Z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0A46C5CB5A25427DA26057A03F87D632</vt:lpwstr>
  </property>
</Properties>
</file>