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龙城区退役</w:t>
      </w:r>
      <w:r>
        <w:rPr>
          <w:rFonts w:hint="eastAsia" w:asciiTheme="majorEastAsia" w:hAnsiTheme="majorEastAsia" w:eastAsiaTheme="majorEastAsia"/>
          <w:b/>
          <w:sz w:val="52"/>
          <w:szCs w:val="52"/>
          <w:highlight w:val="none"/>
        </w:rPr>
        <w:t>军人</w:t>
      </w:r>
      <w:r>
        <w:rPr>
          <w:rFonts w:hint="eastAsia" w:asciiTheme="majorEastAsia" w:hAnsiTheme="majorEastAsia" w:eastAsiaTheme="majorEastAsia"/>
          <w:b/>
          <w:sz w:val="52"/>
          <w:szCs w:val="52"/>
          <w:highlight w:val="none"/>
          <w:lang w:eastAsia="zh-CN"/>
        </w:rPr>
        <w:t>事务</w:t>
      </w:r>
      <w:r>
        <w:rPr>
          <w:rFonts w:hint="eastAsia" w:asciiTheme="majorEastAsia" w:hAnsiTheme="majorEastAsia" w:eastAsiaTheme="majorEastAsia"/>
          <w:b/>
          <w:sz w:val="52"/>
          <w:szCs w:val="52"/>
          <w:highlight w:val="none"/>
        </w:rPr>
        <w:t>局部</w:t>
      </w:r>
      <w:r>
        <w:rPr>
          <w:rFonts w:hint="eastAsia" w:asciiTheme="majorEastAsia" w:hAnsiTheme="majorEastAsia" w:eastAsiaTheme="majorEastAsia"/>
          <w:b/>
          <w:sz w:val="52"/>
          <w:szCs w:val="52"/>
        </w:rPr>
        <w:t>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2022年龙城区退役军人</w:t>
      </w:r>
      <w:r>
        <w:rPr>
          <w:rFonts w:hint="eastAsia" w:cs="宋体" w:asciiTheme="majorEastAsia" w:hAnsiTheme="majorEastAsia" w:eastAsiaTheme="majorEastAsia"/>
          <w:b/>
          <w:bCs/>
          <w:color w:val="333333"/>
          <w:kern w:val="36"/>
          <w:sz w:val="44"/>
          <w:szCs w:val="44"/>
          <w:highlight w:val="none"/>
        </w:rPr>
        <w:t>事务</w:t>
      </w:r>
      <w:r>
        <w:rPr>
          <w:rFonts w:hint="eastAsia" w:cs="宋体" w:asciiTheme="majorEastAsia" w:hAnsiTheme="majorEastAsia" w:eastAsiaTheme="majorEastAsia"/>
          <w:b/>
          <w:bCs/>
          <w:color w:val="333333"/>
          <w:kern w:val="36"/>
          <w:sz w:val="44"/>
          <w:szCs w:val="44"/>
        </w:rPr>
        <w:t>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龙城区退役军人事务局概况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龙城区退役军人事务局2022年部门预算情况说明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2022年龙城区退役军人事务局部门预算批复表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龙城区退役军人事务局概况</w:t>
      </w:r>
    </w:p>
    <w:p>
      <w:pPr>
        <w:widowControl/>
        <w:spacing w:line="600" w:lineRule="exact"/>
        <w:jc w:val="center"/>
        <w:rPr>
          <w:rFonts w:ascii="宋体" w:hAnsi="宋体" w:eastAsia="宋体" w:cs="宋体"/>
          <w:color w:val="333333"/>
          <w:kern w:val="0"/>
          <w:sz w:val="32"/>
          <w:szCs w:val="32"/>
        </w:rPr>
      </w:pPr>
    </w:p>
    <w:p>
      <w:pPr>
        <w:ind w:firstLine="1285" w:firstLineChars="400"/>
        <w:rPr>
          <w:rFonts w:ascii="楷体_GB2312" w:hAnsi="仿宋" w:eastAsia="楷体_GB2312"/>
          <w:bCs/>
          <w:sz w:val="28"/>
          <w:szCs w:val="28"/>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楷体_GB2312" w:hAnsi="仿宋" w:eastAsia="楷体_GB2312"/>
          <w:bCs/>
          <w:sz w:val="28"/>
          <w:szCs w:val="28"/>
        </w:rPr>
        <w:t>将龙城区民政局的退役军人优抚安置职责，龙城区人力资源和社会保障局的军官转业安置职责，以及军队有关职责等整合划入龙城区退役军人事务局，贯彻落实党中央关于退役军人工作的方针政策和决策部署，在履行职责过程中坚持和加强党对退役军人工作的集中统一领导。主要职责是:</w:t>
      </w:r>
    </w:p>
    <w:p>
      <w:pPr>
        <w:rPr>
          <w:rFonts w:ascii="楷体_GB2312" w:hAnsi="仿宋" w:eastAsia="楷体_GB2312"/>
          <w:bCs/>
          <w:sz w:val="28"/>
          <w:szCs w:val="28"/>
        </w:rPr>
      </w:pPr>
      <w:r>
        <w:rPr>
          <w:rFonts w:hint="eastAsia" w:ascii="楷体_GB2312" w:hAnsi="仿宋" w:eastAsia="楷体_GB2312"/>
          <w:bCs/>
          <w:sz w:val="28"/>
          <w:szCs w:val="28"/>
        </w:rPr>
        <w:t>(一)拟订我区关于退役军人思想政治、管理保障和安置优抚等工作的政策措施并组织实施，褒扬彰显退役军人为党、国家和人民牺牲奉献的精神风范和价值导向。</w:t>
      </w:r>
    </w:p>
    <w:p>
      <w:pPr>
        <w:rPr>
          <w:rFonts w:ascii="楷体_GB2312" w:hAnsi="仿宋" w:eastAsia="楷体_GB2312"/>
          <w:bCs/>
          <w:sz w:val="28"/>
          <w:szCs w:val="28"/>
        </w:rPr>
      </w:pPr>
      <w:r>
        <w:rPr>
          <w:rFonts w:hint="eastAsia" w:ascii="楷体_GB2312" w:hAnsi="仿宋" w:eastAsia="楷体_GB2312"/>
          <w:bCs/>
          <w:sz w:val="28"/>
          <w:szCs w:val="28"/>
        </w:rPr>
        <w:t>(二)负责军队转业干部、复员干部、离休退休干部、</w:t>
      </w:r>
    </w:p>
    <w:p>
      <w:pPr>
        <w:rPr>
          <w:rFonts w:ascii="楷体_GB2312" w:hAnsi="仿宋" w:eastAsia="楷体_GB2312"/>
          <w:bCs/>
          <w:sz w:val="28"/>
          <w:szCs w:val="28"/>
        </w:rPr>
      </w:pPr>
      <w:r>
        <w:rPr>
          <w:rFonts w:hint="eastAsia" w:ascii="楷体_GB2312" w:hAnsi="仿宋" w:eastAsia="楷体_GB2312"/>
          <w:bCs/>
          <w:sz w:val="28"/>
          <w:szCs w:val="28"/>
        </w:rPr>
        <w:t>退役士兵和无军籍退休退职职工的移交安置工作和自主择</w:t>
      </w:r>
    </w:p>
    <w:p>
      <w:pPr>
        <w:rPr>
          <w:rFonts w:ascii="楷体_GB2312" w:hAnsi="仿宋" w:eastAsia="楷体_GB2312"/>
          <w:bCs/>
          <w:sz w:val="28"/>
          <w:szCs w:val="28"/>
        </w:rPr>
      </w:pPr>
      <w:r>
        <w:rPr>
          <w:rFonts w:hint="eastAsia" w:ascii="楷体_GB2312" w:hAnsi="仿宋" w:eastAsia="楷体_GB2312"/>
          <w:bCs/>
          <w:sz w:val="28"/>
          <w:szCs w:val="28"/>
        </w:rPr>
        <w:t>业、就业退役军人服务管理工作。</w:t>
      </w:r>
    </w:p>
    <w:p>
      <w:pPr>
        <w:rPr>
          <w:rFonts w:ascii="楷体_GB2312" w:hAnsi="仿宋" w:eastAsia="楷体_GB2312"/>
          <w:bCs/>
          <w:sz w:val="28"/>
          <w:szCs w:val="28"/>
        </w:rPr>
      </w:pPr>
      <w:r>
        <w:rPr>
          <w:rFonts w:hint="eastAsia" w:ascii="楷体_GB2312" w:hAnsi="仿宋" w:eastAsia="楷体_GB2312"/>
          <w:bCs/>
          <w:sz w:val="28"/>
          <w:szCs w:val="28"/>
        </w:rPr>
        <w:t>(三)组织指导退役军人教育培训工作，协调扶持退役</w:t>
      </w:r>
    </w:p>
    <w:p>
      <w:pPr>
        <w:rPr>
          <w:rFonts w:ascii="楷体_GB2312" w:hAnsi="仿宋" w:eastAsia="楷体_GB2312"/>
          <w:bCs/>
          <w:sz w:val="28"/>
          <w:szCs w:val="28"/>
        </w:rPr>
      </w:pPr>
      <w:r>
        <w:rPr>
          <w:rFonts w:hint="eastAsia" w:ascii="楷体_GB2312" w:hAnsi="仿宋" w:eastAsia="楷体_GB2312"/>
          <w:bCs/>
          <w:sz w:val="28"/>
          <w:szCs w:val="28"/>
        </w:rPr>
        <w:t>军人和随军随调家属就业创业。</w:t>
      </w:r>
    </w:p>
    <w:p>
      <w:pPr>
        <w:rPr>
          <w:rFonts w:ascii="楷体_GB2312" w:hAnsi="仿宋" w:eastAsia="楷体_GB2312"/>
          <w:bCs/>
          <w:sz w:val="28"/>
          <w:szCs w:val="28"/>
        </w:rPr>
      </w:pPr>
      <w:r>
        <w:rPr>
          <w:rFonts w:hint="eastAsia" w:ascii="楷体_GB2312" w:hAnsi="仿宋" w:eastAsia="楷体_GB2312"/>
          <w:bCs/>
          <w:sz w:val="28"/>
          <w:szCs w:val="28"/>
        </w:rPr>
        <w:t>(四)会同有关部门制定退役军人特殊保障政策并组织</w:t>
      </w:r>
    </w:p>
    <w:p>
      <w:pPr>
        <w:rPr>
          <w:rFonts w:ascii="楷体_GB2312" w:hAnsi="仿宋" w:eastAsia="楷体_GB2312"/>
          <w:bCs/>
          <w:sz w:val="28"/>
          <w:szCs w:val="28"/>
        </w:rPr>
      </w:pPr>
      <w:r>
        <w:rPr>
          <w:rFonts w:hint="eastAsia" w:ascii="楷体_GB2312" w:hAnsi="仿宋" w:eastAsia="楷体_GB2312"/>
          <w:bCs/>
          <w:sz w:val="28"/>
          <w:szCs w:val="28"/>
        </w:rPr>
        <w:t>落实。</w:t>
      </w:r>
    </w:p>
    <w:p>
      <w:pPr>
        <w:rPr>
          <w:rFonts w:ascii="楷体_GB2312" w:hAnsi="仿宋" w:eastAsia="楷体_GB2312"/>
          <w:bCs/>
          <w:sz w:val="28"/>
          <w:szCs w:val="28"/>
        </w:rPr>
      </w:pPr>
      <w:r>
        <w:rPr>
          <w:rFonts w:hint="eastAsia" w:ascii="楷体_GB2312" w:hAnsi="仿宋" w:eastAsia="楷体_GB2312"/>
          <w:bCs/>
          <w:sz w:val="28"/>
          <w:szCs w:val="28"/>
        </w:rPr>
        <w:t xml:space="preserve"> （五）组织协调落实移交地方的离退休退役军人，符合条件的其他退役军人和无军籍退职职工的住房保障工作，以及退役军人医疗保障、社会保险等待遇保障工作。</w:t>
      </w:r>
    </w:p>
    <w:p>
      <w:pPr>
        <w:rPr>
          <w:rFonts w:ascii="楷体_GB2312" w:hAnsi="仿宋" w:eastAsia="楷体_GB2312"/>
          <w:bCs/>
          <w:sz w:val="28"/>
          <w:szCs w:val="28"/>
        </w:rPr>
      </w:pPr>
      <w:r>
        <w:rPr>
          <w:rFonts w:hint="eastAsia" w:ascii="楷体_GB2312" w:hAnsi="仿宋" w:eastAsia="楷体_GB2312"/>
          <w:bCs/>
          <w:sz w:val="28"/>
          <w:szCs w:val="28"/>
        </w:rPr>
        <w:t>(六)组织指导伤病残退役军人服务管理和抚恤工作。承担不适宜继续服役的伤病残军人相关工作。组织指导军供服务保障工作。</w:t>
      </w:r>
    </w:p>
    <w:p>
      <w:pPr>
        <w:rPr>
          <w:rFonts w:ascii="楷体_GB2312" w:hAnsi="仿宋" w:eastAsia="楷体_GB2312"/>
          <w:bCs/>
          <w:sz w:val="28"/>
          <w:szCs w:val="28"/>
        </w:rPr>
      </w:pPr>
      <w:r>
        <w:rPr>
          <w:rFonts w:hint="eastAsia" w:ascii="楷体_GB2312" w:hAnsi="仿宋" w:eastAsia="楷体_GB2312"/>
          <w:bCs/>
          <w:sz w:val="28"/>
          <w:szCs w:val="28"/>
        </w:rPr>
        <w:t>(七)组织指导全区拥军优属工作。负责现役军人、退役军人军队文职人员和军属优待、抚恤等工作，落实国家、省、市关于国民党抗战老兵等有关人员优待政策。</w:t>
      </w:r>
    </w:p>
    <w:p>
      <w:pPr>
        <w:rPr>
          <w:rFonts w:ascii="楷体_GB2312" w:hAnsi="仿宋" w:eastAsia="楷体_GB2312"/>
          <w:bCs/>
          <w:sz w:val="28"/>
          <w:szCs w:val="28"/>
        </w:rPr>
      </w:pPr>
      <w:r>
        <w:rPr>
          <w:rFonts w:hint="eastAsia" w:ascii="楷体_GB2312" w:hAnsi="仿宋" w:eastAsia="楷体_GB2312"/>
          <w:bCs/>
          <w:sz w:val="28"/>
          <w:szCs w:val="28"/>
        </w:rPr>
        <w:t>(八)负责烈士及退役军人荣誉奖励、军人公墓管理维护、纪念活动等工作，依法承担英雄烈士保护相关工作，审核拟列入全区重点保护单位的烈士纪念建筑物名录，承办烈士纪念设施保护事宜，总结表彰和宣扬退役军人、退役军人工作单位和个人先进典型事迹。</w:t>
      </w:r>
    </w:p>
    <w:p>
      <w:pPr>
        <w:rPr>
          <w:rFonts w:ascii="楷体_GB2312" w:hAnsi="仿宋" w:eastAsia="楷体_GB2312"/>
          <w:bCs/>
          <w:sz w:val="28"/>
          <w:szCs w:val="28"/>
        </w:rPr>
      </w:pPr>
      <w:r>
        <w:rPr>
          <w:rFonts w:hint="eastAsia" w:ascii="楷体_GB2312" w:hAnsi="仿宋" w:eastAsia="楷体_GB2312"/>
          <w:bCs/>
          <w:sz w:val="28"/>
          <w:szCs w:val="28"/>
        </w:rPr>
        <w:t>(九)指导并监督检查退役军人相关法律法规和政策措施的落实，组织开展退役军人权益维护和有关人员的帮扶援助工作。</w:t>
      </w:r>
    </w:p>
    <w:p>
      <w:pPr>
        <w:rPr>
          <w:rFonts w:ascii="楷体_GB2312" w:hAnsi="仿宋" w:eastAsia="楷体_GB2312"/>
          <w:bCs/>
          <w:sz w:val="28"/>
          <w:szCs w:val="28"/>
        </w:rPr>
      </w:pPr>
      <w:r>
        <w:rPr>
          <w:rFonts w:hint="eastAsia" w:ascii="楷体_GB2312" w:hAnsi="仿宋" w:eastAsia="楷体_GB2312"/>
          <w:bCs/>
          <w:sz w:val="28"/>
          <w:szCs w:val="28"/>
        </w:rPr>
        <w:t>(十)承担区双拥工作领导小组和区军队转业干部安置工作领导小组的日常工作。</w:t>
      </w:r>
    </w:p>
    <w:p>
      <w:pPr>
        <w:rPr>
          <w:rFonts w:ascii="楷体_GB2312" w:hAnsi="仿宋" w:eastAsia="楷体_GB2312"/>
          <w:bCs/>
          <w:sz w:val="28"/>
          <w:szCs w:val="28"/>
        </w:rPr>
      </w:pPr>
      <w:r>
        <w:rPr>
          <w:rFonts w:hint="eastAsia" w:ascii="楷体_GB2312" w:hAnsi="仿宋" w:eastAsia="楷体_GB2312"/>
          <w:bCs/>
          <w:sz w:val="28"/>
          <w:szCs w:val="28"/>
        </w:rPr>
        <w:t>(十一)完成区委、区政府交办的其他任务。</w:t>
      </w:r>
    </w:p>
    <w:p>
      <w:pPr>
        <w:rPr>
          <w:rFonts w:ascii="楷体_GB2312" w:hAnsi="仿宋" w:eastAsia="楷体_GB2312"/>
          <w:bCs/>
          <w:sz w:val="28"/>
          <w:szCs w:val="28"/>
        </w:rPr>
      </w:pPr>
      <w:r>
        <w:rPr>
          <w:rFonts w:hint="eastAsia" w:ascii="楷体_GB2312" w:hAnsi="仿宋" w:eastAsia="楷体_GB2312"/>
          <w:bCs/>
          <w:sz w:val="28"/>
          <w:szCs w:val="28"/>
        </w:rPr>
        <w:t>(十二)职能转变。区退役军人事务局应加强退役军人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展力做好组织保障。</w:t>
      </w:r>
    </w:p>
    <w:p>
      <w:pPr>
        <w:rPr>
          <w:rFonts w:ascii="楷体_GB2312" w:hAnsi="仿宋" w:eastAsia="楷体_GB2312"/>
          <w:bCs/>
          <w:sz w:val="28"/>
          <w:szCs w:val="28"/>
        </w:rPr>
      </w:pPr>
      <w:r>
        <w:rPr>
          <w:rFonts w:hint="eastAsia" w:ascii="楷体_GB2312" w:hAnsi="仿宋" w:eastAsia="楷体_GB2312"/>
          <w:bCs/>
          <w:sz w:val="28"/>
          <w:szCs w:val="28"/>
        </w:rPr>
        <w:t>(十三)逐渐建立完善部门工会组织，以维护本部门职工合法权益，丰富职工精神文化生活，保障职工享有相应福利待遇。</w:t>
      </w: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宋体" w:hAnsi="宋体" w:eastAsia="宋体" w:cs="宋体"/>
          <w:kern w:val="0"/>
          <w:sz w:val="36"/>
          <w:szCs w:val="36"/>
        </w:rPr>
      </w:pPr>
      <w:r>
        <w:rPr>
          <w:rFonts w:hint="eastAsia" w:ascii="仿宋_GB2312" w:hAnsi="宋体" w:eastAsia="仿宋_GB2312" w:cs="宋体"/>
          <w:bCs/>
          <w:color w:val="333333"/>
          <w:kern w:val="0"/>
          <w:sz w:val="32"/>
          <w:szCs w:val="32"/>
          <w:shd w:val="clear" w:color="auto" w:fill="FFFFFF"/>
        </w:rPr>
        <w:t>1、龙城区退役军人事务局本级</w:t>
      </w: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龙城区退役军人事务局2022年部门预算情况说明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w:t>
      </w:r>
      <w:r>
        <w:rPr>
          <w:rFonts w:hint="eastAsia" w:ascii="仿宋_GB2312" w:hAnsi="仿宋_GB2312" w:eastAsia="仿宋_GB2312" w:cs="仿宋_GB2312"/>
          <w:color w:val="333333"/>
          <w:kern w:val="0"/>
          <w:sz w:val="32"/>
          <w:szCs w:val="32"/>
          <w:highlight w:val="none"/>
        </w:rPr>
        <w:t>预算</w:t>
      </w:r>
      <w:r>
        <w:rPr>
          <w:rFonts w:hint="eastAsia" w:ascii="仿宋_GB2312" w:hAnsi="仿宋_GB2312" w:eastAsia="仿宋_GB2312" w:cs="仿宋_GB2312"/>
          <w:color w:val="333333"/>
          <w:kern w:val="0"/>
          <w:sz w:val="32"/>
          <w:szCs w:val="32"/>
          <w:highlight w:val="none"/>
          <w:lang w:val="en-US" w:eastAsia="zh-CN"/>
        </w:rPr>
        <w:t>263.54</w:t>
      </w:r>
      <w:r>
        <w:rPr>
          <w:rFonts w:hint="eastAsia" w:ascii="仿宋_GB2312" w:hAnsi="仿宋_GB2312" w:eastAsia="仿宋_GB2312" w:cs="仿宋_GB2312"/>
          <w:color w:val="333333"/>
          <w:kern w:val="0"/>
          <w:sz w:val="32"/>
          <w:szCs w:val="32"/>
          <w:highlight w:val="none"/>
        </w:rPr>
        <w:t>万元</w:t>
      </w:r>
      <w:r>
        <w:rPr>
          <w:rFonts w:hint="eastAsia" w:ascii="仿宋_GB2312" w:hAnsi="仿宋_GB2312" w:eastAsia="仿宋_GB2312" w:cs="仿宋_GB2312"/>
          <w:color w:val="333333"/>
          <w:kern w:val="0"/>
          <w:sz w:val="32"/>
          <w:szCs w:val="32"/>
        </w:rPr>
        <w:t>，包括：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1.一般公共预算拨款收入263.54万元；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（二）支出预算263.54万元，包括：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1.基本支出147.54万元；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2.项目支出116万元。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在支出预算263.54万元中，债务支出0万元，政府采购支出0万元，政府购买服务支出0万元。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年增加167.18万元。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2022年机关运行经费预算为14.74万元。主要包括办公费4万元、邮电费1.4万元、差旅费1.7万元、劳务费0.24万元、工会经费2.56万元、公务用车运行维护费2.5万元、其他交通费2.34万元。</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2.5万元，比上年增加</w:t>
      </w:r>
    </w:p>
    <w:p>
      <w:pPr>
        <w:widowControl/>
        <w:spacing w:line="540" w:lineRule="exac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0万元。其中：</w:t>
      </w:r>
      <w:bookmarkStart w:id="0" w:name="_GoBack"/>
      <w:bookmarkEnd w:id="0"/>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公务用车运行费2.5万元，与上年持平。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 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widowControl/>
        <w:spacing w:line="540" w:lineRule="exact"/>
        <w:ind w:firstLine="640" w:firstLineChars="200"/>
        <w:jc w:val="left"/>
        <w:rPr>
          <w:rFonts w:ascii="仿宋_GB2312" w:hAnsi="仿宋_GB2312" w:eastAsia="仿宋_GB2312" w:cs="仿宋_GB2312"/>
          <w:color w:val="333333"/>
          <w:kern w:val="0"/>
          <w:sz w:val="32"/>
          <w:szCs w:val="32"/>
        </w:rPr>
      </w:pPr>
    </w:p>
    <w:p>
      <w:pPr>
        <w:widowControl/>
        <w:spacing w:line="540" w:lineRule="exact"/>
        <w:ind w:firstLine="640" w:firstLineChars="200"/>
        <w:jc w:val="left"/>
        <w:rPr>
          <w:rFonts w:ascii="仿宋_GB2312" w:hAnsi="仿宋_GB2312" w:eastAsia="仿宋_GB2312" w:cs="仿宋_GB2312"/>
          <w:color w:val="333333"/>
          <w:kern w:val="0"/>
          <w:sz w:val="32"/>
          <w:szCs w:val="32"/>
        </w:rPr>
      </w:pPr>
    </w:p>
    <w:p>
      <w:pPr>
        <w:widowControl/>
        <w:spacing w:line="540" w:lineRule="exact"/>
        <w:ind w:firstLine="640" w:firstLineChars="200"/>
        <w:jc w:val="left"/>
        <w:rPr>
          <w:rFonts w:ascii="仿宋_GB2312" w:hAnsi="仿宋_GB2312" w:eastAsia="仿宋_GB2312" w:cs="仿宋_GB2312"/>
          <w:color w:val="333333"/>
          <w:kern w:val="0"/>
          <w:sz w:val="32"/>
          <w:szCs w:val="32"/>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5.社会保障和就业支出（类）行政事业单位养老支出（款）机关事业单位基本养老保险缴费支出（项）：</w:t>
      </w:r>
      <w:r>
        <w:rPr>
          <w:rFonts w:hint="eastAsia" w:ascii="仿宋_GB2312" w:hAnsi="仿宋_GB2312" w:eastAsia="仿宋_GB2312" w:cs="仿宋_GB2312"/>
          <w:color w:val="333333"/>
          <w:kern w:val="0"/>
          <w:sz w:val="32"/>
          <w:szCs w:val="32"/>
          <w:highlight w:val="none"/>
          <w:shd w:val="clear" w:color="auto" w:fill="FFFFFF"/>
        </w:rPr>
        <w:t>反应机关事业单位实施养老保险制度由单位实际缴纳基本养老保险费支出。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6.社会保障和就业支出（类）退役军人管理事务（款）行政运行（项）：</w:t>
      </w:r>
      <w:r>
        <w:rPr>
          <w:rFonts w:hint="eastAsia" w:ascii="仿宋_GB2312" w:hAnsi="仿宋_GB2312" w:eastAsia="仿宋_GB2312" w:cs="仿宋_GB2312"/>
          <w:color w:val="333333"/>
          <w:kern w:val="0"/>
          <w:sz w:val="32"/>
          <w:szCs w:val="32"/>
          <w:highlight w:val="none"/>
          <w:shd w:val="clear" w:color="auto" w:fill="FFFFFF"/>
        </w:rPr>
        <w:t>反应行政单位（包括实行公务员管理的事业单位）的基本支出。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7.社会保障和就业支出 （类）退役军人管理事务（款）其他退役军人事务管理支出（项）：</w:t>
      </w:r>
      <w:r>
        <w:rPr>
          <w:rFonts w:hint="eastAsia" w:ascii="仿宋_GB2312" w:hAnsi="仿宋_GB2312" w:eastAsia="仿宋_GB2312" w:cs="仿宋_GB2312"/>
          <w:color w:val="333333"/>
          <w:kern w:val="0"/>
          <w:sz w:val="32"/>
          <w:szCs w:val="32"/>
          <w:highlight w:val="none"/>
          <w:shd w:val="clear" w:color="auto" w:fill="FFFFFF"/>
        </w:rPr>
        <w:t>反应除上述项目以外其他用于退役军人事务管理方面的支出。</w:t>
      </w:r>
    </w:p>
    <w:p>
      <w:pPr>
        <w:spacing w:line="62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color w:val="333333"/>
          <w:kern w:val="0"/>
          <w:sz w:val="32"/>
          <w:szCs w:val="32"/>
          <w:highlight w:val="none"/>
          <w:shd w:val="clear" w:color="auto" w:fill="FFFFFF"/>
        </w:rPr>
        <w:t>8、</w:t>
      </w:r>
      <w:r>
        <w:rPr>
          <w:rFonts w:hint="eastAsia" w:ascii="仿宋_GB2312" w:hAnsi="仿宋_GB2312" w:eastAsia="仿宋_GB2312" w:cs="仿宋_GB2312"/>
          <w:b/>
          <w:bCs/>
          <w:color w:val="333333"/>
          <w:kern w:val="0"/>
          <w:sz w:val="32"/>
          <w:szCs w:val="32"/>
          <w:highlight w:val="none"/>
          <w:shd w:val="clear" w:color="auto" w:fill="FFFFFF"/>
        </w:rPr>
        <w:t>卫生健康支出（类）行政事业单位医疗（款）行政单位医疗（项）：</w:t>
      </w:r>
      <w:r>
        <w:rPr>
          <w:rFonts w:hint="eastAsia" w:ascii="仿宋_GB2312" w:hAnsi="仿宋_GB2312" w:eastAsia="仿宋_GB2312" w:cs="仿宋_GB2312"/>
          <w:color w:val="333333"/>
          <w:kern w:val="0"/>
          <w:sz w:val="32"/>
          <w:szCs w:val="32"/>
          <w:highlight w:val="none"/>
          <w:shd w:val="clear" w:color="auto" w:fill="FFFFFF"/>
        </w:rPr>
        <w:t>反应财政部门安排的行政单位（包括实行公务员管理的事业单位，下同）基本医疗保险缴费经费，未参加医疗保险的行政单位的公费医疗经费，按国家规定享受离休人员红军老战士待遇人员的医疗经费。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highlight w:val="none"/>
          <w:shd w:val="clear" w:color="auto" w:fill="FFFFFF"/>
        </w:rPr>
      </w:pPr>
      <w:r>
        <w:rPr>
          <w:rFonts w:hint="eastAsia" w:ascii="仿宋_GB2312" w:hAnsi="仿宋_GB2312" w:eastAsia="仿宋_GB2312" w:cs="仿宋_GB2312"/>
          <w:b/>
          <w:bCs/>
          <w:color w:val="333333"/>
          <w:kern w:val="0"/>
          <w:sz w:val="32"/>
          <w:szCs w:val="32"/>
          <w:highlight w:val="none"/>
          <w:shd w:val="clear" w:color="auto" w:fill="FFFFFF"/>
        </w:rPr>
        <w:t>9、住房保障支出（类）住房改革支出（款）住房公积金（项）：</w:t>
      </w:r>
      <w:r>
        <w:rPr>
          <w:rFonts w:hint="eastAsia" w:ascii="仿宋_GB2312" w:hAnsi="仿宋_GB2312" w:eastAsia="仿宋_GB2312" w:cs="仿宋_GB2312"/>
          <w:color w:val="333333"/>
          <w:kern w:val="0"/>
          <w:sz w:val="32"/>
          <w:szCs w:val="32"/>
          <w:highlight w:val="none"/>
          <w:shd w:val="clear" w:color="auto" w:fill="FFFFFF"/>
        </w:rPr>
        <w:t>反应行政事业单位按人力资源和社会保障部、财政部规定的基本工资和津贴补贴以及规定比例为职工缴纳的住房公积金。</w:t>
      </w:r>
    </w:p>
    <w:p>
      <w:pPr>
        <w:spacing w:line="62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p>
    <w:p>
      <w:pPr>
        <w:spacing w:line="62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p>
    <w:p>
      <w:pPr>
        <w:spacing w:line="620" w:lineRule="exact"/>
        <w:ind w:firstLine="640" w:firstLineChars="200"/>
        <w:jc w:val="left"/>
        <w:rPr>
          <w:rFonts w:ascii="仿宋_GB2312" w:hAnsi="仿宋_GB2312" w:eastAsia="仿宋_GB2312" w:cs="仿宋_GB2312"/>
          <w:color w:val="333333"/>
          <w:kern w:val="0"/>
          <w:sz w:val="32"/>
          <w:szCs w:val="32"/>
          <w:highlight w:val="none"/>
          <w:shd w:val="clear" w:color="auto" w:fill="FFFFFF"/>
        </w:rPr>
      </w:pPr>
    </w:p>
    <w:p>
      <w:pPr>
        <w:widowControl/>
        <w:spacing w:line="600" w:lineRule="exact"/>
        <w:jc w:val="center"/>
        <w:rPr>
          <w:rFonts w:ascii="黑体" w:hAnsi="黑体" w:eastAsia="黑体" w:cs="宋体"/>
          <w:color w:val="333333"/>
          <w:kern w:val="0"/>
          <w:sz w:val="36"/>
          <w:szCs w:val="36"/>
          <w:highlight w:val="none"/>
        </w:rPr>
      </w:pPr>
      <w:r>
        <w:rPr>
          <w:rFonts w:hint="eastAsia" w:ascii="黑体" w:hAnsi="黑体" w:eastAsia="黑体" w:cs="宋体"/>
          <w:color w:val="333333"/>
          <w:kern w:val="0"/>
          <w:sz w:val="36"/>
          <w:szCs w:val="36"/>
          <w:highlight w:val="none"/>
        </w:rPr>
        <w:t>第四部分 2022年龙城区退役军人事务局部门预算批复表</w:t>
      </w:r>
    </w:p>
    <w:p>
      <w:pPr>
        <w:widowControl/>
        <w:spacing w:line="600" w:lineRule="exact"/>
        <w:jc w:val="left"/>
        <w:rPr>
          <w:rFonts w:ascii="仿宋_GB2312" w:hAnsi="宋体" w:eastAsia="仿宋_GB2312" w:cs="宋体"/>
          <w:color w:val="333333"/>
          <w:kern w:val="0"/>
          <w:sz w:val="36"/>
          <w:szCs w:val="36"/>
          <w:highlight w:val="none"/>
          <w:shd w:val="clear" w:color="auto" w:fill="FFFFFF"/>
        </w:rPr>
      </w:pPr>
    </w:p>
    <w:p>
      <w:pPr>
        <w:widowControl/>
        <w:spacing w:line="600" w:lineRule="exact"/>
        <w:jc w:val="left"/>
        <w:rPr>
          <w:rFonts w:ascii="仿宋_GB2312" w:hAnsi="宋体" w:eastAsia="仿宋_GB2312" w:cs="宋体"/>
          <w:kern w:val="0"/>
          <w:sz w:val="36"/>
          <w:szCs w:val="36"/>
          <w:highlight w:val="none"/>
        </w:rPr>
      </w:pPr>
      <w:r>
        <w:rPr>
          <w:rFonts w:hint="eastAsia" w:ascii="仿宋_GB2312" w:hAnsi="宋体" w:eastAsia="仿宋_GB2312" w:cs="宋体"/>
          <w:color w:val="333333"/>
          <w:kern w:val="0"/>
          <w:sz w:val="32"/>
          <w:szCs w:val="32"/>
          <w:highlight w:val="none"/>
          <w:shd w:val="clear" w:color="auto" w:fill="FFFFFF"/>
        </w:rPr>
        <w:t>详见附表：</w:t>
      </w:r>
      <w:r>
        <w:rPr>
          <w:rFonts w:hint="eastAsia" w:ascii="仿宋_GB2312" w:hAnsi="宋体" w:eastAsia="仿宋_GB2312" w:cs="宋体"/>
          <w:color w:val="333333"/>
          <w:kern w:val="0"/>
          <w:sz w:val="32"/>
          <w:szCs w:val="32"/>
          <w:highlight w:val="none"/>
        </w:rPr>
        <w:t>2022年龙城区</w:t>
      </w:r>
      <w:r>
        <w:rPr>
          <w:rFonts w:hint="eastAsia" w:ascii="仿宋_GB2312" w:hAnsi="宋体" w:eastAsia="仿宋_GB2312" w:cs="宋体"/>
          <w:color w:val="333333"/>
          <w:kern w:val="0"/>
          <w:sz w:val="32"/>
          <w:szCs w:val="32"/>
          <w:highlight w:val="none"/>
          <w:lang w:eastAsia="zh-CN"/>
        </w:rPr>
        <w:t>退役军人事务</w:t>
      </w:r>
      <w:r>
        <w:rPr>
          <w:rFonts w:hint="eastAsia" w:ascii="仿宋_GB2312" w:hAnsi="宋体" w:eastAsia="仿宋_GB2312" w:cs="宋体"/>
          <w:color w:val="333333"/>
          <w:kern w:val="0"/>
          <w:sz w:val="32"/>
          <w:szCs w:val="32"/>
          <w:highlight w:val="none"/>
        </w:rPr>
        <w:t>局部门预算批复表</w:t>
      </w:r>
    </w:p>
    <w:p>
      <w:pPr>
        <w:spacing w:line="600" w:lineRule="exact"/>
        <w:jc w:val="left"/>
        <w:rPr>
          <w:rFonts w:ascii="仿宋_GB2312" w:eastAsia="仿宋_GB2312"/>
          <w:sz w:val="36"/>
          <w:szCs w:val="36"/>
          <w:highlight w:val="none"/>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0153"/>
    <w:rsid w:val="006D318D"/>
    <w:rsid w:val="007233F3"/>
    <w:rsid w:val="007314F8"/>
    <w:rsid w:val="00737963"/>
    <w:rsid w:val="007564FD"/>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57003"/>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BF03182"/>
    <w:rsid w:val="0FF03899"/>
    <w:rsid w:val="1D11562F"/>
    <w:rsid w:val="23446E27"/>
    <w:rsid w:val="390124EF"/>
    <w:rsid w:val="3B863138"/>
    <w:rsid w:val="3C6077A7"/>
    <w:rsid w:val="604B01CA"/>
    <w:rsid w:val="65C63716"/>
    <w:rsid w:val="6CFF5FB8"/>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482</Words>
  <Characters>2753</Characters>
  <Lines>22</Lines>
  <Paragraphs>6</Paragraphs>
  <TotalTime>21</TotalTime>
  <ScaleCrop>false</ScaleCrop>
  <LinksUpToDate>false</LinksUpToDate>
  <CharactersWithSpaces>3229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2022-01-11T08:06:00Z</cp:lastPrinted>
  <dcterms:modified xsi:type="dcterms:W3CDTF">2022-01-11T13:14:50Z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