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朝阳龙城农产品食品加工园区管理委员</w:t>
      </w:r>
      <w:r>
        <w:rPr>
          <w:rFonts w:hint="eastAsia" w:asciiTheme="majorEastAsia" w:hAnsiTheme="majorEastAsia" w:eastAsiaTheme="majorEastAsia"/>
          <w:b/>
          <w:sz w:val="52"/>
          <w:szCs w:val="52"/>
          <w:lang w:val="en-US" w:eastAsia="zh-CN"/>
        </w:rPr>
        <w:t>会</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2022年朝阳龙城农产品食品加工园区管理委员</w:t>
      </w:r>
      <w:r>
        <w:rPr>
          <w:rFonts w:hint="eastAsia" w:cs="宋体" w:asciiTheme="majorEastAsia" w:hAnsiTheme="majorEastAsia" w:eastAsiaTheme="majorEastAsia"/>
          <w:b/>
          <w:bCs/>
          <w:color w:val="333333"/>
          <w:kern w:val="36"/>
          <w:sz w:val="44"/>
          <w:szCs w:val="44"/>
          <w:lang w:eastAsia="zh-CN"/>
        </w:rPr>
        <w:t>会</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hint="eastAsia" w:ascii="黑体" w:hAnsi="黑体" w:eastAsia="黑体" w:cs="宋体"/>
          <w:bCs/>
          <w:color w:val="333333"/>
          <w:kern w:val="0"/>
          <w:sz w:val="32"/>
          <w:szCs w:val="32"/>
          <w:shd w:val="clear" w:color="auto" w:fill="FFFFFF"/>
          <w:lang w:eastAsia="zh-CN"/>
        </w:rPr>
      </w:pPr>
      <w:r>
        <w:rPr>
          <w:rFonts w:hint="eastAsia" w:ascii="黑体" w:hAnsi="黑体" w:eastAsia="黑体" w:cs="宋体"/>
          <w:bCs/>
          <w:color w:val="333333"/>
          <w:kern w:val="0"/>
          <w:sz w:val="32"/>
          <w:szCs w:val="32"/>
          <w:shd w:val="clear" w:color="auto" w:fill="FFFFFF"/>
        </w:rPr>
        <w:t xml:space="preserve">第一部分   </w:t>
      </w:r>
      <w:r>
        <w:rPr>
          <w:rFonts w:hint="eastAsia" w:ascii="黑体" w:hAnsi="黑体" w:eastAsia="黑体" w:cs="宋体"/>
          <w:bCs/>
          <w:color w:val="333333"/>
          <w:kern w:val="0"/>
          <w:sz w:val="32"/>
          <w:szCs w:val="32"/>
          <w:shd w:val="clear" w:color="auto" w:fill="FFFFFF"/>
          <w:lang w:eastAsia="zh-CN"/>
        </w:rPr>
        <w:t>朝阳龙城农产品食品加工园区管理委员会概况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第二部分    </w:t>
      </w:r>
      <w:r>
        <w:rPr>
          <w:rFonts w:hint="eastAsia" w:ascii="黑体" w:hAnsi="黑体" w:eastAsia="黑体" w:cs="宋体"/>
          <w:bCs/>
          <w:color w:val="333333"/>
          <w:kern w:val="0"/>
          <w:sz w:val="32"/>
          <w:szCs w:val="32"/>
          <w:shd w:val="clear" w:color="auto" w:fill="FFFFFF"/>
          <w:lang w:eastAsia="zh-CN"/>
        </w:rPr>
        <w:t>朝阳龙城农产品食品加工园区管理委员会</w:t>
      </w:r>
      <w:r>
        <w:rPr>
          <w:rFonts w:hint="eastAsia" w:ascii="黑体" w:hAnsi="黑体" w:eastAsia="黑体" w:cs="宋体"/>
          <w:bCs/>
          <w:color w:val="333333"/>
          <w:kern w:val="0"/>
          <w:sz w:val="32"/>
          <w:szCs w:val="32"/>
          <w:shd w:val="clear" w:color="auto" w:fill="FFFFFF"/>
        </w:rPr>
        <w:t>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w:t>
      </w:r>
      <w:r>
        <w:rPr>
          <w:rFonts w:hint="eastAsia" w:ascii="黑体" w:hAnsi="黑体" w:eastAsia="黑体" w:cs="宋体"/>
          <w:bCs/>
          <w:color w:val="333333"/>
          <w:kern w:val="0"/>
          <w:sz w:val="32"/>
          <w:szCs w:val="32"/>
          <w:lang w:eastAsia="zh-CN"/>
        </w:rPr>
        <w:t>朝阳龙城农产品食品加工园区管理委员会</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hint="eastAsia" w:cs="宋体" w:asciiTheme="majorEastAsia" w:hAnsiTheme="majorEastAsia" w:eastAsiaTheme="majorEastAsia"/>
          <w:b/>
          <w:bCs/>
          <w:color w:val="333333"/>
          <w:kern w:val="36"/>
          <w:sz w:val="44"/>
          <w:szCs w:val="44"/>
        </w:rPr>
      </w:pPr>
      <w:r>
        <w:rPr>
          <w:rFonts w:hint="eastAsia" w:ascii="黑体" w:hAnsi="黑体" w:eastAsia="黑体" w:cs="黑体"/>
          <w:color w:val="333333"/>
          <w:kern w:val="0"/>
          <w:sz w:val="36"/>
          <w:szCs w:val="36"/>
        </w:rPr>
        <w:t xml:space="preserve">第一部分 </w:t>
      </w:r>
      <w:r>
        <w:rPr>
          <w:rFonts w:hint="eastAsia" w:cs="宋体" w:asciiTheme="majorEastAsia" w:hAnsiTheme="majorEastAsia" w:eastAsiaTheme="majorEastAsia"/>
          <w:b/>
          <w:bCs/>
          <w:color w:val="333333"/>
          <w:kern w:val="36"/>
          <w:sz w:val="44"/>
          <w:szCs w:val="44"/>
        </w:rPr>
        <w:t>朝阳龙城农产品食品加工园区管理</w:t>
      </w:r>
      <w:r>
        <w:rPr>
          <w:rFonts w:hint="eastAsia" w:cs="宋体" w:asciiTheme="majorEastAsia" w:hAnsiTheme="majorEastAsia" w:eastAsiaTheme="majorEastAsia"/>
          <w:b/>
          <w:bCs/>
          <w:color w:val="333333"/>
          <w:kern w:val="36"/>
          <w:sz w:val="44"/>
          <w:szCs w:val="44"/>
          <w:lang w:eastAsia="zh-CN"/>
        </w:rPr>
        <w:t>委员会</w:t>
      </w:r>
      <w:r>
        <w:rPr>
          <w:rFonts w:hint="eastAsia" w:cs="宋体" w:asciiTheme="majorEastAsia" w:hAnsiTheme="majorEastAsia" w:eastAsiaTheme="majorEastAsia"/>
          <w:b/>
          <w:bCs/>
          <w:color w:val="333333"/>
          <w:kern w:val="36"/>
          <w:sz w:val="44"/>
          <w:szCs w:val="44"/>
        </w:rPr>
        <w:t>概况</w:t>
      </w:r>
    </w:p>
    <w:p>
      <w:pPr>
        <w:widowControl/>
        <w:spacing w:line="600" w:lineRule="exact"/>
        <w:jc w:val="center"/>
        <w:rPr>
          <w:rFonts w:ascii="宋体" w:hAnsi="宋体" w:eastAsia="宋体" w:cs="宋体"/>
          <w:color w:val="333333"/>
          <w:kern w:val="0"/>
          <w:sz w:val="32"/>
          <w:szCs w:val="32"/>
        </w:rPr>
      </w:pPr>
    </w:p>
    <w:p>
      <w:pPr>
        <w:widowControl/>
        <w:spacing w:line="500" w:lineRule="exact"/>
        <w:ind w:firstLine="643" w:firstLineChars="200"/>
        <w:jc w:val="left"/>
        <w:rPr>
          <w:rFonts w:hint="eastAsia" w:ascii="宋体" w:hAnsi="宋体" w:eastAsia="宋体" w:cs="宋体"/>
          <w:color w:val="333333"/>
          <w:kern w:val="0"/>
          <w:sz w:val="32"/>
          <w:szCs w:val="32"/>
          <w:lang w:eastAsia="zh-CN"/>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宋体" w:hAnsi="宋体" w:eastAsia="宋体" w:cs="宋体"/>
          <w:color w:val="333333"/>
          <w:kern w:val="0"/>
          <w:sz w:val="32"/>
          <w:szCs w:val="32"/>
        </w:rPr>
        <w:t xml:space="preserve">   （一） </w:t>
      </w:r>
      <w:r>
        <w:rPr>
          <w:rFonts w:hint="eastAsia" w:ascii="宋体" w:hAnsi="宋体" w:eastAsia="宋体" w:cs="宋体"/>
          <w:color w:val="333333"/>
          <w:kern w:val="0"/>
          <w:sz w:val="32"/>
          <w:szCs w:val="32"/>
          <w:lang w:eastAsia="zh-CN"/>
        </w:rPr>
        <w:t>负责贯彻落实党和国家有关发展农产品食品加工技术产业的方针、政策，执行朝阳市委、市政府及    龙城区委、区政府的决策部署、决议和规定，依法制定有关管理规章制度，并组织实施。</w:t>
      </w:r>
    </w:p>
    <w:p>
      <w:pPr>
        <w:widowControl/>
        <w:spacing w:line="500" w:lineRule="exact"/>
        <w:ind w:firstLine="640" w:firstLineChars="200"/>
        <w:jc w:val="left"/>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t>根据国家有关法律、法规和市政府授权，对区域内土地进行统一规划、管理、开发、征收，协助办理土地使用权出让、发证等工作。</w:t>
      </w:r>
    </w:p>
    <w:p>
      <w:pPr>
        <w:widowControl/>
        <w:spacing w:line="500" w:lineRule="exact"/>
        <w:ind w:firstLine="640" w:firstLineChars="200"/>
        <w:jc w:val="left"/>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t xml:space="preserve">依据总体规划和控制性详细规划，负责区域内工业项目、生产服务性项目和基础设施建设项目的立项、规划、环评、建设等审批服务工作。 </w:t>
      </w:r>
    </w:p>
    <w:p>
      <w:pPr>
        <w:widowControl/>
        <w:spacing w:line="500" w:lineRule="exact"/>
        <w:ind w:firstLine="640" w:firstLineChars="200"/>
        <w:jc w:val="left"/>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t>   完成区政府交办的其他工作事项。</w:t>
      </w:r>
    </w:p>
    <w:p>
      <w:pPr>
        <w:spacing w:line="700" w:lineRule="exact"/>
        <w:jc w:val="center"/>
        <w:rPr>
          <w:rFonts w:hint="eastAsia" w:asciiTheme="majorEastAsia" w:hAnsiTheme="majorEastAsia" w:eastAsiaTheme="majorEastAsia"/>
          <w:b/>
          <w:sz w:val="52"/>
          <w:szCs w:val="52"/>
        </w:rPr>
      </w:pPr>
    </w:p>
    <w:p>
      <w:pPr>
        <w:widowControl/>
        <w:spacing w:line="500" w:lineRule="exact"/>
        <w:ind w:firstLine="643" w:firstLineChars="200"/>
        <w:jc w:val="left"/>
        <w:rPr>
          <w:rFonts w:hint="eastAsia" w:ascii="宋体" w:hAnsi="宋体" w:eastAsia="宋体" w:cs="宋体"/>
          <w:color w:val="333333"/>
          <w:kern w:val="0"/>
          <w:sz w:val="32"/>
          <w:szCs w:val="32"/>
          <w:lang w:eastAsia="zh-CN"/>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w:t>
      </w:r>
      <w:r>
        <w:rPr>
          <w:rFonts w:hint="eastAsia" w:ascii="宋体" w:hAnsi="宋体" w:eastAsia="宋体" w:cs="宋体"/>
          <w:color w:val="333333"/>
          <w:kern w:val="0"/>
          <w:sz w:val="32"/>
          <w:szCs w:val="32"/>
          <w:lang w:eastAsia="zh-CN"/>
        </w:rPr>
        <w:t>纳入2022年部门预算编制范围的预算单位包括：</w:t>
      </w:r>
    </w:p>
    <w:p>
      <w:pPr>
        <w:widowControl/>
        <w:spacing w:line="560" w:lineRule="exact"/>
        <w:ind w:firstLine="640" w:firstLineChars="200"/>
        <w:jc w:val="left"/>
        <w:rPr>
          <w:rFonts w:hint="eastAsia" w:ascii="黑体" w:hAnsi="黑体" w:eastAsia="黑体" w:cs="黑体"/>
          <w:color w:val="333333"/>
          <w:kern w:val="0"/>
          <w:sz w:val="36"/>
          <w:szCs w:val="36"/>
          <w:lang w:eastAsia="zh-CN"/>
        </w:rPr>
      </w:pPr>
      <w:r>
        <w:rPr>
          <w:rFonts w:hint="eastAsia" w:ascii="仿宋_GB2312" w:hAnsi="宋体" w:eastAsia="仿宋_GB2312" w:cs="宋体"/>
          <w:bCs/>
          <w:color w:val="333333"/>
          <w:kern w:val="0"/>
          <w:sz w:val="32"/>
          <w:szCs w:val="32"/>
          <w:shd w:val="clear" w:color="auto" w:fill="FFFFFF"/>
        </w:rPr>
        <w:t>1、</w:t>
      </w:r>
      <w:r>
        <w:rPr>
          <w:rFonts w:hint="eastAsia" w:ascii="黑体" w:hAnsi="黑体" w:eastAsia="黑体" w:cs="黑体"/>
          <w:color w:val="333333"/>
          <w:kern w:val="0"/>
          <w:sz w:val="36"/>
          <w:szCs w:val="36"/>
          <w:lang w:eastAsia="zh-CN"/>
        </w:rPr>
        <w:t>朝阳龙城农产品食品加工园区管理委员会本级</w:t>
      </w:r>
    </w:p>
    <w:p>
      <w:pPr>
        <w:widowControl/>
        <w:spacing w:line="600" w:lineRule="exact"/>
        <w:jc w:val="left"/>
        <w:rPr>
          <w:rFonts w:ascii="宋体" w:hAnsi="宋体" w:eastAsia="宋体" w:cs="宋体"/>
          <w:color w:val="333333"/>
          <w:kern w:val="0"/>
          <w:sz w:val="36"/>
          <w:szCs w:val="36"/>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 xml:space="preserve">第二部分 </w:t>
      </w:r>
      <w:r>
        <w:rPr>
          <w:rFonts w:hint="eastAsia" w:ascii="黑体" w:hAnsi="黑体" w:eastAsia="黑体" w:cs="黑体"/>
          <w:color w:val="333333"/>
          <w:kern w:val="0"/>
          <w:sz w:val="36"/>
          <w:szCs w:val="36"/>
          <w:lang w:eastAsia="zh-CN"/>
        </w:rPr>
        <w:t>朝阳龙城农产品食品加工园区管理委员会</w:t>
      </w:r>
      <w:r>
        <w:rPr>
          <w:rFonts w:hint="eastAsia" w:ascii="黑体" w:hAnsi="黑体" w:eastAsia="黑体" w:cs="黑体"/>
          <w:color w:val="333333"/>
          <w:kern w:val="0"/>
          <w:sz w:val="36"/>
          <w:szCs w:val="36"/>
        </w:rPr>
        <w:t>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149.97</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149.97</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（二）支出预算149.97万元，包括：</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1.基本支出113.41万元；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2.项目支出36.56万元。</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在支出预算149.97万元中，债务支出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w:t>
      </w:r>
      <w:r>
        <w:rPr>
          <w:rFonts w:hint="eastAsia" w:ascii="仿宋_GB2312" w:hAnsi="仿宋_GB2312" w:eastAsia="仿宋_GB2312" w:cs="仿宋_GB2312"/>
          <w:color w:val="333333"/>
          <w:kern w:val="0"/>
          <w:sz w:val="32"/>
          <w:szCs w:val="32"/>
          <w:lang w:val="en-US" w:eastAsia="zh-CN"/>
        </w:rPr>
        <w:t>15.95</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39</w:t>
      </w:r>
      <w:r>
        <w:rPr>
          <w:rFonts w:hint="eastAsia" w:ascii="仿宋_GB2312" w:hAnsi="仿宋_GB2312" w:eastAsia="仿宋_GB2312" w:cs="仿宋_GB2312"/>
          <w:color w:val="333333"/>
          <w:kern w:val="0"/>
          <w:sz w:val="32"/>
          <w:szCs w:val="32"/>
        </w:rPr>
        <w:t>万元。主要包括办公费、、水电费</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邮电费、</w:t>
      </w:r>
      <w:r>
        <w:rPr>
          <w:rFonts w:hint="eastAsia" w:ascii="仿宋_GB2312" w:hAnsi="仿宋_GB2312" w:eastAsia="仿宋_GB2312" w:cs="仿宋_GB2312"/>
          <w:color w:val="333333"/>
          <w:kern w:val="0"/>
          <w:sz w:val="32"/>
          <w:szCs w:val="32"/>
          <w:lang w:eastAsia="zh-CN"/>
        </w:rPr>
        <w:t>取暖费、劳务费、工会经费</w:t>
      </w:r>
      <w:r>
        <w:rPr>
          <w:rFonts w:hint="eastAsia" w:ascii="仿宋_GB2312" w:hAnsi="仿宋_GB2312" w:eastAsia="仿宋_GB2312" w:cs="仿宋_GB2312"/>
          <w:color w:val="333333"/>
          <w:kern w:val="0"/>
          <w:sz w:val="32"/>
          <w:szCs w:val="32"/>
        </w:rPr>
        <w:t>、公务用车运行维护费等。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2.5</w:t>
      </w:r>
      <w:r>
        <w:rPr>
          <w:rFonts w:hint="eastAsia" w:ascii="仿宋_GB2312" w:hAnsi="仿宋_GB2312" w:eastAsia="仿宋_GB2312" w:cs="仿宋_GB2312"/>
          <w:color w:val="333333"/>
          <w:kern w:val="0"/>
          <w:sz w:val="32"/>
          <w:szCs w:val="32"/>
        </w:rPr>
        <w:t>万元，比上年增加</w:t>
      </w:r>
      <w:r>
        <w:rPr>
          <w:rFonts w:hint="eastAsia" w:ascii="仿宋_GB2312" w:hAnsi="仿宋_GB2312" w:eastAsia="仿宋_GB2312" w:cs="仿宋_GB2312"/>
          <w:color w:val="333333"/>
          <w:kern w:val="0"/>
          <w:sz w:val="32"/>
          <w:szCs w:val="32"/>
          <w:lang w:val="en-US" w:eastAsia="zh-CN"/>
        </w:rPr>
        <w:t>0.3</w:t>
      </w:r>
      <w:r>
        <w:rPr>
          <w:rFonts w:hint="eastAsia" w:ascii="仿宋_GB2312" w:hAnsi="仿宋_GB2312" w:eastAsia="仿宋_GB2312" w:cs="仿宋_GB2312"/>
          <w:color w:val="333333"/>
          <w:kern w:val="0"/>
          <w:sz w:val="32"/>
          <w:szCs w:val="32"/>
        </w:rPr>
        <w:t>万元。其中：</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2.5</w:t>
      </w:r>
      <w:r>
        <w:rPr>
          <w:rFonts w:hint="eastAsia" w:ascii="仿宋_GB2312" w:hAnsi="仿宋_GB2312" w:eastAsia="仿宋_GB2312" w:cs="仿宋_GB2312"/>
          <w:color w:val="333333"/>
          <w:kern w:val="0"/>
          <w:sz w:val="32"/>
          <w:szCs w:val="32"/>
        </w:rPr>
        <w:t>万元，比上年增加</w:t>
      </w:r>
      <w:r>
        <w:rPr>
          <w:rFonts w:hint="eastAsia" w:ascii="仿宋_GB2312" w:hAnsi="仿宋_GB2312" w:eastAsia="仿宋_GB2312" w:cs="仿宋_GB2312"/>
          <w:color w:val="333333"/>
          <w:kern w:val="0"/>
          <w:sz w:val="32"/>
          <w:szCs w:val="32"/>
          <w:lang w:val="en-US" w:eastAsia="zh-CN"/>
        </w:rPr>
        <w:t>0.3</w:t>
      </w:r>
      <w:r>
        <w:rPr>
          <w:rFonts w:hint="eastAsia" w:ascii="仿宋_GB2312" w:hAnsi="仿宋_GB2312" w:eastAsia="仿宋_GB2312" w:cs="仿宋_GB2312"/>
          <w:color w:val="333333"/>
          <w:kern w:val="0"/>
          <w:sz w:val="32"/>
          <w:szCs w:val="32"/>
        </w:rPr>
        <w:t>万元；主要原因是</w:t>
      </w:r>
      <w:r>
        <w:rPr>
          <w:rFonts w:hint="eastAsia" w:ascii="仿宋_GB2312" w:hAnsi="仿宋_GB2312" w:eastAsia="仿宋_GB2312" w:cs="仿宋_GB2312"/>
          <w:color w:val="333333"/>
          <w:kern w:val="0"/>
          <w:sz w:val="32"/>
          <w:szCs w:val="32"/>
          <w:lang w:eastAsia="zh-CN"/>
        </w:rPr>
        <w:t>汽油价格上调</w:t>
      </w:r>
      <w:r>
        <w:rPr>
          <w:rFonts w:hint="eastAsia" w:ascii="仿宋_GB2312" w:hAnsi="仿宋_GB2312" w:eastAsia="仿宋_GB2312" w:cs="仿宋_GB2312"/>
          <w:color w:val="333333"/>
          <w:kern w:val="0"/>
          <w:sz w:val="32"/>
          <w:szCs w:val="32"/>
        </w:rPr>
        <w:t>。</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2022年年初预算购置车辆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台，金额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万元，单位价值 50 万元以上的通用设备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台，单位价值 100万元以上的专用设备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台。</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六、预算绩效目标情况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5.一般公共服务（类）政府办公厅（室）及相关机构事务（款）行政运行（项）：</w:t>
      </w:r>
      <w:r>
        <w:rPr>
          <w:rFonts w:hint="eastAsia" w:ascii="仿宋_GB2312" w:hAnsi="仿宋_GB2312" w:eastAsia="仿宋_GB2312" w:cs="仿宋_GB2312"/>
          <w:color w:val="333333"/>
          <w:kern w:val="0"/>
          <w:sz w:val="32"/>
          <w:szCs w:val="32"/>
          <w:shd w:val="clear" w:color="auto" w:fill="FFFFFF"/>
          <w:lang w:eastAsia="zh-CN"/>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6</w:t>
      </w:r>
      <w:r>
        <w:rPr>
          <w:rFonts w:hint="eastAsia" w:ascii="仿宋_GB2312" w:hAnsi="仿宋_GB2312" w:eastAsia="仿宋_GB2312" w:cs="仿宋_GB2312"/>
          <w:b/>
          <w:bCs/>
          <w:color w:val="333333"/>
          <w:kern w:val="0"/>
          <w:sz w:val="32"/>
          <w:szCs w:val="32"/>
          <w:shd w:val="clear" w:color="auto" w:fill="FFFFFF"/>
        </w:rPr>
        <w:t>.社会保障和就业（类）行政事业单位离退休（款）归口管理的行政单位离退休（项）：</w:t>
      </w:r>
      <w:r>
        <w:rPr>
          <w:rFonts w:hint="eastAsia" w:ascii="仿宋_GB2312" w:hAnsi="仿宋_GB2312" w:eastAsia="仿宋_GB2312" w:cs="仿宋_GB2312"/>
          <w:color w:val="333333"/>
          <w:kern w:val="0"/>
          <w:sz w:val="32"/>
          <w:szCs w:val="32"/>
          <w:shd w:val="clear" w:color="auto" w:fill="FFFFFF"/>
          <w:lang w:eastAsia="zh-CN"/>
        </w:rPr>
        <w:t>反映机关事业单位实施养老保险制度由单位缴纳的基本养老保险费支出。</w:t>
      </w:r>
      <w:r>
        <w:rPr>
          <w:rFonts w:hint="eastAsia" w:ascii="仿宋_GB2312" w:hAnsi="仿宋_GB2312" w:eastAsia="仿宋_GB2312" w:cs="仿宋_GB2312"/>
          <w:color w:val="333333"/>
          <w:kern w:val="0"/>
          <w:sz w:val="32"/>
          <w:szCs w:val="32"/>
          <w:shd w:val="clear" w:color="auto" w:fill="FFFFFF"/>
        </w:rPr>
        <w:t xml:space="preserve">     </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7</w:t>
      </w: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8. 卫生健康支出（类）行政事业单位医疗（款）：</w:t>
      </w:r>
      <w:r>
        <w:rPr>
          <w:rFonts w:hint="eastAsia" w:ascii="仿宋_GB2312" w:hAnsi="仿宋_GB2312" w:eastAsia="仿宋_GB2312" w:cs="仿宋_GB2312"/>
          <w:color w:val="333333"/>
          <w:kern w:val="0"/>
          <w:sz w:val="32"/>
          <w:szCs w:val="32"/>
          <w:shd w:val="clear" w:color="auto" w:fill="FFFFFF"/>
          <w:lang w:val="en-US" w:eastAsia="zh-CN"/>
        </w:rPr>
        <w:t>行政单位医疗（项）：反映财政部门安排的行政单位基本医疗保险缴费经费，未参加医疗保险的行政单位的公费医疗经费，按国家规定享受离休人员、经军老战士待遇人员的医疗经费。</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bookmarkStart w:id="0" w:name="_GoBack"/>
      <w:bookmarkEnd w:id="0"/>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2022年朝阳龙城农产品食品加工园区管理委员会部门预算批复表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2022年朝阳龙城农产品食品加工园区管理委员会预算批复表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2DA0536"/>
    <w:rsid w:val="049B1BEE"/>
    <w:rsid w:val="05645DD5"/>
    <w:rsid w:val="06B71561"/>
    <w:rsid w:val="09B51FAC"/>
    <w:rsid w:val="0A7236B5"/>
    <w:rsid w:val="0A8814DD"/>
    <w:rsid w:val="0C370D87"/>
    <w:rsid w:val="0C8E4FDD"/>
    <w:rsid w:val="0FF03899"/>
    <w:rsid w:val="11E4475A"/>
    <w:rsid w:val="11FA5C5C"/>
    <w:rsid w:val="17D77A7D"/>
    <w:rsid w:val="19C31DA8"/>
    <w:rsid w:val="1A5906AF"/>
    <w:rsid w:val="1A943933"/>
    <w:rsid w:val="1ACB6E64"/>
    <w:rsid w:val="1D11562F"/>
    <w:rsid w:val="1DC67824"/>
    <w:rsid w:val="234041CC"/>
    <w:rsid w:val="23446E27"/>
    <w:rsid w:val="23B21838"/>
    <w:rsid w:val="248D4D9D"/>
    <w:rsid w:val="260727D5"/>
    <w:rsid w:val="26FE003E"/>
    <w:rsid w:val="27B269F5"/>
    <w:rsid w:val="2B3F1304"/>
    <w:rsid w:val="2B9A0E5F"/>
    <w:rsid w:val="2C100067"/>
    <w:rsid w:val="2D340315"/>
    <w:rsid w:val="2DC460A2"/>
    <w:rsid w:val="2E1C74BD"/>
    <w:rsid w:val="2E803412"/>
    <w:rsid w:val="31650167"/>
    <w:rsid w:val="31A81525"/>
    <w:rsid w:val="33365627"/>
    <w:rsid w:val="353F3A56"/>
    <w:rsid w:val="3BF146A2"/>
    <w:rsid w:val="3C6077A7"/>
    <w:rsid w:val="3D797580"/>
    <w:rsid w:val="400718BA"/>
    <w:rsid w:val="49677E2E"/>
    <w:rsid w:val="4C7756D1"/>
    <w:rsid w:val="564D7444"/>
    <w:rsid w:val="565F3DA6"/>
    <w:rsid w:val="56FE2101"/>
    <w:rsid w:val="58765513"/>
    <w:rsid w:val="5B180E76"/>
    <w:rsid w:val="5BEE28A9"/>
    <w:rsid w:val="5E5A1BC4"/>
    <w:rsid w:val="5E5A6ED2"/>
    <w:rsid w:val="5FF554C0"/>
    <w:rsid w:val="604B01CA"/>
    <w:rsid w:val="60936B26"/>
    <w:rsid w:val="62F26C86"/>
    <w:rsid w:val="65C63716"/>
    <w:rsid w:val="6B1D005F"/>
    <w:rsid w:val="6B2A05E2"/>
    <w:rsid w:val="6D056FFD"/>
    <w:rsid w:val="6D3C7735"/>
    <w:rsid w:val="6E364F94"/>
    <w:rsid w:val="6E5B298D"/>
    <w:rsid w:val="6EBE3907"/>
    <w:rsid w:val="6F5B06DA"/>
    <w:rsid w:val="6F5E0C47"/>
    <w:rsid w:val="701F4FF2"/>
    <w:rsid w:val="7231619E"/>
    <w:rsid w:val="723B31C2"/>
    <w:rsid w:val="74A4077F"/>
    <w:rsid w:val="77FA3017"/>
    <w:rsid w:val="790B3089"/>
    <w:rsid w:val="79130744"/>
    <w:rsid w:val="79615874"/>
    <w:rsid w:val="7A9C3D59"/>
    <w:rsid w:val="7DBB4142"/>
    <w:rsid w:val="7F9B21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2104</Words>
  <Characters>2217</Characters>
  <Lines>15</Lines>
  <Paragraphs>4</Paragraphs>
  <TotalTime>2</TotalTime>
  <ScaleCrop>false</ScaleCrop>
  <LinksUpToDate>false</LinksUpToDate>
  <CharactersWithSpaces>2289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朝阳</cp:lastModifiedBy>
  <cp:lastPrinted>2022-01-13T01:41:45Z</cp:lastPrinted>
  <dcterms:modified xsi:type="dcterms:W3CDTF">2022-01-13T01:42:07Z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