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700" w:lineRule="exact"/>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龙城区大平房镇部门预算</w:t>
      </w:r>
    </w:p>
    <w:p>
      <w:pPr>
        <w:spacing w:line="700" w:lineRule="exact"/>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（2022年）</w:t>
      </w:r>
    </w:p>
    <w:p>
      <w:pPr>
        <w:spacing w:line="600" w:lineRule="exact"/>
        <w:jc w:val="left"/>
        <w:rPr>
          <w:rFonts w:ascii="Times New Roman" w:hAnsi="Times New Roman" w:eastAsia="宋体"/>
          <w:b/>
          <w:sz w:val="52"/>
          <w:szCs w:val="52"/>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widowControl/>
        <w:spacing w:line="600" w:lineRule="exact"/>
        <w:outlineLvl w:val="0"/>
        <w:rPr>
          <w:rFonts w:cs="宋体" w:asciiTheme="majorEastAsia" w:hAnsiTheme="majorEastAsia" w:eastAsiaTheme="majorEastAsia"/>
          <w:b/>
          <w:bCs/>
          <w:color w:val="333333"/>
          <w:kern w:val="36"/>
          <w:sz w:val="44"/>
          <w:szCs w:val="44"/>
        </w:rPr>
        <w:sectPr>
          <w:pgSz w:w="11906" w:h="16838"/>
          <w:pgMar w:top="1701" w:right="1418" w:bottom="1701" w:left="1701" w:header="851" w:footer="992" w:gutter="0"/>
          <w:cols w:space="425" w:num="1"/>
          <w:docGrid w:type="lines" w:linePitch="312" w:charSpace="0"/>
        </w:sectPr>
      </w:pPr>
    </w:p>
    <w:p>
      <w:pPr>
        <w:widowControl/>
        <w:spacing w:line="600" w:lineRule="exact"/>
        <w:jc w:val="center"/>
        <w:outlineLvl w:val="0"/>
        <w:rPr>
          <w:rFonts w:cs="宋体" w:asciiTheme="majorEastAsia" w:hAnsiTheme="majorEastAsia" w:eastAsiaTheme="majorEastAsia"/>
          <w:b/>
          <w:bCs/>
          <w:color w:val="333333"/>
          <w:kern w:val="36"/>
          <w:sz w:val="44"/>
          <w:szCs w:val="44"/>
        </w:rPr>
      </w:pPr>
      <w:r>
        <w:rPr>
          <w:rFonts w:hint="eastAsia" w:cs="宋体" w:asciiTheme="majorEastAsia" w:hAnsiTheme="majorEastAsia" w:eastAsiaTheme="majorEastAsia"/>
          <w:b/>
          <w:bCs/>
          <w:color w:val="333333"/>
          <w:kern w:val="36"/>
          <w:sz w:val="44"/>
          <w:szCs w:val="44"/>
        </w:rPr>
        <w:t>2022年龙城区大平房镇部门预算</w:t>
      </w:r>
    </w:p>
    <w:p>
      <w:pPr>
        <w:widowControl/>
        <w:spacing w:line="300" w:lineRule="exact"/>
        <w:jc w:val="center"/>
        <w:outlineLvl w:val="0"/>
        <w:rPr>
          <w:rFonts w:cs="宋体" w:asciiTheme="majorEastAsia" w:hAnsiTheme="majorEastAsia" w:eastAsiaTheme="majorEastAsia"/>
          <w:b/>
          <w:bCs/>
          <w:color w:val="333333"/>
          <w:kern w:val="36"/>
          <w:sz w:val="44"/>
          <w:szCs w:val="44"/>
        </w:rPr>
      </w:pPr>
    </w:p>
    <w:p>
      <w:pPr>
        <w:widowControl/>
        <w:spacing w:line="600" w:lineRule="exact"/>
        <w:jc w:val="center"/>
        <w:rPr>
          <w:rFonts w:cs="宋体" w:asciiTheme="majorEastAsia" w:hAnsiTheme="majorEastAsia" w:eastAsiaTheme="majorEastAsia"/>
          <w:b/>
          <w:bCs/>
          <w:color w:val="333333"/>
          <w:kern w:val="0"/>
          <w:sz w:val="36"/>
          <w:szCs w:val="36"/>
        </w:rPr>
      </w:pPr>
      <w:r>
        <w:rPr>
          <w:rFonts w:hint="eastAsia" w:cs="宋体" w:asciiTheme="majorEastAsia" w:hAnsiTheme="majorEastAsia" w:eastAsiaTheme="majorEastAsia"/>
          <w:b/>
          <w:bCs/>
          <w:color w:val="333333"/>
          <w:kern w:val="0"/>
          <w:sz w:val="36"/>
          <w:szCs w:val="36"/>
        </w:rPr>
        <w:t>目    录</w:t>
      </w:r>
    </w:p>
    <w:p>
      <w:pPr>
        <w:widowControl/>
        <w:spacing w:line="300" w:lineRule="exact"/>
        <w:jc w:val="center"/>
        <w:rPr>
          <w:rFonts w:cs="宋体" w:asciiTheme="majorEastAsia" w:hAnsiTheme="majorEastAsia" w:eastAsiaTheme="majorEastAsia"/>
          <w:b/>
          <w:bCs/>
          <w:color w:val="333333"/>
          <w:kern w:val="0"/>
          <w:sz w:val="36"/>
          <w:szCs w:val="36"/>
        </w:rPr>
      </w:pPr>
    </w:p>
    <w:p>
      <w:pPr>
        <w:widowControl/>
        <w:spacing w:line="500" w:lineRule="exact"/>
        <w:jc w:val="left"/>
        <w:rPr>
          <w:rFonts w:ascii="宋体" w:hAnsi="宋体" w:eastAsia="宋体" w:cs="宋体"/>
          <w:bCs/>
          <w:color w:val="333333"/>
          <w:kern w:val="0"/>
          <w:sz w:val="32"/>
          <w:szCs w:val="32"/>
          <w:shd w:val="clear" w:color="auto" w:fill="FFFFFF"/>
        </w:rPr>
      </w:pPr>
      <w:r>
        <w:rPr>
          <w:rFonts w:hint="eastAsia" w:ascii="黑体" w:hAnsi="黑体" w:eastAsia="黑体" w:cs="宋体"/>
          <w:bCs/>
          <w:color w:val="333333"/>
          <w:kern w:val="0"/>
          <w:sz w:val="32"/>
          <w:szCs w:val="32"/>
          <w:shd w:val="clear" w:color="auto" w:fill="FFFFFF"/>
        </w:rPr>
        <w:t>第一部分   龙城区大平房镇概况</w:t>
      </w:r>
    </w:p>
    <w:p>
      <w:pPr>
        <w:widowControl/>
        <w:spacing w:line="500" w:lineRule="exact"/>
        <w:ind w:firstLine="640" w:firstLineChars="200"/>
        <w:jc w:val="left"/>
        <w:rPr>
          <w:rFonts w:ascii="宋体" w:hAnsi="宋体" w:eastAsia="宋体" w:cs="宋体"/>
          <w:bCs/>
          <w:color w:val="333333"/>
          <w:kern w:val="0"/>
          <w:sz w:val="32"/>
          <w:szCs w:val="32"/>
          <w:shd w:val="clear" w:color="auto" w:fill="FFFFFF"/>
        </w:rPr>
      </w:pPr>
      <w:r>
        <w:rPr>
          <w:rFonts w:hint="eastAsia" w:ascii="宋体" w:hAnsi="宋体" w:eastAsia="宋体" w:cs="宋体"/>
          <w:bCs/>
          <w:color w:val="333333"/>
          <w:kern w:val="0"/>
          <w:sz w:val="32"/>
          <w:szCs w:val="32"/>
          <w:shd w:val="clear" w:color="auto" w:fill="FFFFFF"/>
        </w:rPr>
        <w:t>一、主要职责</w:t>
      </w:r>
    </w:p>
    <w:p>
      <w:pPr>
        <w:widowControl/>
        <w:spacing w:line="500" w:lineRule="exact"/>
        <w:ind w:firstLine="640" w:firstLineChars="200"/>
        <w:jc w:val="left"/>
        <w:rPr>
          <w:rFonts w:ascii="宋体" w:hAnsi="宋体" w:eastAsia="宋体" w:cs="宋体"/>
          <w:bCs/>
          <w:color w:val="333333"/>
          <w:kern w:val="0"/>
          <w:sz w:val="32"/>
          <w:szCs w:val="32"/>
          <w:shd w:val="clear" w:color="auto" w:fill="FFFFFF"/>
        </w:rPr>
      </w:pPr>
      <w:r>
        <w:rPr>
          <w:rFonts w:hint="eastAsia" w:ascii="宋体" w:hAnsi="宋体" w:eastAsia="宋体" w:cs="宋体"/>
          <w:bCs/>
          <w:color w:val="333333"/>
          <w:kern w:val="0"/>
          <w:sz w:val="32"/>
          <w:szCs w:val="32"/>
          <w:shd w:val="clear" w:color="auto" w:fill="FFFFFF"/>
        </w:rPr>
        <w:t>二、部门预算单位构成</w:t>
      </w:r>
    </w:p>
    <w:p>
      <w:pPr>
        <w:widowControl/>
        <w:spacing w:line="500" w:lineRule="exact"/>
        <w:jc w:val="left"/>
        <w:rPr>
          <w:rFonts w:ascii="黑体" w:hAnsi="黑体" w:eastAsia="黑体" w:cs="宋体"/>
          <w:bCs/>
          <w:color w:val="333333"/>
          <w:kern w:val="0"/>
          <w:sz w:val="32"/>
          <w:szCs w:val="32"/>
        </w:rPr>
      </w:pPr>
      <w:r>
        <w:rPr>
          <w:rFonts w:hint="eastAsia" w:ascii="黑体" w:hAnsi="黑体" w:eastAsia="黑体" w:cs="宋体"/>
          <w:bCs/>
          <w:color w:val="333333"/>
          <w:kern w:val="0"/>
          <w:sz w:val="32"/>
          <w:szCs w:val="32"/>
          <w:shd w:val="clear" w:color="auto" w:fill="FFFFFF"/>
        </w:rPr>
        <w:t>第二部分    龙城区大平房镇2022年部门预算情况说明</w:t>
      </w:r>
    </w:p>
    <w:p>
      <w:pPr>
        <w:widowControl/>
        <w:spacing w:line="500" w:lineRule="exact"/>
        <w:jc w:val="left"/>
        <w:rPr>
          <w:rFonts w:ascii="黑体" w:hAnsi="黑体" w:eastAsia="黑体" w:cs="宋体"/>
          <w:bCs/>
          <w:color w:val="333333"/>
          <w:kern w:val="0"/>
          <w:sz w:val="32"/>
          <w:szCs w:val="32"/>
          <w:shd w:val="clear" w:color="auto" w:fill="FFFFFF"/>
        </w:rPr>
      </w:pPr>
      <w:r>
        <w:rPr>
          <w:rFonts w:hint="eastAsia" w:ascii="黑体" w:hAnsi="黑体" w:eastAsia="黑体" w:cs="宋体"/>
          <w:bCs/>
          <w:color w:val="333333"/>
          <w:kern w:val="0"/>
          <w:sz w:val="32"/>
          <w:szCs w:val="32"/>
          <w:shd w:val="clear" w:color="auto" w:fill="FFFFFF"/>
        </w:rPr>
        <w:t>第三部分    名词解释</w:t>
      </w:r>
    </w:p>
    <w:p>
      <w:pPr>
        <w:widowControl/>
        <w:spacing w:line="500" w:lineRule="exact"/>
        <w:jc w:val="left"/>
        <w:rPr>
          <w:rFonts w:ascii="黑体" w:hAnsi="黑体" w:eastAsia="黑体" w:cs="宋体"/>
          <w:bCs/>
          <w:color w:val="333333"/>
          <w:kern w:val="0"/>
          <w:sz w:val="32"/>
          <w:szCs w:val="32"/>
        </w:rPr>
      </w:pPr>
      <w:r>
        <w:rPr>
          <w:rFonts w:hint="eastAsia" w:ascii="黑体" w:hAnsi="黑体" w:eastAsia="黑体" w:cs="宋体"/>
          <w:bCs/>
          <w:color w:val="333333"/>
          <w:kern w:val="0"/>
          <w:sz w:val="32"/>
          <w:szCs w:val="32"/>
          <w:shd w:val="clear" w:color="auto" w:fill="FFFFFF"/>
        </w:rPr>
        <w:t xml:space="preserve">第四部分    </w:t>
      </w:r>
      <w:r>
        <w:rPr>
          <w:rFonts w:hint="eastAsia" w:ascii="黑体" w:hAnsi="黑体" w:eastAsia="黑体" w:cs="宋体"/>
          <w:bCs/>
          <w:color w:val="333333"/>
          <w:kern w:val="0"/>
          <w:sz w:val="32"/>
          <w:szCs w:val="32"/>
        </w:rPr>
        <w:t>2022年龙城区大平房镇部门预算批复表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一、收支预算总表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二、收入预算总表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三、支出预算总表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四、财政拨款收支预算总表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五、一般公共预算支出表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六、一般公共预算基本支出表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七、一般公共预算“三公”经费支出表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八、政府性基金预算支出表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九、项目支出预算表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十、支出功能分类预算表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十一、支出经济分类预算表（政府预算）</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十二、支出经济分类预算表（部门预算）</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十三、债务支出预算表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十四、政府采购支出预算表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十五、政府购买服务支出预算表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十六、部门（单位）整体绩效目标表</w:t>
      </w:r>
    </w:p>
    <w:p>
      <w:pPr>
        <w:widowControl/>
        <w:spacing w:line="500" w:lineRule="exact"/>
        <w:ind w:firstLine="640" w:firstLineChars="200"/>
        <w:jc w:val="left"/>
        <w:rPr>
          <w:rFonts w:ascii="宋体" w:hAnsi="宋体" w:eastAsia="宋体" w:cs="宋体"/>
          <w:color w:val="333333"/>
          <w:kern w:val="0"/>
          <w:sz w:val="32"/>
          <w:szCs w:val="32"/>
          <w:shd w:val="clear" w:color="auto" w:fill="FFFFFF"/>
        </w:rPr>
      </w:pPr>
      <w:r>
        <w:rPr>
          <w:rFonts w:hint="eastAsia" w:ascii="宋体" w:hAnsi="宋体" w:eastAsia="宋体" w:cs="宋体"/>
          <w:color w:val="333333"/>
          <w:kern w:val="0"/>
          <w:sz w:val="32"/>
          <w:szCs w:val="32"/>
        </w:rPr>
        <w:t>十七、部门预算项目（政策）绩效目标表</w:t>
      </w: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第一部分 龙城区大平房镇概况</w:t>
      </w:r>
    </w:p>
    <w:p>
      <w:pPr>
        <w:widowControl/>
        <w:spacing w:line="600" w:lineRule="exact"/>
        <w:jc w:val="center"/>
        <w:rPr>
          <w:rFonts w:ascii="宋体" w:hAnsi="宋体" w:eastAsia="宋体" w:cs="宋体"/>
          <w:color w:val="333333"/>
          <w:kern w:val="0"/>
          <w:sz w:val="32"/>
          <w:szCs w:val="32"/>
        </w:rPr>
      </w:pPr>
    </w:p>
    <w:p>
      <w:pPr>
        <w:rPr>
          <w:rFonts w:ascii="仿宋_GB2312" w:hAnsi="仿宋_GB2312" w:eastAsia="仿宋_GB2312" w:cs="仿宋_GB2312"/>
          <w:color w:val="333333"/>
          <w:kern w:val="0"/>
          <w:sz w:val="32"/>
          <w:szCs w:val="32"/>
          <w:shd w:val="clear" w:color="auto" w:fill="FFFFFF"/>
        </w:rPr>
      </w:pPr>
      <w:r>
        <w:rPr>
          <w:rFonts w:hint="eastAsia" w:ascii="楷体_GB2312" w:hAnsi="楷体_GB2312" w:eastAsia="楷体_GB2312" w:cs="楷体_GB2312"/>
          <w:b/>
          <w:color w:val="333333"/>
          <w:kern w:val="0"/>
          <w:sz w:val="32"/>
          <w:szCs w:val="32"/>
          <w:shd w:val="clear" w:color="auto" w:fill="FFFFFF"/>
        </w:rPr>
        <w:t xml:space="preserve">    一、主要职责</w:t>
      </w:r>
    </w:p>
    <w:p>
      <w:pPr>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一）制定和组织实施经济、科技和社会发展计划，制定资源开发技术改造和产业结构调整，组织指导好各业生产，搞好商品流通，协调好本镇与外地区的经济交流与合作，抓好招商引资，人才引进项目开发，不断培育市场体系，组织经济运行，促进经济发展。</w:t>
      </w:r>
    </w:p>
    <w:p>
      <w:pPr>
        <w:ind w:firstLine="320" w:firstLineChars="100"/>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（二）制定并组织实施村镇乡村振兴建设规划，部署重点工程建设，地方道路建设及公共设施，水利设施的管理，负责土地、林木、水等自然资源和生态环境的保护，做好护林防火工作。</w:t>
      </w:r>
    </w:p>
    <w:p>
      <w:pPr>
        <w:ind w:firstLine="320" w:firstLineChars="100"/>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三）负责本行政区域内的民政、计划生育、文化教育、卫生、体育等社会公益事业的综合性工作，维护一切经济单位和个人的正当经济权益，取缔非法经济活动，调解和处理民事纠纷，打击刑事犯罪维护社会稳定。</w:t>
      </w:r>
    </w:p>
    <w:p>
      <w:pPr>
        <w:ind w:firstLine="320" w:firstLineChars="100"/>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（四）按计划组织本级财政收入和地方税的征收，完成国家财政计划，不断培植税源，管好财政资金，增强财政实力。</w:t>
      </w:r>
    </w:p>
    <w:p>
      <w:pPr>
        <w:ind w:firstLine="320" w:firstLineChars="100"/>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（五）抓好精神文明建设，丰富群众文化生活，提倡移风易俗，反对封建迷信，破除陈规陋习，树立社会主义新风尚。</w:t>
      </w:r>
    </w:p>
    <w:p>
      <w:pPr>
        <w:widowControl/>
        <w:spacing w:line="560" w:lineRule="exact"/>
        <w:jc w:val="left"/>
        <w:rPr>
          <w:rFonts w:ascii="仿宋_GB2312" w:hAnsi="宋体" w:eastAsia="仿宋_GB2312" w:cs="宋体"/>
          <w:bCs/>
          <w:color w:val="333333"/>
          <w:kern w:val="0"/>
          <w:sz w:val="32"/>
          <w:szCs w:val="32"/>
          <w:shd w:val="clear" w:color="auto" w:fill="FFFFFF"/>
        </w:rPr>
      </w:pPr>
      <w:r>
        <w:rPr>
          <w:rFonts w:hint="eastAsia" w:ascii="楷体_GB2312" w:hAnsi="楷体_GB2312" w:eastAsia="楷体_GB2312" w:cs="楷体_GB2312"/>
          <w:b/>
          <w:color w:val="333333"/>
          <w:kern w:val="0"/>
          <w:sz w:val="32"/>
          <w:szCs w:val="32"/>
          <w:shd w:val="clear" w:color="auto" w:fill="FFFFFF"/>
        </w:rPr>
        <w:t xml:space="preserve">    二、部门预算单位构成</w:t>
      </w:r>
      <w:r>
        <w:rPr>
          <w:rFonts w:hint="eastAsia" w:ascii="宋体" w:hAnsi="宋体" w:eastAsia="宋体" w:cs="宋体"/>
          <w:color w:val="333333"/>
          <w:kern w:val="0"/>
          <w:sz w:val="32"/>
          <w:szCs w:val="32"/>
        </w:rPr>
        <w:br w:type="textWrapping"/>
      </w:r>
      <w:r>
        <w:rPr>
          <w:rFonts w:hint="eastAsia" w:ascii="仿宋_GB2312" w:hAnsi="宋体" w:eastAsia="仿宋_GB2312" w:cs="宋体"/>
          <w:bCs/>
          <w:color w:val="333333"/>
          <w:kern w:val="0"/>
          <w:sz w:val="32"/>
          <w:szCs w:val="32"/>
          <w:shd w:val="clear" w:color="auto" w:fill="FFFFFF"/>
        </w:rPr>
        <w:t xml:space="preserve">    纳入2022年部门预算编制范围的预算单位包括：</w:t>
      </w:r>
    </w:p>
    <w:p>
      <w:pPr>
        <w:widowControl/>
        <w:spacing w:line="560" w:lineRule="exact"/>
        <w:ind w:firstLine="640" w:firstLineChars="200"/>
        <w:jc w:val="left"/>
        <w:rPr>
          <w:rFonts w:ascii="仿宋_GB2312" w:hAnsi="宋体" w:eastAsia="仿宋_GB2312" w:cs="宋体"/>
          <w:bCs/>
          <w:color w:val="333333"/>
          <w:kern w:val="0"/>
          <w:sz w:val="32"/>
          <w:szCs w:val="32"/>
          <w:shd w:val="clear" w:color="auto" w:fill="FFFFFF"/>
        </w:rPr>
      </w:pPr>
      <w:r>
        <w:rPr>
          <w:rFonts w:hint="eastAsia" w:ascii="仿宋_GB2312" w:hAnsi="宋体" w:eastAsia="仿宋_GB2312" w:cs="宋体"/>
          <w:bCs/>
          <w:color w:val="333333"/>
          <w:kern w:val="0"/>
          <w:sz w:val="32"/>
          <w:szCs w:val="32"/>
          <w:shd w:val="clear" w:color="auto" w:fill="FFFFFF"/>
        </w:rPr>
        <w:t>1、龙城区大平房镇本级</w:t>
      </w:r>
    </w:p>
    <w:p>
      <w:pPr>
        <w:widowControl/>
        <w:spacing w:line="560" w:lineRule="exact"/>
        <w:ind w:firstLine="640"/>
        <w:jc w:val="left"/>
        <w:rPr>
          <w:rFonts w:ascii="仿宋_GB2312" w:hAnsi="宋体" w:eastAsia="仿宋_GB2312" w:cs="宋体"/>
          <w:bCs/>
          <w:color w:val="333333"/>
          <w:kern w:val="0"/>
          <w:sz w:val="32"/>
          <w:szCs w:val="32"/>
          <w:shd w:val="clear" w:color="auto" w:fill="FFFFFF"/>
        </w:rPr>
      </w:pPr>
      <w:r>
        <w:rPr>
          <w:rFonts w:hint="eastAsia" w:ascii="仿宋_GB2312" w:hAnsi="宋体" w:eastAsia="仿宋_GB2312" w:cs="宋体"/>
          <w:bCs/>
          <w:color w:val="333333"/>
          <w:kern w:val="0"/>
          <w:sz w:val="32"/>
          <w:szCs w:val="32"/>
          <w:shd w:val="clear" w:color="auto" w:fill="FFFFFF"/>
        </w:rPr>
        <w:t>2、朝阳市第二十四中学</w:t>
      </w:r>
    </w:p>
    <w:p>
      <w:pPr>
        <w:widowControl/>
        <w:spacing w:line="560" w:lineRule="exact"/>
        <w:ind w:firstLine="640"/>
        <w:jc w:val="left"/>
        <w:rPr>
          <w:rFonts w:ascii="仿宋_GB2312" w:hAnsi="宋体" w:eastAsia="仿宋_GB2312" w:cs="宋体"/>
          <w:bCs/>
          <w:color w:val="333333"/>
          <w:kern w:val="0"/>
          <w:sz w:val="32"/>
          <w:szCs w:val="32"/>
          <w:shd w:val="clear" w:color="auto" w:fill="FFFFFF"/>
        </w:rPr>
      </w:pPr>
      <w:r>
        <w:rPr>
          <w:rFonts w:hint="eastAsia" w:ascii="仿宋_GB2312" w:hAnsi="宋体" w:eastAsia="仿宋_GB2312" w:cs="宋体"/>
          <w:bCs/>
          <w:color w:val="333333"/>
          <w:kern w:val="0"/>
          <w:sz w:val="32"/>
          <w:szCs w:val="32"/>
          <w:shd w:val="clear" w:color="auto" w:fill="FFFFFF"/>
        </w:rPr>
        <w:t>3、大平房中心小学</w:t>
      </w: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kern w:val="0"/>
          <w:sz w:val="36"/>
          <w:szCs w:val="36"/>
        </w:rPr>
      </w:pPr>
    </w:p>
    <w:p>
      <w:pPr>
        <w:widowControl/>
        <w:spacing w:line="600" w:lineRule="exact"/>
        <w:jc w:val="left"/>
        <w:rPr>
          <w:rFonts w:ascii="宋体" w:hAnsi="宋体" w:eastAsia="宋体" w:cs="宋体"/>
          <w:kern w:val="0"/>
          <w:sz w:val="36"/>
          <w:szCs w:val="36"/>
        </w:rPr>
      </w:pP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第二部分 龙城区大平房镇2022年部门预算情况说明</w:t>
      </w:r>
    </w:p>
    <w:p>
      <w:pPr>
        <w:widowControl/>
        <w:spacing w:line="560" w:lineRule="exact"/>
        <w:ind w:firstLine="720" w:firstLineChars="200"/>
        <w:jc w:val="left"/>
        <w:rPr>
          <w:rFonts w:ascii="宋体" w:hAnsi="宋体" w:eastAsia="宋体" w:cs="宋体"/>
          <w:color w:val="333333"/>
          <w:kern w:val="0"/>
          <w:sz w:val="36"/>
          <w:szCs w:val="36"/>
        </w:rPr>
      </w:pPr>
    </w:p>
    <w:p>
      <w:pPr>
        <w:widowControl/>
        <w:spacing w:line="600" w:lineRule="exact"/>
        <w:jc w:val="left"/>
        <w:rPr>
          <w:rFonts w:ascii="宋体" w:hAnsi="宋体" w:eastAsia="宋体" w:cs="宋体"/>
          <w:color w:val="333333"/>
          <w:kern w:val="0"/>
          <w:sz w:val="32"/>
          <w:szCs w:val="32"/>
        </w:rPr>
      </w:pPr>
      <w:r>
        <w:rPr>
          <w:rFonts w:hint="eastAsia" w:ascii="楷体_GB2312" w:hAnsi="楷体_GB2312" w:eastAsia="楷体_GB2312" w:cs="楷体_GB2312"/>
          <w:b/>
          <w:bCs/>
          <w:color w:val="333333"/>
          <w:kern w:val="0"/>
          <w:sz w:val="32"/>
          <w:szCs w:val="32"/>
        </w:rPr>
        <w:t xml:space="preserve">    一、收支预算的总体情况</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按照综合预算的原则，2022 年所有收入和支出均纳入部门预算管理。其中：</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（一）收入</w:t>
      </w:r>
      <w:r>
        <w:rPr>
          <w:rFonts w:hint="eastAsia" w:ascii="仿宋_GB2312" w:hAnsi="仿宋_GB2312" w:eastAsia="仿宋_GB2312" w:cs="仿宋_GB2312"/>
          <w:color w:val="333333"/>
          <w:kern w:val="0"/>
          <w:sz w:val="32"/>
          <w:szCs w:val="32"/>
          <w:lang w:val="en-US" w:eastAsia="zh-CN"/>
        </w:rPr>
        <w:t>2586.43万元</w:t>
      </w:r>
      <w:r>
        <w:rPr>
          <w:rFonts w:hint="eastAsia" w:ascii="仿宋_GB2312" w:hAnsi="仿宋_GB2312" w:eastAsia="仿宋_GB2312" w:cs="仿宋_GB2312"/>
          <w:color w:val="333333"/>
          <w:kern w:val="0"/>
          <w:sz w:val="32"/>
          <w:szCs w:val="32"/>
        </w:rPr>
        <w:t>，包括：</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1.一般公共预算拨款收入2586.43万元；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2.政府性基金预算拨款收入0万元；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3.国有资本经营预算拨款收入0万元；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4.财政专户管理资金收入0万元；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5.单位资金收入0万元；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6.上年结转结余0万元。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（二）支出预算2586.43万元，包括：</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1.基本支出2372.67万元；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2.项目支出213.76万元。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在支出预算2586.43万元中，债务支出0万元，政府采购支出0万元，政府购买服务支出0万元。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2022年预算收支比 2021 年减少703.57万元。</w:t>
      </w:r>
    </w:p>
    <w:p>
      <w:pPr>
        <w:widowControl/>
        <w:spacing w:line="60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二、机关运行经费安排情况</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2022年机关运行经费预算为91.29万元。主要包括办公费、邮电费、取暖费、差旅费、会议费、电费、公务用车运行维护费、维修（护）费、公务接待费、专用材料费、劳务费、工会经费、其他商品和服务支出等。</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三、政府采购情况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2022年预算无政府采购项目。</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四、 “三公”经费预算情况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按照中央及省委、省政府关于厉行节约、改进工作作风、密切联系群众“八项规定”等有关要求，严格控制“三公”经费支出，压减公务接待费和公务用车购置及运行费。一般公共预算安排的“三公”经费预算数9万元，与去年持平。</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其中：</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因公出国（境）费0万元，与上年持平。</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公务接待费1万元，与去年持平；</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公务用车运行费8万元，与去年持平</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五、国有资产占用情况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2022年年初预算购置车辆 0台，金额 0万元，单位价值 50 万元以上的通用设备 0台，单位价值 100万元以上的专用设备 0台。</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六、预算绩效目标情况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根据预算绩效管理要求，2022年应编制部门（单位）整体绩效目标共3个，实际编制部门（单位）整体绩效目标共3个，编制部门（单位）整体绩效目标覆盖率（实际编制绩效目标的数量/应编制绩效目标的数量）为100%。应编制绩效目标的特定目标类项目共2个，实际编制绩效目标的特定目标类项目共 2个,涉及资金213.76万元，编制特定目标的项目覆盖率（实际编制绩效目标的数量/应编制绩效目标的数量）为100%。</w:t>
      </w: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第三部分 名词解释</w:t>
      </w:r>
    </w:p>
    <w:p>
      <w:pPr>
        <w:widowControl/>
        <w:spacing w:line="600" w:lineRule="exact"/>
        <w:jc w:val="center"/>
        <w:rPr>
          <w:rFonts w:ascii="宋体" w:hAnsi="宋体" w:eastAsia="宋体" w:cs="宋体"/>
          <w:color w:val="333333"/>
          <w:kern w:val="0"/>
          <w:sz w:val="36"/>
          <w:szCs w:val="36"/>
        </w:rPr>
      </w:pP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1.一般公共预算拨款收入：</w:t>
      </w:r>
      <w:r>
        <w:rPr>
          <w:rFonts w:hint="eastAsia" w:ascii="仿宋_GB2312" w:hAnsi="仿宋_GB2312" w:eastAsia="仿宋_GB2312" w:cs="仿宋_GB2312"/>
          <w:color w:val="333333"/>
          <w:kern w:val="0"/>
          <w:sz w:val="32"/>
          <w:szCs w:val="32"/>
          <w:shd w:val="clear" w:color="auto" w:fill="FFFFFF"/>
        </w:rPr>
        <w:t>指区级财政当年拨付的资金。</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2.基本支出：</w:t>
      </w:r>
      <w:r>
        <w:rPr>
          <w:rFonts w:hint="eastAsia" w:ascii="仿宋_GB2312" w:hAnsi="仿宋_GB2312" w:eastAsia="仿宋_GB2312" w:cs="仿宋_GB2312"/>
          <w:color w:val="333333"/>
          <w:kern w:val="0"/>
          <w:sz w:val="32"/>
          <w:szCs w:val="32"/>
          <w:shd w:val="clear" w:color="auto" w:fill="FFFFFF"/>
        </w:rPr>
        <w:t>指保障机构正常运转、完成日常工作任务而发生的人员经费和公用经费。</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3.项目支出：</w:t>
      </w:r>
      <w:r>
        <w:rPr>
          <w:rFonts w:hint="eastAsia" w:ascii="仿宋_GB2312" w:hAnsi="仿宋_GB2312" w:eastAsia="仿宋_GB2312" w:cs="仿宋_GB2312"/>
          <w:color w:val="333333"/>
          <w:kern w:val="0"/>
          <w:sz w:val="32"/>
          <w:szCs w:val="32"/>
          <w:shd w:val="clear" w:color="auto" w:fill="FFFFFF"/>
        </w:rPr>
        <w:t>指在基本支出之外为完成特定工作任务和事业发展目标所发生的支出。</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4.“三公”经费：</w:t>
      </w:r>
      <w:r>
        <w:rPr>
          <w:rFonts w:hint="eastAsia" w:ascii="仿宋_GB2312" w:hAnsi="仿宋_GB2312" w:eastAsia="仿宋_GB2312" w:cs="仿宋_GB2312"/>
          <w:color w:val="333333"/>
          <w:kern w:val="0"/>
          <w:sz w:val="32"/>
          <w:szCs w:val="32"/>
          <w:shd w:val="clear" w:color="auto" w:fill="FFFFFF"/>
        </w:rPr>
        <w:t>指用一般公共预算拨款安排的因公出国（境）费、公务用车购置及运行费和公务接待费。其中，因公出国（境）费反应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5.一般公共服务（类）政府办公厅（室）及相关机构事务（款）行政运行（项）：</w:t>
      </w:r>
      <w:r>
        <w:rPr>
          <w:rFonts w:hint="eastAsia" w:ascii="仿宋_GB2312" w:hAnsi="仿宋_GB2312" w:eastAsia="仿宋_GB2312" w:cs="仿宋_GB2312"/>
          <w:color w:val="333333"/>
          <w:kern w:val="0"/>
          <w:sz w:val="32"/>
          <w:szCs w:val="32"/>
          <w:shd w:val="clear" w:color="auto" w:fill="FFFFFF"/>
        </w:rPr>
        <w:t>反应行政单位（包括实行公务员管理的事业单位）的基本支出。</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6.教育支出（类）普通教育（款）小学教育（项）：</w:t>
      </w:r>
      <w:r>
        <w:rPr>
          <w:rFonts w:hint="eastAsia" w:ascii="仿宋_GB2312" w:hAnsi="仿宋_GB2312" w:eastAsia="仿宋_GB2312" w:cs="仿宋_GB2312"/>
          <w:color w:val="333333"/>
          <w:kern w:val="0"/>
          <w:sz w:val="32"/>
          <w:szCs w:val="32"/>
          <w:shd w:val="clear" w:color="auto" w:fill="FFFFFF"/>
        </w:rPr>
        <w:t>反应各部门举办的小学教育支出。政府各部门对社会组织等举办的小学的资助，如捐赠、补贴等，也在本科目中反应。</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7.教育支出（类）普通教育（款）初中教育（项）：</w:t>
      </w:r>
      <w:r>
        <w:rPr>
          <w:rFonts w:hint="eastAsia" w:ascii="仿宋_GB2312" w:hAnsi="仿宋_GB2312" w:eastAsia="仿宋_GB2312" w:cs="仿宋_GB2312"/>
          <w:color w:val="333333"/>
          <w:kern w:val="0"/>
          <w:sz w:val="32"/>
          <w:szCs w:val="32"/>
          <w:shd w:val="clear" w:color="auto" w:fill="FFFFFF"/>
        </w:rPr>
        <w:t>反应各部门举办的初中教育支出。政府各部门对社会组织等举办的初中的资助，如捐赠、补贴等，也在本科目中反应。</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8.社会保障和就业（类）行政事业单位离退休（款）归口管理的行政单位离退休（项）：</w:t>
      </w:r>
      <w:r>
        <w:rPr>
          <w:rFonts w:hint="eastAsia" w:ascii="仿宋_GB2312" w:hAnsi="仿宋_GB2312" w:eastAsia="仿宋_GB2312" w:cs="仿宋_GB2312"/>
          <w:color w:val="333333"/>
          <w:kern w:val="0"/>
          <w:sz w:val="32"/>
          <w:szCs w:val="32"/>
          <w:shd w:val="clear" w:color="auto" w:fill="FFFFFF"/>
        </w:rPr>
        <w:t>反应行政单位（包括实行公务员管理的事业单位）开支的离退休经费。</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9.社会保障和就业（类）行政事业单位离退休（款）事业单位离退休（项）：</w:t>
      </w:r>
      <w:r>
        <w:rPr>
          <w:rFonts w:hint="eastAsia" w:ascii="仿宋_GB2312" w:hAnsi="仿宋_GB2312" w:eastAsia="仿宋_GB2312" w:cs="仿宋_GB2312"/>
          <w:color w:val="333333"/>
          <w:kern w:val="0"/>
          <w:sz w:val="32"/>
          <w:szCs w:val="32"/>
          <w:shd w:val="clear" w:color="auto" w:fill="FFFFFF"/>
        </w:rPr>
        <w:t>反应事业单位开支的离退休经费。</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10.社会保障和就业（类）行政事业单位养老支出（款）机关事业单位基本养老保险缴费支出（项）：</w:t>
      </w:r>
      <w:r>
        <w:rPr>
          <w:rFonts w:hint="eastAsia" w:ascii="仿宋_GB2312" w:hAnsi="仿宋_GB2312" w:eastAsia="仿宋_GB2312" w:cs="仿宋_GB2312"/>
          <w:color w:val="333333"/>
          <w:kern w:val="0"/>
          <w:sz w:val="32"/>
          <w:szCs w:val="32"/>
          <w:shd w:val="clear" w:color="auto" w:fill="FFFFFF"/>
        </w:rPr>
        <w:t>反应机关事业单位实施养老保险制度由单位缴纳的基本养老保险费支出</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11.住房保障（类）住房改革（款）住房公积金（项）：</w:t>
      </w:r>
      <w:r>
        <w:rPr>
          <w:rFonts w:hint="eastAsia" w:ascii="仿宋_GB2312" w:hAnsi="仿宋_GB2312" w:eastAsia="仿宋_GB2312" w:cs="仿宋_GB2312"/>
          <w:color w:val="333333"/>
          <w:kern w:val="0"/>
          <w:sz w:val="32"/>
          <w:szCs w:val="32"/>
          <w:shd w:val="clear" w:color="auto" w:fill="FFFFFF"/>
        </w:rPr>
        <w:t>反映行政事业单位按人力资源和社会保障部、财政部规定的基本工资和津贴补贴以及规定比例为职工缴纳的住房公积金。</w:t>
      </w:r>
    </w:p>
    <w:p>
      <w:pPr>
        <w:spacing w:line="60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12.卫生健康（类）行政事业单位医疗（款）行政单位医疗（项）：</w:t>
      </w:r>
      <w:r>
        <w:rPr>
          <w:rFonts w:hint="eastAsia" w:ascii="仿宋_GB2312" w:hAnsi="仿宋_GB2312" w:eastAsia="仿宋_GB2312" w:cs="仿宋_GB2312"/>
          <w:color w:val="333333"/>
          <w:kern w:val="0"/>
          <w:sz w:val="32"/>
          <w:szCs w:val="32"/>
          <w:shd w:val="clear" w:color="auto" w:fill="FFFFFF"/>
        </w:rPr>
        <w:t>反应财政部门安排的行政单位（包括实行公务员管理的事业单位，下同）基本医疗保险缴费经费，未参加医疗保险的行政单位的公费医疗经费，按国家规定享受离休人员、红军老战士待遇人员的医疗经费。</w:t>
      </w:r>
    </w:p>
    <w:p>
      <w:pPr>
        <w:spacing w:line="60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13.卫生健康（类）行政事业单位医疗（款）事业单位医疗（项）：</w:t>
      </w:r>
      <w:r>
        <w:rPr>
          <w:rFonts w:hint="eastAsia" w:ascii="仿宋_GB2312" w:hAnsi="仿宋_GB2312" w:eastAsia="仿宋_GB2312" w:cs="仿宋_GB2312"/>
          <w:color w:val="333333"/>
          <w:kern w:val="0"/>
          <w:sz w:val="32"/>
          <w:szCs w:val="32"/>
          <w:shd w:val="clear" w:color="auto" w:fill="FFFFFF"/>
        </w:rPr>
        <w:t>反应财政部门安排的事业单位基本医疗保险缴费经费，未参加医疗保险的事业单位的公费医疗经费，按国家规定享受离休人员待遇的医疗经费。</w:t>
      </w:r>
    </w:p>
    <w:p>
      <w:pPr>
        <w:spacing w:line="60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14.农林水（类）农村综合改革（款）对村民委员会和村党支部的补助（项）：</w:t>
      </w:r>
      <w:r>
        <w:rPr>
          <w:rFonts w:hint="eastAsia" w:ascii="仿宋_GB2312" w:hAnsi="仿宋_GB2312" w:eastAsia="仿宋_GB2312" w:cs="仿宋_GB2312"/>
          <w:color w:val="333333"/>
          <w:kern w:val="0"/>
          <w:sz w:val="32"/>
          <w:szCs w:val="32"/>
          <w:shd w:val="clear" w:color="auto" w:fill="FFFFFF"/>
        </w:rPr>
        <w:t>反应各级财政对村民委员会和村党支部的补助支出，以及支持建立县级基本财力保障机制安排的村级组织运转奖补资金。</w:t>
      </w:r>
    </w:p>
    <w:p>
      <w:pPr>
        <w:spacing w:line="60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15.农林水（类）农村综合改革（款）农村综合改革示范试点补助（项）：</w:t>
      </w:r>
      <w:r>
        <w:rPr>
          <w:rFonts w:hint="eastAsia" w:ascii="仿宋_GB2312" w:hAnsi="仿宋_GB2312" w:eastAsia="仿宋_GB2312" w:cs="仿宋_GB2312"/>
          <w:color w:val="333333"/>
          <w:kern w:val="0"/>
          <w:sz w:val="32"/>
          <w:szCs w:val="32"/>
          <w:shd w:val="clear" w:color="auto" w:fill="FFFFFF"/>
        </w:rPr>
        <w:t>反应各级财政对农村综合改革示范试点、新型农业社会化服务体系建设等补助支出。</w:t>
      </w:r>
    </w:p>
    <w:p>
      <w:pPr>
        <w:spacing w:line="600" w:lineRule="exact"/>
        <w:ind w:firstLine="640" w:firstLineChars="200"/>
        <w:jc w:val="left"/>
        <w:rPr>
          <w:rFonts w:ascii="仿宋_GB2312" w:hAnsi="仿宋_GB2312" w:eastAsia="仿宋_GB2312" w:cs="仿宋_GB2312"/>
          <w:color w:val="333333"/>
          <w:kern w:val="0"/>
          <w:sz w:val="32"/>
          <w:szCs w:val="32"/>
          <w:shd w:val="clear" w:color="auto" w:fill="FFFFFF"/>
        </w:rPr>
      </w:pPr>
    </w:p>
    <w:p>
      <w:pPr>
        <w:spacing w:line="600" w:lineRule="exact"/>
        <w:ind w:firstLine="640" w:firstLineChars="200"/>
        <w:jc w:val="left"/>
        <w:rPr>
          <w:rFonts w:ascii="仿宋_GB2312" w:hAnsi="仿宋_GB2312" w:eastAsia="仿宋_GB2312" w:cs="仿宋_GB2312"/>
          <w:color w:val="333333"/>
          <w:kern w:val="0"/>
          <w:sz w:val="32"/>
          <w:szCs w:val="32"/>
          <w:shd w:val="clear" w:color="auto" w:fill="FFFFFF"/>
        </w:rPr>
      </w:pPr>
    </w:p>
    <w:p>
      <w:pPr>
        <w:spacing w:line="600" w:lineRule="exact"/>
        <w:ind w:firstLine="640" w:firstLineChars="200"/>
        <w:jc w:val="left"/>
        <w:rPr>
          <w:rFonts w:ascii="仿宋_GB2312" w:hAnsi="仿宋_GB2312" w:eastAsia="仿宋_GB2312" w:cs="仿宋_GB2312"/>
          <w:color w:val="333333"/>
          <w:kern w:val="0"/>
          <w:sz w:val="32"/>
          <w:szCs w:val="32"/>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center"/>
        <w:rPr>
          <w:rFonts w:ascii="黑体" w:hAnsi="黑体" w:eastAsia="黑体" w:cs="宋体"/>
          <w:color w:val="333333"/>
          <w:kern w:val="0"/>
          <w:sz w:val="36"/>
          <w:szCs w:val="36"/>
        </w:rPr>
      </w:pPr>
      <w:r>
        <w:rPr>
          <w:rFonts w:hint="eastAsia" w:ascii="黑体" w:hAnsi="黑体" w:eastAsia="黑体" w:cs="宋体"/>
          <w:color w:val="333333"/>
          <w:kern w:val="0"/>
          <w:sz w:val="36"/>
          <w:szCs w:val="36"/>
        </w:rPr>
        <w:t>第四部分 2022年龙城区大平房镇部门预算批复表</w:t>
      </w:r>
    </w:p>
    <w:p>
      <w:pPr>
        <w:widowControl/>
        <w:spacing w:line="600" w:lineRule="exact"/>
        <w:jc w:val="left"/>
        <w:rPr>
          <w:rFonts w:ascii="仿宋_GB2312" w:hAnsi="宋体" w:eastAsia="仿宋_GB2312" w:cs="宋体"/>
          <w:color w:val="333333"/>
          <w:kern w:val="0"/>
          <w:sz w:val="36"/>
          <w:szCs w:val="36"/>
          <w:shd w:val="clear" w:color="auto" w:fill="FFFFFF"/>
        </w:rPr>
      </w:pPr>
    </w:p>
    <w:p>
      <w:pPr>
        <w:widowControl/>
        <w:spacing w:line="600" w:lineRule="exact"/>
        <w:jc w:val="left"/>
        <w:rPr>
          <w:rFonts w:ascii="仿宋_GB2312" w:hAnsi="宋体" w:eastAsia="仿宋_GB2312" w:cs="宋体"/>
          <w:kern w:val="0"/>
          <w:sz w:val="36"/>
          <w:szCs w:val="36"/>
        </w:rPr>
      </w:pPr>
      <w:r>
        <w:rPr>
          <w:rFonts w:hint="eastAsia" w:ascii="仿宋_GB2312" w:hAnsi="宋体" w:eastAsia="仿宋_GB2312" w:cs="宋体"/>
          <w:color w:val="333333"/>
          <w:kern w:val="0"/>
          <w:sz w:val="32"/>
          <w:szCs w:val="32"/>
          <w:shd w:val="clear" w:color="auto" w:fill="FFFFFF"/>
        </w:rPr>
        <w:t>详见附表：</w:t>
      </w:r>
      <w:r>
        <w:rPr>
          <w:rFonts w:hint="eastAsia" w:ascii="仿宋_GB2312" w:hAnsi="宋体" w:eastAsia="仿宋_GB2312" w:cs="宋体"/>
          <w:color w:val="333333"/>
          <w:kern w:val="0"/>
          <w:sz w:val="32"/>
          <w:szCs w:val="32"/>
        </w:rPr>
        <w:t>2022年</w:t>
      </w:r>
      <w:r>
        <w:rPr>
          <w:rFonts w:hint="eastAsia" w:ascii="仿宋_GB2312" w:hAnsi="宋体" w:eastAsia="仿宋_GB2312" w:cs="宋体"/>
          <w:color w:val="333333"/>
          <w:kern w:val="0"/>
          <w:sz w:val="32"/>
          <w:szCs w:val="32"/>
          <w:lang w:val="en-US" w:eastAsia="zh-CN"/>
        </w:rPr>
        <w:t>大平房镇</w:t>
      </w:r>
      <w:r>
        <w:rPr>
          <w:rFonts w:hint="eastAsia" w:ascii="仿宋_GB2312" w:hAnsi="宋体" w:eastAsia="仿宋_GB2312" w:cs="宋体"/>
          <w:color w:val="333333"/>
          <w:kern w:val="0"/>
          <w:sz w:val="32"/>
          <w:szCs w:val="32"/>
          <w:highlight w:val="none"/>
        </w:rPr>
        <w:t>部门预</w:t>
      </w:r>
      <w:r>
        <w:rPr>
          <w:rFonts w:hint="eastAsia" w:ascii="仿宋_GB2312" w:hAnsi="宋体" w:eastAsia="仿宋_GB2312" w:cs="宋体"/>
          <w:color w:val="333333"/>
          <w:kern w:val="0"/>
          <w:sz w:val="32"/>
          <w:szCs w:val="32"/>
        </w:rPr>
        <w:t>算批复表</w:t>
      </w:r>
    </w:p>
    <w:p>
      <w:pPr>
        <w:spacing w:line="600" w:lineRule="exact"/>
        <w:jc w:val="left"/>
        <w:rPr>
          <w:rFonts w:ascii="仿宋_GB2312" w:eastAsia="仿宋_GB2312"/>
          <w:sz w:val="36"/>
          <w:szCs w:val="36"/>
          <w:highlight w:val="yellow"/>
        </w:rPr>
      </w:pPr>
      <w:bookmarkStart w:id="0" w:name="_GoBack"/>
      <w:bookmarkEnd w:id="0"/>
    </w:p>
    <w:sectPr>
      <w:footerReference r:id="rId3" w:type="default"/>
      <w:pgSz w:w="11906" w:h="16838"/>
      <w:pgMar w:top="1701" w:right="1418" w:bottom="1701" w:left="170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pPr>
                <w:r>
                  <w:fldChar w:fldCharType="begin"/>
                </w:r>
                <w:r>
                  <w:instrText xml:space="preserve"> PAGE  \* MERGEFORMAT </w:instrText>
                </w:r>
                <w:r>
                  <w:fldChar w:fldCharType="separate"/>
                </w:r>
                <w:r>
                  <w:t>8</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4405"/>
    <w:rsid w:val="00013A56"/>
    <w:rsid w:val="000149E6"/>
    <w:rsid w:val="00030A85"/>
    <w:rsid w:val="0003771B"/>
    <w:rsid w:val="00043215"/>
    <w:rsid w:val="00047FE8"/>
    <w:rsid w:val="00090925"/>
    <w:rsid w:val="00092E0A"/>
    <w:rsid w:val="000E2768"/>
    <w:rsid w:val="000F5006"/>
    <w:rsid w:val="001174ED"/>
    <w:rsid w:val="001346CD"/>
    <w:rsid w:val="00164EE2"/>
    <w:rsid w:val="00185E91"/>
    <w:rsid w:val="001B61B1"/>
    <w:rsid w:val="0021024E"/>
    <w:rsid w:val="00213E50"/>
    <w:rsid w:val="00220C5F"/>
    <w:rsid w:val="00225BC5"/>
    <w:rsid w:val="0023397A"/>
    <w:rsid w:val="00234682"/>
    <w:rsid w:val="002732A0"/>
    <w:rsid w:val="00276547"/>
    <w:rsid w:val="002B4F24"/>
    <w:rsid w:val="003163EE"/>
    <w:rsid w:val="00355960"/>
    <w:rsid w:val="003C4405"/>
    <w:rsid w:val="003D2678"/>
    <w:rsid w:val="00431D1D"/>
    <w:rsid w:val="00432CF0"/>
    <w:rsid w:val="00445E2C"/>
    <w:rsid w:val="004820AA"/>
    <w:rsid w:val="004B6C5D"/>
    <w:rsid w:val="004C674C"/>
    <w:rsid w:val="004D7509"/>
    <w:rsid w:val="00527D20"/>
    <w:rsid w:val="0054696D"/>
    <w:rsid w:val="00547E1A"/>
    <w:rsid w:val="005553D6"/>
    <w:rsid w:val="00557F0D"/>
    <w:rsid w:val="00562378"/>
    <w:rsid w:val="005F025F"/>
    <w:rsid w:val="006572C8"/>
    <w:rsid w:val="00686E27"/>
    <w:rsid w:val="006C5DB9"/>
    <w:rsid w:val="006D318D"/>
    <w:rsid w:val="007233F3"/>
    <w:rsid w:val="007314F8"/>
    <w:rsid w:val="00737963"/>
    <w:rsid w:val="00773D18"/>
    <w:rsid w:val="0077615C"/>
    <w:rsid w:val="00796FF7"/>
    <w:rsid w:val="007C744B"/>
    <w:rsid w:val="00800800"/>
    <w:rsid w:val="00872639"/>
    <w:rsid w:val="008735FF"/>
    <w:rsid w:val="008C0176"/>
    <w:rsid w:val="008F639A"/>
    <w:rsid w:val="009222EF"/>
    <w:rsid w:val="00926E8E"/>
    <w:rsid w:val="00930000"/>
    <w:rsid w:val="00937B7A"/>
    <w:rsid w:val="00970F52"/>
    <w:rsid w:val="009758FE"/>
    <w:rsid w:val="00975A87"/>
    <w:rsid w:val="00977A56"/>
    <w:rsid w:val="00987CAA"/>
    <w:rsid w:val="009A4745"/>
    <w:rsid w:val="009A705A"/>
    <w:rsid w:val="009F76B7"/>
    <w:rsid w:val="00A32398"/>
    <w:rsid w:val="00A454C4"/>
    <w:rsid w:val="00A77C11"/>
    <w:rsid w:val="00A84A58"/>
    <w:rsid w:val="00A86797"/>
    <w:rsid w:val="00A9299F"/>
    <w:rsid w:val="00AB2A8C"/>
    <w:rsid w:val="00B22BC7"/>
    <w:rsid w:val="00B757C5"/>
    <w:rsid w:val="00B77772"/>
    <w:rsid w:val="00B8047F"/>
    <w:rsid w:val="00B92519"/>
    <w:rsid w:val="00BD1227"/>
    <w:rsid w:val="00C1756C"/>
    <w:rsid w:val="00C176CA"/>
    <w:rsid w:val="00C21B8F"/>
    <w:rsid w:val="00C24DC5"/>
    <w:rsid w:val="00C31141"/>
    <w:rsid w:val="00C97B24"/>
    <w:rsid w:val="00CB76FA"/>
    <w:rsid w:val="00CD0239"/>
    <w:rsid w:val="00D31DCF"/>
    <w:rsid w:val="00D37C8C"/>
    <w:rsid w:val="00D407E3"/>
    <w:rsid w:val="00D644D6"/>
    <w:rsid w:val="00D64855"/>
    <w:rsid w:val="00D828A5"/>
    <w:rsid w:val="00DB0F6C"/>
    <w:rsid w:val="00DC359B"/>
    <w:rsid w:val="00E13AF1"/>
    <w:rsid w:val="00E317BA"/>
    <w:rsid w:val="00E4354B"/>
    <w:rsid w:val="00E61702"/>
    <w:rsid w:val="00E73E69"/>
    <w:rsid w:val="00EA6CCF"/>
    <w:rsid w:val="00EB52FA"/>
    <w:rsid w:val="00EB5C42"/>
    <w:rsid w:val="00ED6420"/>
    <w:rsid w:val="00EF2A3A"/>
    <w:rsid w:val="00F06896"/>
    <w:rsid w:val="00F24E44"/>
    <w:rsid w:val="00F33DE8"/>
    <w:rsid w:val="00F404C5"/>
    <w:rsid w:val="00F6157F"/>
    <w:rsid w:val="00F80D8D"/>
    <w:rsid w:val="00F81352"/>
    <w:rsid w:val="00FC7F22"/>
    <w:rsid w:val="00FF0E8C"/>
    <w:rsid w:val="00FF3ABD"/>
    <w:rsid w:val="00FF61DC"/>
    <w:rsid w:val="05645DD5"/>
    <w:rsid w:val="0BD74691"/>
    <w:rsid w:val="0FF03899"/>
    <w:rsid w:val="1D11562F"/>
    <w:rsid w:val="23446E27"/>
    <w:rsid w:val="267B1D16"/>
    <w:rsid w:val="26E85880"/>
    <w:rsid w:val="3C6077A7"/>
    <w:rsid w:val="49DB3AB2"/>
    <w:rsid w:val="58EC66AF"/>
    <w:rsid w:val="5D5E4319"/>
    <w:rsid w:val="604B01CA"/>
    <w:rsid w:val="65C63716"/>
    <w:rsid w:val="6BF76F48"/>
    <w:rsid w:val="6E5B298D"/>
    <w:rsid w:val="701F4FF2"/>
    <w:rsid w:val="723B31C2"/>
    <w:rsid w:val="79615874"/>
    <w:rsid w:val="7DBB41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rPr>
      <w:sz w:val="18"/>
      <w:szCs w:val="18"/>
    </w:rPr>
  </w:style>
  <w:style w:type="paragraph" w:styleId="5">
    <w:name w:val="footer"/>
    <w:basedOn w:val="1"/>
    <w:link w:val="15"/>
    <w:semiHidden/>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标题 1 Char"/>
    <w:basedOn w:val="9"/>
    <w:link w:val="2"/>
    <w:qFormat/>
    <w:uiPriority w:val="9"/>
    <w:rPr>
      <w:rFonts w:ascii="宋体" w:hAnsi="宋体" w:eastAsia="宋体" w:cs="宋体"/>
      <w:b/>
      <w:bCs/>
      <w:kern w:val="36"/>
      <w:sz w:val="48"/>
      <w:szCs w:val="48"/>
    </w:rPr>
  </w:style>
  <w:style w:type="character" w:customStyle="1" w:styleId="13">
    <w:name w:val="标题 2 Char"/>
    <w:basedOn w:val="9"/>
    <w:link w:val="3"/>
    <w:qFormat/>
    <w:uiPriority w:val="9"/>
    <w:rPr>
      <w:rFonts w:ascii="宋体" w:hAnsi="宋体" w:eastAsia="宋体" w:cs="宋体"/>
      <w:b/>
      <w:bCs/>
      <w:kern w:val="0"/>
      <w:sz w:val="36"/>
      <w:szCs w:val="36"/>
    </w:rPr>
  </w:style>
  <w:style w:type="character" w:customStyle="1" w:styleId="14">
    <w:name w:val="页眉 Char"/>
    <w:basedOn w:val="9"/>
    <w:link w:val="6"/>
    <w:semiHidden/>
    <w:qFormat/>
    <w:uiPriority w:val="99"/>
    <w:rPr>
      <w:sz w:val="18"/>
      <w:szCs w:val="18"/>
    </w:rPr>
  </w:style>
  <w:style w:type="character" w:customStyle="1" w:styleId="15">
    <w:name w:val="页脚 Char"/>
    <w:basedOn w:val="9"/>
    <w:link w:val="5"/>
    <w:semiHidden/>
    <w:qFormat/>
    <w:uiPriority w:val="99"/>
    <w:rPr>
      <w:sz w:val="18"/>
      <w:szCs w:val="18"/>
    </w:rPr>
  </w:style>
  <w:style w:type="character" w:customStyle="1" w:styleId="16">
    <w:name w:val="批注框文本 Char"/>
    <w:basedOn w:val="9"/>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460</Words>
  <Characters>2628</Characters>
  <Lines>21</Lines>
  <Paragraphs>6</Paragraphs>
  <TotalTime>66</TotalTime>
  <ScaleCrop>false</ScaleCrop>
  <LinksUpToDate>false</LinksUpToDate>
  <CharactersWithSpaces>3082</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2022-01-04T06:44:00Z</dcterms:created>
  <dc:creator>微软用户</dc:creator>
  <cp:lastModifiedBy>hp</cp:lastModifiedBy>
  <cp:lastPrinted>2022-01-06T02:11:00Z</cp:lastPrinted>
  <dcterms:modified xsi:type="dcterms:W3CDTF">2022-01-11T02:55:10Z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0A46C5CB5A25427DA26057A03F87D632</vt:lpwstr>
  </property>
</Properties>
</file>