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603" w14:textId="77777777" w:rsidR="00204C3C" w:rsidRDefault="00204C3C">
      <w:pPr>
        <w:spacing w:line="600" w:lineRule="exact"/>
        <w:jc w:val="left"/>
        <w:rPr>
          <w:b/>
          <w:sz w:val="44"/>
          <w:szCs w:val="44"/>
          <w:u w:val="single"/>
        </w:rPr>
      </w:pPr>
    </w:p>
    <w:p w14:paraId="152CC191" w14:textId="77777777" w:rsidR="00204C3C" w:rsidRDefault="00204C3C">
      <w:pPr>
        <w:spacing w:line="600" w:lineRule="exact"/>
        <w:jc w:val="left"/>
        <w:rPr>
          <w:b/>
          <w:sz w:val="44"/>
          <w:szCs w:val="44"/>
          <w:u w:val="single"/>
        </w:rPr>
      </w:pPr>
    </w:p>
    <w:p w14:paraId="710A8E4C" w14:textId="77777777" w:rsidR="00204C3C" w:rsidRDefault="00204C3C">
      <w:pPr>
        <w:spacing w:line="600" w:lineRule="exact"/>
        <w:jc w:val="left"/>
        <w:rPr>
          <w:b/>
          <w:sz w:val="44"/>
          <w:szCs w:val="44"/>
          <w:u w:val="single"/>
        </w:rPr>
      </w:pPr>
    </w:p>
    <w:p w14:paraId="3D01E369" w14:textId="77777777" w:rsidR="00204C3C" w:rsidRDefault="00204C3C">
      <w:pPr>
        <w:spacing w:line="600" w:lineRule="exact"/>
        <w:jc w:val="left"/>
        <w:rPr>
          <w:b/>
          <w:sz w:val="44"/>
          <w:szCs w:val="44"/>
          <w:u w:val="single"/>
        </w:rPr>
      </w:pPr>
    </w:p>
    <w:p w14:paraId="0C7DF8E8" w14:textId="77777777" w:rsidR="00204C3C" w:rsidRDefault="00204C3C">
      <w:pPr>
        <w:spacing w:line="600" w:lineRule="exact"/>
        <w:jc w:val="left"/>
        <w:rPr>
          <w:rFonts w:asciiTheme="majorEastAsia" w:eastAsiaTheme="majorEastAsia" w:hAnsiTheme="majorEastAsia"/>
          <w:b/>
          <w:sz w:val="44"/>
          <w:szCs w:val="44"/>
        </w:rPr>
      </w:pPr>
    </w:p>
    <w:p w14:paraId="57C293E0" w14:textId="77777777" w:rsidR="00204C3C" w:rsidRDefault="00204C3C">
      <w:pPr>
        <w:spacing w:line="600" w:lineRule="exact"/>
        <w:jc w:val="left"/>
        <w:rPr>
          <w:rFonts w:asciiTheme="majorEastAsia" w:eastAsiaTheme="majorEastAsia" w:hAnsiTheme="majorEastAsia"/>
          <w:b/>
          <w:sz w:val="44"/>
          <w:szCs w:val="44"/>
        </w:rPr>
      </w:pPr>
    </w:p>
    <w:p w14:paraId="5EAFF009" w14:textId="77777777" w:rsidR="00204C3C" w:rsidRDefault="00204C3C">
      <w:pPr>
        <w:spacing w:line="600" w:lineRule="exact"/>
        <w:jc w:val="left"/>
        <w:rPr>
          <w:rFonts w:asciiTheme="majorEastAsia" w:eastAsiaTheme="majorEastAsia" w:hAnsiTheme="majorEastAsia"/>
          <w:b/>
          <w:sz w:val="44"/>
          <w:szCs w:val="44"/>
        </w:rPr>
      </w:pPr>
    </w:p>
    <w:p w14:paraId="1E98662F" w14:textId="77777777" w:rsidR="00204C3C" w:rsidRDefault="00204C3C">
      <w:pPr>
        <w:spacing w:line="600" w:lineRule="exact"/>
        <w:jc w:val="left"/>
        <w:rPr>
          <w:rFonts w:asciiTheme="majorEastAsia" w:eastAsiaTheme="majorEastAsia" w:hAnsiTheme="majorEastAsia"/>
          <w:b/>
          <w:sz w:val="44"/>
          <w:szCs w:val="44"/>
        </w:rPr>
      </w:pPr>
    </w:p>
    <w:p w14:paraId="5794D58A" w14:textId="77777777" w:rsidR="00204C3C" w:rsidRDefault="007F4DD0">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龙城区联合镇人民政府部门预算</w:t>
      </w:r>
    </w:p>
    <w:p w14:paraId="03D0FF61" w14:textId="77777777" w:rsidR="00204C3C" w:rsidRDefault="007F4DD0">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14:paraId="03E1E377" w14:textId="77777777" w:rsidR="00204C3C" w:rsidRDefault="00204C3C">
      <w:pPr>
        <w:spacing w:line="600" w:lineRule="exact"/>
        <w:jc w:val="left"/>
        <w:rPr>
          <w:rFonts w:ascii="Times New Roman" w:eastAsia="宋体" w:hAnsi="Times New Roman"/>
          <w:b/>
          <w:sz w:val="52"/>
          <w:szCs w:val="52"/>
          <w:u w:val="single"/>
        </w:rPr>
      </w:pPr>
    </w:p>
    <w:p w14:paraId="0BDFFAB1" w14:textId="77777777" w:rsidR="00204C3C" w:rsidRDefault="00204C3C">
      <w:pPr>
        <w:spacing w:line="600" w:lineRule="exact"/>
        <w:jc w:val="left"/>
        <w:rPr>
          <w:b/>
          <w:sz w:val="44"/>
          <w:szCs w:val="44"/>
          <w:u w:val="single"/>
        </w:rPr>
      </w:pPr>
    </w:p>
    <w:p w14:paraId="2AA0FD18" w14:textId="77777777" w:rsidR="00204C3C" w:rsidRDefault="00204C3C">
      <w:pPr>
        <w:spacing w:line="600" w:lineRule="exact"/>
        <w:jc w:val="left"/>
        <w:rPr>
          <w:b/>
          <w:sz w:val="44"/>
          <w:szCs w:val="44"/>
          <w:u w:val="single"/>
        </w:rPr>
      </w:pPr>
    </w:p>
    <w:p w14:paraId="7D1A3C4F" w14:textId="77777777" w:rsidR="00204C3C" w:rsidRDefault="00204C3C">
      <w:pPr>
        <w:spacing w:line="600" w:lineRule="exact"/>
        <w:jc w:val="left"/>
        <w:rPr>
          <w:b/>
          <w:sz w:val="44"/>
          <w:szCs w:val="44"/>
          <w:u w:val="single"/>
        </w:rPr>
      </w:pPr>
    </w:p>
    <w:p w14:paraId="7288A48C" w14:textId="77777777" w:rsidR="00204C3C" w:rsidRDefault="00204C3C">
      <w:pPr>
        <w:spacing w:line="600" w:lineRule="exact"/>
        <w:jc w:val="left"/>
        <w:rPr>
          <w:b/>
          <w:sz w:val="44"/>
          <w:szCs w:val="44"/>
          <w:u w:val="single"/>
        </w:rPr>
      </w:pPr>
    </w:p>
    <w:p w14:paraId="7F1D86D1" w14:textId="77777777" w:rsidR="00204C3C" w:rsidRDefault="00204C3C">
      <w:pPr>
        <w:spacing w:line="600" w:lineRule="exact"/>
        <w:jc w:val="left"/>
        <w:rPr>
          <w:b/>
          <w:sz w:val="44"/>
          <w:szCs w:val="44"/>
          <w:u w:val="single"/>
        </w:rPr>
      </w:pPr>
    </w:p>
    <w:p w14:paraId="2AC9F8C9" w14:textId="77777777" w:rsidR="00204C3C" w:rsidRDefault="00204C3C">
      <w:pPr>
        <w:spacing w:line="600" w:lineRule="exact"/>
        <w:jc w:val="left"/>
        <w:rPr>
          <w:b/>
          <w:sz w:val="44"/>
          <w:szCs w:val="44"/>
          <w:u w:val="single"/>
        </w:rPr>
      </w:pPr>
    </w:p>
    <w:p w14:paraId="215A1069" w14:textId="77777777" w:rsidR="00204C3C" w:rsidRDefault="00204C3C">
      <w:pPr>
        <w:spacing w:line="600" w:lineRule="exact"/>
        <w:jc w:val="left"/>
        <w:rPr>
          <w:b/>
          <w:sz w:val="44"/>
          <w:szCs w:val="44"/>
          <w:u w:val="single"/>
        </w:rPr>
      </w:pPr>
    </w:p>
    <w:p w14:paraId="17345A5F" w14:textId="77777777" w:rsidR="00204C3C" w:rsidRDefault="00204C3C">
      <w:pPr>
        <w:spacing w:line="600" w:lineRule="exact"/>
        <w:jc w:val="left"/>
        <w:rPr>
          <w:b/>
          <w:sz w:val="44"/>
          <w:szCs w:val="44"/>
          <w:u w:val="single"/>
        </w:rPr>
      </w:pPr>
    </w:p>
    <w:p w14:paraId="4E7BBA43" w14:textId="77777777" w:rsidR="00204C3C" w:rsidRDefault="00204C3C">
      <w:pPr>
        <w:spacing w:line="600" w:lineRule="exact"/>
        <w:jc w:val="left"/>
        <w:rPr>
          <w:b/>
          <w:sz w:val="44"/>
          <w:szCs w:val="44"/>
          <w:u w:val="single"/>
        </w:rPr>
      </w:pPr>
    </w:p>
    <w:p w14:paraId="7BA58EAD" w14:textId="77777777" w:rsidR="00204C3C" w:rsidRDefault="00204C3C">
      <w:pPr>
        <w:spacing w:line="600" w:lineRule="exact"/>
        <w:jc w:val="left"/>
        <w:rPr>
          <w:b/>
          <w:sz w:val="44"/>
          <w:szCs w:val="44"/>
          <w:u w:val="single"/>
        </w:rPr>
      </w:pPr>
    </w:p>
    <w:p w14:paraId="195F8A19" w14:textId="77777777" w:rsidR="00204C3C" w:rsidRDefault="00204C3C">
      <w:pPr>
        <w:spacing w:line="600" w:lineRule="exact"/>
        <w:jc w:val="left"/>
        <w:rPr>
          <w:b/>
          <w:sz w:val="44"/>
          <w:szCs w:val="44"/>
          <w:u w:val="single"/>
        </w:rPr>
      </w:pPr>
    </w:p>
    <w:p w14:paraId="01418F51" w14:textId="77777777" w:rsidR="00204C3C" w:rsidRDefault="00204C3C">
      <w:pPr>
        <w:widowControl/>
        <w:spacing w:line="600" w:lineRule="exact"/>
        <w:outlineLvl w:val="0"/>
        <w:rPr>
          <w:rFonts w:asciiTheme="majorEastAsia" w:eastAsiaTheme="majorEastAsia" w:hAnsiTheme="majorEastAsia" w:cs="宋体"/>
          <w:b/>
          <w:bCs/>
          <w:color w:val="333333"/>
          <w:kern w:val="36"/>
          <w:sz w:val="44"/>
          <w:szCs w:val="44"/>
        </w:rPr>
        <w:sectPr w:rsidR="00204C3C">
          <w:pgSz w:w="11906" w:h="16838"/>
          <w:pgMar w:top="1701" w:right="1418" w:bottom="1701" w:left="1701" w:header="851" w:footer="992" w:gutter="0"/>
          <w:cols w:space="425"/>
          <w:docGrid w:type="lines" w:linePitch="312"/>
        </w:sectPr>
      </w:pPr>
    </w:p>
    <w:p w14:paraId="4B23CCAC" w14:textId="77777777" w:rsidR="00204C3C" w:rsidRDefault="007F4DD0">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2022年龙城区联合镇人民政府部门预算</w:t>
      </w:r>
    </w:p>
    <w:p w14:paraId="376FCFCF" w14:textId="77777777" w:rsidR="00204C3C" w:rsidRDefault="00204C3C">
      <w:pPr>
        <w:widowControl/>
        <w:spacing w:line="300" w:lineRule="exact"/>
        <w:jc w:val="center"/>
        <w:outlineLvl w:val="0"/>
        <w:rPr>
          <w:rFonts w:asciiTheme="majorEastAsia" w:eastAsiaTheme="majorEastAsia" w:hAnsiTheme="majorEastAsia" w:cs="宋体"/>
          <w:b/>
          <w:bCs/>
          <w:color w:val="333333"/>
          <w:kern w:val="36"/>
          <w:sz w:val="44"/>
          <w:szCs w:val="44"/>
        </w:rPr>
      </w:pPr>
    </w:p>
    <w:p w14:paraId="5783F7AA" w14:textId="77777777" w:rsidR="00204C3C" w:rsidRDefault="007F4DD0">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14:paraId="7CC108D3" w14:textId="77777777" w:rsidR="00204C3C" w:rsidRDefault="00204C3C">
      <w:pPr>
        <w:widowControl/>
        <w:spacing w:line="300" w:lineRule="exact"/>
        <w:jc w:val="center"/>
        <w:rPr>
          <w:rFonts w:asciiTheme="majorEastAsia" w:eastAsiaTheme="majorEastAsia" w:hAnsiTheme="majorEastAsia" w:cs="宋体"/>
          <w:b/>
          <w:bCs/>
          <w:color w:val="333333"/>
          <w:kern w:val="0"/>
          <w:sz w:val="36"/>
          <w:szCs w:val="36"/>
        </w:rPr>
      </w:pPr>
    </w:p>
    <w:p w14:paraId="147C7F37" w14:textId="6559FD52" w:rsidR="00204C3C" w:rsidRDefault="007F4DD0">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sidR="009D2C70">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龙城区联合镇人民政府概况</w:t>
      </w:r>
    </w:p>
    <w:p w14:paraId="07291E80" w14:textId="77777777" w:rsidR="00204C3C" w:rsidRDefault="007F4DD0">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14:paraId="4F83CCD8" w14:textId="77777777" w:rsidR="00204C3C" w:rsidRDefault="007F4DD0">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14:paraId="0E566B17" w14:textId="41F1003C" w:rsidR="00204C3C" w:rsidRDefault="007F4DD0">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sidR="009D2C70">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龙城区联合镇人民政府2022年部门预算情况说明</w:t>
      </w:r>
    </w:p>
    <w:p w14:paraId="2457050F" w14:textId="55A2D8AF" w:rsidR="00204C3C" w:rsidRDefault="007F4DD0">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w:t>
      </w:r>
      <w:r w:rsidR="009D2C70">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名词解释</w:t>
      </w:r>
    </w:p>
    <w:p w14:paraId="3969D0AA" w14:textId="635F9813" w:rsidR="00204C3C" w:rsidRDefault="007F4DD0">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第四部分</w:t>
      </w:r>
      <w:r w:rsidR="009D2C70">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rPr>
        <w:t>2022年龙城区</w:t>
      </w:r>
      <w:r>
        <w:rPr>
          <w:rFonts w:ascii="黑体" w:eastAsia="黑体" w:hAnsi="黑体" w:cs="宋体" w:hint="eastAsia"/>
          <w:bCs/>
          <w:color w:val="333333"/>
          <w:kern w:val="0"/>
          <w:sz w:val="32"/>
          <w:szCs w:val="32"/>
          <w:shd w:val="clear" w:color="auto" w:fill="FFFFFF"/>
        </w:rPr>
        <w:t>联合镇人民政府</w:t>
      </w:r>
      <w:r>
        <w:rPr>
          <w:rFonts w:ascii="黑体" w:eastAsia="黑体" w:hAnsi="黑体" w:cs="宋体" w:hint="eastAsia"/>
          <w:bCs/>
          <w:color w:val="333333"/>
          <w:kern w:val="0"/>
          <w:sz w:val="32"/>
          <w:szCs w:val="32"/>
        </w:rPr>
        <w:t>部门预算批复表</w:t>
      </w:r>
    </w:p>
    <w:p w14:paraId="2B76D6C9"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14:paraId="091AAC5F"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14:paraId="5F5379B3"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14:paraId="2070A2EB"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14:paraId="1C26D183"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14:paraId="184054A7"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14:paraId="76FC37C6"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14:paraId="44F48E1B"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14:paraId="74FC804A"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14:paraId="15D298F6"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14:paraId="4B42D56E"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14:paraId="5E02C26A"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14:paraId="2AE9341A"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14:paraId="4F8089E2"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14:paraId="11368509"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14:paraId="739A6D41" w14:textId="77777777" w:rsidR="00204C3C" w:rsidRDefault="007F4DD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14:paraId="065E3F4B" w14:textId="77777777" w:rsidR="00204C3C" w:rsidRDefault="007F4DD0">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14:paraId="68AECA47" w14:textId="77777777" w:rsidR="00204C3C" w:rsidRDefault="007F4DD0">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w:t>
      </w:r>
      <w:r w:rsidR="009D2C70">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龙城区联合镇人民政府概况</w:t>
      </w:r>
    </w:p>
    <w:p w14:paraId="1493022D" w14:textId="77777777" w:rsidR="00204C3C" w:rsidRDefault="00204C3C">
      <w:pPr>
        <w:widowControl/>
        <w:spacing w:line="600" w:lineRule="exact"/>
        <w:jc w:val="center"/>
        <w:rPr>
          <w:rFonts w:ascii="宋体" w:eastAsia="宋体" w:hAnsi="宋体" w:cs="宋体"/>
          <w:color w:val="333333"/>
          <w:kern w:val="0"/>
          <w:sz w:val="32"/>
          <w:szCs w:val="32"/>
        </w:rPr>
      </w:pPr>
    </w:p>
    <w:p w14:paraId="66C73FE7" w14:textId="77777777" w:rsidR="008D6038" w:rsidRDefault="008D6038" w:rsidP="008D6038">
      <w:pPr>
        <w:pStyle w:val="a9"/>
        <w:numPr>
          <w:ilvl w:val="0"/>
          <w:numId w:val="2"/>
        </w:numPr>
        <w:spacing w:before="0" w:beforeAutospacing="0" w:after="226" w:afterAutospacing="0" w:line="360" w:lineRule="atLeast"/>
        <w:rPr>
          <w:rFonts w:ascii="楷体_GB2312" w:eastAsia="楷体_GB2312" w:hAnsi="楷体_GB2312" w:cs="楷体_GB2312"/>
          <w:b/>
          <w:color w:val="333333"/>
          <w:sz w:val="32"/>
          <w:szCs w:val="32"/>
          <w:shd w:val="clear" w:color="auto" w:fill="FFFFFF"/>
        </w:rPr>
      </w:pPr>
      <w:r>
        <w:rPr>
          <w:rFonts w:ascii="楷体_GB2312" w:eastAsia="楷体_GB2312" w:hAnsi="楷体_GB2312" w:cs="楷体_GB2312"/>
          <w:b/>
          <w:color w:val="333333"/>
          <w:sz w:val="32"/>
          <w:szCs w:val="32"/>
          <w:shd w:val="clear" w:color="auto" w:fill="FFFFFF"/>
        </w:rPr>
        <w:t>主要职责</w:t>
      </w:r>
    </w:p>
    <w:p w14:paraId="04EB6CAB" w14:textId="77777777" w:rsidR="008D6038" w:rsidRDefault="008D6038" w:rsidP="008D6038">
      <w:pPr>
        <w:pStyle w:val="a9"/>
        <w:numPr>
          <w:ilvl w:val="0"/>
          <w:numId w:val="1"/>
        </w:numPr>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执行本级人民代表大会决议以及上级国家行政机关的决定和命令；</w:t>
      </w:r>
    </w:p>
    <w:p w14:paraId="56B4973D" w14:textId="77777777" w:rsidR="008D6038" w:rsidRDefault="008D6038" w:rsidP="008D6038">
      <w:pPr>
        <w:pStyle w:val="a9"/>
        <w:numPr>
          <w:ilvl w:val="0"/>
          <w:numId w:val="1"/>
        </w:numPr>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执行全乡的社会和经济发展计划、预算，管理本乡内的经济、教育、科技、文化、卫生、体育事业和财政、民政、治安、人民调解、安全生产监督管理、移民开发、计划生育等行政工作；</w:t>
      </w:r>
    </w:p>
    <w:p w14:paraId="691AE50F" w14:textId="77777777" w:rsidR="008D6038" w:rsidRDefault="008D6038" w:rsidP="008D6038">
      <w:pPr>
        <w:pStyle w:val="a9"/>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保护社会主义的全民所有财产和劳动群众集体所有财产，保护公民私人所有的合法财产，维护社会秩序，保障公民的人身权利、民主权利和其他权利；</w:t>
      </w:r>
    </w:p>
    <w:p w14:paraId="47D271DA" w14:textId="77777777" w:rsidR="008D6038" w:rsidRDefault="008D6038" w:rsidP="008D6038">
      <w:pPr>
        <w:pStyle w:val="a9"/>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保护各种经济组织的合法权益；</w:t>
      </w:r>
    </w:p>
    <w:p w14:paraId="6F668645" w14:textId="77777777" w:rsidR="008D6038" w:rsidRDefault="008D6038" w:rsidP="008D6038">
      <w:pPr>
        <w:pStyle w:val="a9"/>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五</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贯彻执行党和国家的民族宗教政策，保障少数民族的权利和尊重少数民族的风俗习惯，尊重民族宗教信仰；</w:t>
      </w:r>
    </w:p>
    <w:p w14:paraId="4B39E93F" w14:textId="77777777" w:rsidR="008D6038" w:rsidRDefault="008D6038" w:rsidP="008D6038">
      <w:pPr>
        <w:pStyle w:val="a9"/>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六</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保障宪法和法律赋予妇女的男女平等、婚姻自由等各项权利；</w:t>
      </w:r>
    </w:p>
    <w:p w14:paraId="07B5EA2F" w14:textId="77777777" w:rsidR="00204C3C" w:rsidRPr="008D6038" w:rsidRDefault="008D6038" w:rsidP="008D6038">
      <w:pPr>
        <w:pStyle w:val="a9"/>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办理上级人民政府交办的其他事项。</w:t>
      </w:r>
      <w:bookmarkStart w:id="0" w:name="191384-202216-3"/>
      <w:bookmarkEnd w:id="0"/>
      <w:r w:rsidR="00E86855">
        <w:rPr>
          <w:rFonts w:ascii="仿宋_GB2312" w:eastAsia="仿宋_GB2312" w:hAnsi="仿宋" w:cs="仿宋" w:hint="eastAsia"/>
          <w:color w:val="333333"/>
          <w:sz w:val="32"/>
          <w:szCs w:val="32"/>
          <w:shd w:val="clear" w:color="auto" w:fill="FFFFFF"/>
        </w:rPr>
        <w:fldChar w:fldCharType="begin"/>
      </w:r>
      <w:r>
        <w:rPr>
          <w:rFonts w:ascii="仿宋_GB2312" w:eastAsia="仿宋_GB2312" w:hAnsi="仿宋" w:cs="仿宋" w:hint="eastAsia"/>
          <w:color w:val="333333"/>
          <w:sz w:val="32"/>
          <w:szCs w:val="32"/>
          <w:shd w:val="clear" w:color="auto" w:fill="FFFFFF"/>
        </w:rPr>
        <w:instrText xml:space="preserve"> HYPERLINK "https://baike.so.com/create/edit/?eid=191384&amp;sid=202216&amp;secid=3" </w:instrText>
      </w:r>
      <w:r w:rsidR="00E86855">
        <w:rPr>
          <w:rFonts w:ascii="仿宋_GB2312" w:eastAsia="仿宋_GB2312" w:hAnsi="仿宋" w:cs="仿宋" w:hint="eastAsia"/>
          <w:color w:val="333333"/>
          <w:sz w:val="32"/>
          <w:szCs w:val="32"/>
          <w:shd w:val="clear" w:color="auto" w:fill="FFFFFF"/>
        </w:rPr>
        <w:fldChar w:fldCharType="end"/>
      </w:r>
    </w:p>
    <w:p w14:paraId="6DF655A9" w14:textId="77777777" w:rsidR="006A5E52" w:rsidRDefault="006A5E52">
      <w:pPr>
        <w:widowControl/>
        <w:spacing w:line="560" w:lineRule="exact"/>
        <w:jc w:val="left"/>
        <w:rPr>
          <w:rFonts w:ascii="楷体_GB2312" w:eastAsia="楷体_GB2312" w:hAnsi="楷体_GB2312" w:cs="楷体_GB2312"/>
          <w:b/>
          <w:color w:val="333333"/>
          <w:kern w:val="0"/>
          <w:sz w:val="32"/>
          <w:szCs w:val="32"/>
          <w:shd w:val="clear" w:color="auto" w:fill="FFFFFF"/>
        </w:rPr>
      </w:pPr>
    </w:p>
    <w:p w14:paraId="68E5CDCF" w14:textId="39257B42" w:rsidR="00204C3C" w:rsidRDefault="007F4DD0">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纳入2022年部门预算编制范围的预算单位包括：</w:t>
      </w:r>
    </w:p>
    <w:p w14:paraId="53157C01" w14:textId="77777777" w:rsidR="00204C3C" w:rsidRDefault="007F4D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1、龙城区联合镇人民政府本级</w:t>
      </w:r>
    </w:p>
    <w:p w14:paraId="7A430B3A" w14:textId="77777777" w:rsidR="00204C3C" w:rsidRDefault="007F4DD0">
      <w:pPr>
        <w:widowControl/>
        <w:spacing w:line="560" w:lineRule="exact"/>
        <w:ind w:firstLine="645"/>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2、朝阳市第二十五中学</w:t>
      </w:r>
    </w:p>
    <w:p w14:paraId="79129A3E" w14:textId="77777777" w:rsidR="00204C3C" w:rsidRDefault="007F4DD0">
      <w:pPr>
        <w:widowControl/>
        <w:spacing w:line="560" w:lineRule="exact"/>
        <w:ind w:firstLine="645"/>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3、联合镇中心小学</w:t>
      </w:r>
    </w:p>
    <w:p w14:paraId="59B42532" w14:textId="77777777" w:rsidR="00204C3C" w:rsidRDefault="00204C3C">
      <w:pPr>
        <w:widowControl/>
        <w:spacing w:line="560" w:lineRule="exact"/>
        <w:ind w:firstLine="645"/>
        <w:jc w:val="left"/>
        <w:rPr>
          <w:rFonts w:ascii="仿宋_GB2312" w:eastAsia="仿宋_GB2312" w:hAnsi="宋体" w:cs="宋体"/>
          <w:bCs/>
          <w:color w:val="333333"/>
          <w:kern w:val="0"/>
          <w:sz w:val="32"/>
          <w:szCs w:val="32"/>
          <w:shd w:val="clear" w:color="auto" w:fill="FFFFFF"/>
        </w:rPr>
      </w:pPr>
    </w:p>
    <w:p w14:paraId="28329FB4" w14:textId="77777777" w:rsidR="006A5E52" w:rsidRDefault="007F4DD0" w:rsidP="006A5E52">
      <w:pPr>
        <w:widowControl/>
        <w:spacing w:line="560" w:lineRule="exact"/>
        <w:ind w:left="2160" w:hangingChars="600" w:hanging="2160"/>
        <w:jc w:val="left"/>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w:t>
      </w:r>
      <w:r w:rsidR="009D2C70">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龙城区联合镇人民政府2022年部门预算</w:t>
      </w:r>
    </w:p>
    <w:p w14:paraId="6F03E5EC" w14:textId="7EC00953" w:rsidR="00204C3C" w:rsidRDefault="007F4DD0" w:rsidP="006A5E52">
      <w:pPr>
        <w:widowControl/>
        <w:spacing w:line="560" w:lineRule="exact"/>
        <w:ind w:leftChars="600" w:left="1260" w:firstLineChars="700" w:firstLine="2520"/>
        <w:jc w:val="left"/>
        <w:rPr>
          <w:rFonts w:ascii="黑体" w:eastAsia="黑体" w:hAnsi="黑体" w:cs="黑体"/>
          <w:color w:val="333333"/>
          <w:kern w:val="0"/>
          <w:sz w:val="36"/>
          <w:szCs w:val="36"/>
        </w:rPr>
      </w:pPr>
      <w:r>
        <w:rPr>
          <w:rFonts w:ascii="黑体" w:eastAsia="黑体" w:hAnsi="黑体" w:cs="黑体" w:hint="eastAsia"/>
          <w:color w:val="333333"/>
          <w:kern w:val="0"/>
          <w:sz w:val="36"/>
          <w:szCs w:val="36"/>
        </w:rPr>
        <w:t>情况说明</w:t>
      </w:r>
    </w:p>
    <w:p w14:paraId="03988B1F" w14:textId="77777777" w:rsidR="00204C3C" w:rsidRDefault="00204C3C">
      <w:pPr>
        <w:widowControl/>
        <w:spacing w:line="560" w:lineRule="exact"/>
        <w:ind w:firstLineChars="200" w:firstLine="720"/>
        <w:jc w:val="left"/>
        <w:rPr>
          <w:rFonts w:ascii="宋体" w:eastAsia="宋体" w:hAnsi="宋体" w:cs="宋体"/>
          <w:color w:val="333333"/>
          <w:kern w:val="0"/>
          <w:sz w:val="36"/>
          <w:szCs w:val="36"/>
        </w:rPr>
      </w:pPr>
    </w:p>
    <w:p w14:paraId="0E1DC575" w14:textId="77777777" w:rsidR="00204C3C" w:rsidRDefault="007F4DD0">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一、收支预算的总体情况</w:t>
      </w:r>
    </w:p>
    <w:p w14:paraId="272CDEE4"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14:paraId="7F6F8BF1" w14:textId="08B46848"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w:t>
      </w:r>
      <w:r w:rsidRPr="00C16A00">
        <w:rPr>
          <w:rFonts w:ascii="仿宋_GB2312" w:eastAsia="仿宋_GB2312" w:hAnsi="仿宋_GB2312" w:cs="仿宋_GB2312" w:hint="eastAsia"/>
          <w:color w:val="333333"/>
          <w:kern w:val="0"/>
          <w:sz w:val="32"/>
          <w:szCs w:val="32"/>
        </w:rPr>
        <w:t>算</w:t>
      </w:r>
      <w:r w:rsidR="00C16A00" w:rsidRPr="00C16A00">
        <w:rPr>
          <w:rFonts w:ascii="仿宋_GB2312" w:eastAsia="仿宋_GB2312" w:hAnsi="仿宋_GB2312" w:cs="仿宋_GB2312"/>
          <w:color w:val="333333"/>
          <w:kern w:val="0"/>
          <w:sz w:val="32"/>
          <w:szCs w:val="32"/>
        </w:rPr>
        <w:t>2495.08</w:t>
      </w:r>
      <w:r w:rsidRPr="00C16A00">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，包括：</w:t>
      </w:r>
    </w:p>
    <w:p w14:paraId="7558A8D0"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Pr>
          <w:rFonts w:ascii="仿宋_GB2312" w:eastAsia="仿宋_GB2312" w:hAnsi="仿宋_GB2312" w:cs="仿宋_GB2312"/>
          <w:color w:val="333333"/>
          <w:kern w:val="0"/>
          <w:sz w:val="32"/>
          <w:szCs w:val="32"/>
        </w:rPr>
        <w:t>2495.08</w:t>
      </w:r>
      <w:r>
        <w:rPr>
          <w:rFonts w:ascii="仿宋_GB2312" w:eastAsia="仿宋_GB2312" w:hAnsi="仿宋_GB2312" w:cs="仿宋_GB2312" w:hint="eastAsia"/>
          <w:color w:val="333333"/>
          <w:kern w:val="0"/>
          <w:sz w:val="32"/>
          <w:szCs w:val="32"/>
        </w:rPr>
        <w:t>万元；</w:t>
      </w:r>
    </w:p>
    <w:p w14:paraId="655134F6"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7769B5E1"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2D7363E3"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3ECBCBB7"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2B52F390"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2856AB1D"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bookmarkStart w:id="1" w:name="_Hlk92708450"/>
      <w:r>
        <w:rPr>
          <w:rFonts w:ascii="仿宋_GB2312" w:eastAsia="仿宋_GB2312" w:hAnsi="仿宋_GB2312" w:cs="仿宋_GB2312"/>
          <w:color w:val="333333"/>
          <w:kern w:val="0"/>
          <w:sz w:val="32"/>
          <w:szCs w:val="32"/>
        </w:rPr>
        <w:t>2495.08</w:t>
      </w:r>
      <w:bookmarkEnd w:id="1"/>
      <w:r>
        <w:rPr>
          <w:rFonts w:ascii="仿宋_GB2312" w:eastAsia="仿宋_GB2312" w:hAnsi="仿宋_GB2312" w:cs="仿宋_GB2312" w:hint="eastAsia"/>
          <w:color w:val="333333"/>
          <w:kern w:val="0"/>
          <w:sz w:val="32"/>
          <w:szCs w:val="32"/>
        </w:rPr>
        <w:t>万元，包括：</w:t>
      </w:r>
    </w:p>
    <w:p w14:paraId="1FEF3C2C"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Pr>
          <w:rFonts w:ascii="仿宋_GB2312" w:eastAsia="仿宋_GB2312" w:hAnsi="仿宋_GB2312" w:cs="仿宋_GB2312"/>
          <w:color w:val="333333"/>
          <w:kern w:val="0"/>
          <w:sz w:val="32"/>
          <w:szCs w:val="32"/>
        </w:rPr>
        <w:t>2262.93</w:t>
      </w:r>
      <w:r>
        <w:rPr>
          <w:rFonts w:ascii="仿宋_GB2312" w:eastAsia="仿宋_GB2312" w:hAnsi="仿宋_GB2312" w:cs="仿宋_GB2312" w:hint="eastAsia"/>
          <w:color w:val="333333"/>
          <w:kern w:val="0"/>
          <w:sz w:val="32"/>
          <w:szCs w:val="32"/>
        </w:rPr>
        <w:t>万元；</w:t>
      </w:r>
    </w:p>
    <w:p w14:paraId="37E42626" w14:textId="77777777"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Pr>
          <w:rFonts w:ascii="仿宋_GB2312" w:eastAsia="仿宋_GB2312" w:hAnsi="仿宋_GB2312" w:cs="仿宋_GB2312"/>
          <w:color w:val="333333"/>
          <w:kern w:val="0"/>
          <w:sz w:val="32"/>
          <w:szCs w:val="32"/>
        </w:rPr>
        <w:t>232.15</w:t>
      </w:r>
      <w:r>
        <w:rPr>
          <w:rFonts w:ascii="仿宋_GB2312" w:eastAsia="仿宋_GB2312" w:hAnsi="仿宋_GB2312" w:cs="仿宋_GB2312" w:hint="eastAsia"/>
          <w:color w:val="333333"/>
          <w:kern w:val="0"/>
          <w:sz w:val="32"/>
          <w:szCs w:val="32"/>
        </w:rPr>
        <w:t>万元。</w:t>
      </w:r>
    </w:p>
    <w:p w14:paraId="449779D5" w14:textId="77777777" w:rsidR="006A5E52" w:rsidRDefault="006A5E52">
      <w:pPr>
        <w:widowControl/>
        <w:spacing w:line="600" w:lineRule="exact"/>
        <w:ind w:firstLineChars="200" w:firstLine="640"/>
        <w:jc w:val="left"/>
        <w:rPr>
          <w:rFonts w:ascii="仿宋_GB2312" w:eastAsia="仿宋_GB2312" w:hAnsi="仿宋_GB2312" w:cs="仿宋_GB2312"/>
          <w:color w:val="333333"/>
          <w:kern w:val="0"/>
          <w:sz w:val="32"/>
          <w:szCs w:val="32"/>
        </w:rPr>
      </w:pPr>
    </w:p>
    <w:p w14:paraId="46984231" w14:textId="1E412790"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Pr>
          <w:rFonts w:ascii="仿宋_GB2312" w:eastAsia="仿宋_GB2312" w:hAnsi="仿宋_GB2312" w:cs="仿宋_GB2312"/>
          <w:color w:val="333333"/>
          <w:kern w:val="0"/>
          <w:sz w:val="32"/>
          <w:szCs w:val="32"/>
        </w:rPr>
        <w:t>2495.08</w:t>
      </w:r>
      <w:r>
        <w:rPr>
          <w:rFonts w:ascii="仿宋_GB2312" w:eastAsia="仿宋_GB2312" w:hAnsi="仿宋_GB2312" w:cs="仿宋_GB2312" w:hint="eastAsia"/>
          <w:color w:val="333333"/>
          <w:kern w:val="0"/>
          <w:sz w:val="32"/>
          <w:szCs w:val="32"/>
        </w:rPr>
        <w:t>万元中，债务支出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万元，政府采购支出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5A302917" w14:textId="6FA52955" w:rsidR="00204C3C" w:rsidRDefault="007F4DD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2022年预算收支比 2021 </w:t>
      </w:r>
      <w:r w:rsidRPr="00C16A00">
        <w:rPr>
          <w:rFonts w:ascii="仿宋_GB2312" w:eastAsia="仿宋_GB2312" w:hAnsi="仿宋_GB2312" w:cs="仿宋_GB2312" w:hint="eastAsia"/>
          <w:color w:val="333333"/>
          <w:kern w:val="0"/>
          <w:sz w:val="32"/>
          <w:szCs w:val="32"/>
        </w:rPr>
        <w:t>年减少</w:t>
      </w:r>
      <w:r w:rsidRPr="00C16A00">
        <w:rPr>
          <w:rFonts w:ascii="仿宋_GB2312" w:eastAsia="仿宋_GB2312" w:hAnsi="仿宋_GB2312" w:cs="仿宋_GB2312"/>
          <w:color w:val="333333"/>
          <w:kern w:val="0"/>
          <w:sz w:val="32"/>
          <w:szCs w:val="32"/>
        </w:rPr>
        <w:t>299.92</w:t>
      </w:r>
      <w:r w:rsidRPr="00C16A00">
        <w:rPr>
          <w:rFonts w:ascii="仿宋_GB2312" w:eastAsia="仿宋_GB2312" w:hAnsi="仿宋_GB2312" w:cs="仿宋_GB2312" w:hint="eastAsia"/>
          <w:color w:val="333333"/>
          <w:kern w:val="0"/>
          <w:sz w:val="32"/>
          <w:szCs w:val="32"/>
        </w:rPr>
        <w:t>万</w:t>
      </w:r>
      <w:r>
        <w:rPr>
          <w:rFonts w:ascii="仿宋_GB2312" w:eastAsia="仿宋_GB2312" w:hAnsi="仿宋_GB2312" w:cs="仿宋_GB2312" w:hint="eastAsia"/>
          <w:color w:val="333333"/>
          <w:kern w:val="0"/>
          <w:sz w:val="32"/>
          <w:szCs w:val="32"/>
        </w:rPr>
        <w:t>元。</w:t>
      </w:r>
    </w:p>
    <w:p w14:paraId="04A548A7" w14:textId="77777777" w:rsidR="00204C3C" w:rsidRDefault="007F4DD0">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14:paraId="53E0D45B" w14:textId="77777777" w:rsidR="00204C3C" w:rsidRDefault="007F4DD0">
      <w:pPr>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Pr>
          <w:rFonts w:ascii="仿宋_GB2312" w:eastAsia="仿宋_GB2312" w:hAnsi="仿宋_GB2312" w:cs="仿宋_GB2312"/>
          <w:color w:val="333333"/>
          <w:kern w:val="0"/>
          <w:sz w:val="32"/>
          <w:szCs w:val="32"/>
        </w:rPr>
        <w:t>94.25</w:t>
      </w:r>
      <w:r>
        <w:rPr>
          <w:rFonts w:ascii="仿宋_GB2312" w:eastAsia="仿宋_GB2312" w:hAnsi="仿宋_GB2312" w:cs="仿宋_GB2312" w:hint="eastAsia"/>
          <w:color w:val="333333"/>
          <w:kern w:val="0"/>
          <w:sz w:val="32"/>
          <w:szCs w:val="32"/>
        </w:rPr>
        <w:t>万元。主要包括办公费、电费、邮电费、取暖费、差旅费、维修（护）费、公务接待费、劳务费、工会经费、公务用车运行维护费、其他交通费、</w:t>
      </w:r>
      <w:r>
        <w:rPr>
          <w:rFonts w:ascii="仿宋_GB2312" w:eastAsia="仿宋_GB2312" w:hAnsi="仿宋_GB2312" w:cs="仿宋_GB2312"/>
          <w:color w:val="333333"/>
          <w:kern w:val="0"/>
          <w:sz w:val="32"/>
          <w:szCs w:val="32"/>
        </w:rPr>
        <w:t>其他商品和服务支出</w:t>
      </w:r>
      <w:r>
        <w:rPr>
          <w:rFonts w:ascii="仿宋_GB2312" w:eastAsia="仿宋_GB2312" w:hAnsi="仿宋_GB2312" w:cs="仿宋_GB2312" w:hint="eastAsia"/>
          <w:color w:val="333333"/>
          <w:kern w:val="0"/>
          <w:sz w:val="32"/>
          <w:szCs w:val="32"/>
        </w:rPr>
        <w:t>、办公设备等。</w:t>
      </w:r>
    </w:p>
    <w:p w14:paraId="733F8EE8" w14:textId="77777777" w:rsidR="00204C3C" w:rsidRDefault="007F4DD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14:paraId="685A510A" w14:textId="7777777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14:paraId="6BE3E916" w14:textId="77777777" w:rsidR="00204C3C" w:rsidRDefault="007F4DD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四、“三公”经费预算情况</w:t>
      </w:r>
    </w:p>
    <w:p w14:paraId="2171E5E2" w14:textId="6BB07D9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hAnsi="仿宋_GB2312" w:cs="仿宋_GB2312"/>
          <w:color w:val="333333"/>
          <w:kern w:val="0"/>
          <w:sz w:val="32"/>
          <w:szCs w:val="32"/>
        </w:rPr>
        <w:t>10</w:t>
      </w:r>
      <w:r>
        <w:rPr>
          <w:rFonts w:ascii="仿宋_GB2312" w:eastAsia="仿宋_GB2312" w:hAnsi="仿宋_GB2312" w:cs="仿宋_GB2312" w:hint="eastAsia"/>
          <w:color w:val="333333"/>
          <w:kern w:val="0"/>
          <w:sz w:val="32"/>
          <w:szCs w:val="32"/>
        </w:rPr>
        <w:t>万元，</w:t>
      </w:r>
      <w:r w:rsidR="00C16A00">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。其中：</w:t>
      </w:r>
    </w:p>
    <w:p w14:paraId="298CD05E" w14:textId="7777777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万元，与上年持平。</w:t>
      </w:r>
    </w:p>
    <w:p w14:paraId="1A2261A5" w14:textId="7777777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color w:val="333333"/>
          <w:kern w:val="0"/>
          <w:sz w:val="32"/>
          <w:szCs w:val="32"/>
        </w:rPr>
        <w:t>2</w:t>
      </w:r>
      <w:r>
        <w:rPr>
          <w:rFonts w:ascii="仿宋_GB2312" w:eastAsia="仿宋_GB2312" w:hAnsi="仿宋_GB2312" w:cs="仿宋_GB2312" w:hint="eastAsia"/>
          <w:color w:val="333333"/>
          <w:kern w:val="0"/>
          <w:sz w:val="32"/>
          <w:szCs w:val="32"/>
        </w:rPr>
        <w:t>万元，与上年持平；</w:t>
      </w:r>
    </w:p>
    <w:p w14:paraId="3408B2F6" w14:textId="140D0201"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Pr>
          <w:rFonts w:ascii="仿宋_GB2312" w:eastAsia="仿宋_GB2312" w:hAnsi="仿宋_GB2312" w:cs="仿宋_GB2312"/>
          <w:color w:val="333333"/>
          <w:kern w:val="0"/>
          <w:sz w:val="32"/>
          <w:szCs w:val="32"/>
        </w:rPr>
        <w:t>8</w:t>
      </w:r>
      <w:r>
        <w:rPr>
          <w:rFonts w:ascii="仿宋_GB2312" w:eastAsia="仿宋_GB2312" w:hAnsi="仿宋_GB2312" w:cs="仿宋_GB2312" w:hint="eastAsia"/>
          <w:color w:val="333333"/>
          <w:kern w:val="0"/>
          <w:sz w:val="32"/>
          <w:szCs w:val="32"/>
        </w:rPr>
        <w:t>万元，</w:t>
      </w:r>
      <w:r w:rsidR="00C16A00">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w:t>
      </w:r>
    </w:p>
    <w:p w14:paraId="4CC64DCD" w14:textId="77777777" w:rsidR="00204C3C" w:rsidRDefault="007F4DD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14:paraId="6EA3816B" w14:textId="7777777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台，金额</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万元，单位价值 50 万元以上的通用设备</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台，单位价值 100万元以上的专用设备</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台。</w:t>
      </w:r>
    </w:p>
    <w:p w14:paraId="11A8DECF" w14:textId="77777777" w:rsidR="00204C3C" w:rsidRDefault="007F4DD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六、预算绩效目标情况</w:t>
      </w:r>
    </w:p>
    <w:p w14:paraId="16786546" w14:textId="77777777" w:rsidR="00204C3C" w:rsidRDefault="007F4DD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Pr>
          <w:rFonts w:ascii="仿宋_GB2312" w:eastAsia="仿宋_GB2312" w:hAnsi="仿宋_GB2312" w:cs="仿宋_GB2312"/>
          <w:color w:val="333333"/>
          <w:kern w:val="0"/>
          <w:sz w:val="32"/>
          <w:szCs w:val="32"/>
        </w:rPr>
        <w:t>3</w:t>
      </w:r>
      <w:r>
        <w:rPr>
          <w:rFonts w:ascii="仿宋_GB2312" w:eastAsia="仿宋_GB2312" w:hAnsi="仿宋_GB2312" w:cs="仿宋_GB2312" w:hint="eastAsia"/>
          <w:color w:val="333333"/>
          <w:kern w:val="0"/>
          <w:sz w:val="32"/>
          <w:szCs w:val="32"/>
        </w:rPr>
        <w:t>个，实际编制部门（单位）整体绩效目标共</w:t>
      </w:r>
      <w:r>
        <w:rPr>
          <w:rFonts w:ascii="仿宋_GB2312" w:eastAsia="仿宋_GB2312" w:hAnsi="仿宋_GB2312" w:cs="仿宋_GB2312"/>
          <w:color w:val="333333"/>
          <w:kern w:val="0"/>
          <w:sz w:val="32"/>
          <w:szCs w:val="32"/>
        </w:rPr>
        <w:t>3</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Pr>
          <w:rFonts w:ascii="仿宋_GB2312" w:eastAsia="仿宋_GB2312" w:hAnsi="仿宋_GB2312" w:cs="仿宋_GB2312"/>
          <w:color w:val="333333"/>
          <w:kern w:val="0"/>
          <w:sz w:val="32"/>
          <w:szCs w:val="32"/>
        </w:rPr>
        <w:t>2</w:t>
      </w:r>
      <w:r>
        <w:rPr>
          <w:rFonts w:ascii="仿宋_GB2312" w:eastAsia="仿宋_GB2312" w:hAnsi="仿宋_GB2312" w:cs="仿宋_GB2312" w:hint="eastAsia"/>
          <w:color w:val="333333"/>
          <w:kern w:val="0"/>
          <w:sz w:val="32"/>
          <w:szCs w:val="32"/>
        </w:rPr>
        <w:t>个，实际编制绩效目标的特定目标类项目共</w:t>
      </w:r>
      <w:r>
        <w:rPr>
          <w:rFonts w:ascii="仿宋_GB2312" w:eastAsia="仿宋_GB2312" w:hAnsi="仿宋_GB2312" w:cs="仿宋_GB2312"/>
          <w:color w:val="333333"/>
          <w:kern w:val="0"/>
          <w:sz w:val="32"/>
          <w:szCs w:val="32"/>
        </w:rPr>
        <w:t>2</w:t>
      </w:r>
      <w:r>
        <w:rPr>
          <w:rFonts w:ascii="仿宋_GB2312" w:eastAsia="仿宋_GB2312" w:hAnsi="仿宋_GB2312" w:cs="仿宋_GB2312" w:hint="eastAsia"/>
          <w:color w:val="333333"/>
          <w:kern w:val="0"/>
          <w:sz w:val="32"/>
          <w:szCs w:val="32"/>
        </w:rPr>
        <w:t>个,涉及资金</w:t>
      </w:r>
      <w:r>
        <w:rPr>
          <w:rFonts w:ascii="仿宋_GB2312" w:eastAsia="仿宋_GB2312" w:hAnsi="仿宋_GB2312" w:cs="仿宋_GB2312"/>
          <w:color w:val="333333"/>
          <w:kern w:val="0"/>
          <w:sz w:val="32"/>
          <w:szCs w:val="32"/>
        </w:rPr>
        <w:t>232.15</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14:paraId="23D1D924" w14:textId="77777777" w:rsidR="00204C3C" w:rsidRDefault="007F4DD0">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w:t>
      </w:r>
      <w:r w:rsidR="009D2C70">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名词解释</w:t>
      </w:r>
    </w:p>
    <w:p w14:paraId="44840216" w14:textId="77777777" w:rsidR="00204C3C" w:rsidRDefault="00204C3C">
      <w:pPr>
        <w:widowControl/>
        <w:spacing w:line="600" w:lineRule="exact"/>
        <w:jc w:val="center"/>
        <w:rPr>
          <w:rFonts w:ascii="宋体" w:eastAsia="宋体" w:hAnsi="宋体" w:cs="宋体"/>
          <w:color w:val="333333"/>
          <w:kern w:val="0"/>
          <w:sz w:val="36"/>
          <w:szCs w:val="36"/>
        </w:rPr>
      </w:pPr>
    </w:p>
    <w:p w14:paraId="1750CED3" w14:textId="77777777" w:rsidR="00204C3C" w:rsidRDefault="007F4DD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14:paraId="121B3D69" w14:textId="77777777" w:rsidR="00204C3C" w:rsidRDefault="007F4DD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proofErr w:type="gramStart"/>
      <w:r>
        <w:rPr>
          <w:rFonts w:ascii="仿宋_GB2312" w:eastAsia="仿宋_GB2312" w:hAnsi="仿宋_GB2312" w:cs="仿宋_GB2312" w:hint="eastAsia"/>
          <w:color w:val="333333"/>
          <w:kern w:val="0"/>
          <w:sz w:val="32"/>
          <w:szCs w:val="32"/>
          <w:shd w:val="clear" w:color="auto" w:fill="FFFFFF"/>
        </w:rPr>
        <w:t>指保障</w:t>
      </w:r>
      <w:proofErr w:type="gramEnd"/>
      <w:r>
        <w:rPr>
          <w:rFonts w:ascii="仿宋_GB2312" w:eastAsia="仿宋_GB2312" w:hAnsi="仿宋_GB2312" w:cs="仿宋_GB2312" w:hint="eastAsia"/>
          <w:color w:val="333333"/>
          <w:kern w:val="0"/>
          <w:sz w:val="32"/>
          <w:szCs w:val="32"/>
          <w:shd w:val="clear" w:color="auto" w:fill="FFFFFF"/>
        </w:rPr>
        <w:t>机构正常运转、完成日常工作任务而发生的人员经费和公用经费。</w:t>
      </w:r>
    </w:p>
    <w:p w14:paraId="3A0FA6EF" w14:textId="77777777" w:rsidR="00204C3C" w:rsidRDefault="007F4DD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14:paraId="0583E4BC" w14:textId="77777777" w:rsidR="00204C3C" w:rsidRDefault="007F4DD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w:t>
      </w:r>
      <w:proofErr w:type="gramStart"/>
      <w:r>
        <w:rPr>
          <w:rFonts w:ascii="仿宋_GB2312" w:eastAsia="仿宋_GB2312" w:hAnsi="仿宋_GB2312" w:cs="仿宋_GB2312" w:hint="eastAsia"/>
          <w:color w:val="333333"/>
          <w:kern w:val="0"/>
          <w:sz w:val="32"/>
          <w:szCs w:val="32"/>
          <w:shd w:val="clear" w:color="auto" w:fill="FFFFFF"/>
        </w:rPr>
        <w:t>费反应</w:t>
      </w:r>
      <w:proofErr w:type="gramEnd"/>
      <w:r>
        <w:rPr>
          <w:rFonts w:ascii="仿宋_GB2312" w:eastAsia="仿宋_GB2312" w:hAnsi="仿宋_GB2312" w:cs="仿宋_GB2312" w:hint="eastAsia"/>
          <w:color w:val="333333"/>
          <w:kern w:val="0"/>
          <w:sz w:val="32"/>
          <w:szCs w:val="32"/>
          <w:shd w:val="clear" w:color="auto" w:fill="FFFFFF"/>
        </w:rPr>
        <w:t>单位公务出国（境）的住宿费、旅费、伙食补助费、杂费、培训费等支出；公务用车购置及运行</w:t>
      </w:r>
      <w:proofErr w:type="gramStart"/>
      <w:r>
        <w:rPr>
          <w:rFonts w:ascii="仿宋_GB2312" w:eastAsia="仿宋_GB2312" w:hAnsi="仿宋_GB2312" w:cs="仿宋_GB2312" w:hint="eastAsia"/>
          <w:color w:val="333333"/>
          <w:kern w:val="0"/>
          <w:sz w:val="32"/>
          <w:szCs w:val="32"/>
          <w:shd w:val="clear" w:color="auto" w:fill="FFFFFF"/>
        </w:rPr>
        <w:t>费反映</w:t>
      </w:r>
      <w:proofErr w:type="gramEnd"/>
      <w:r>
        <w:rPr>
          <w:rFonts w:ascii="仿宋_GB2312" w:eastAsia="仿宋_GB2312" w:hAnsi="仿宋_GB2312" w:cs="仿宋_GB2312" w:hint="eastAsia"/>
          <w:color w:val="333333"/>
          <w:kern w:val="0"/>
          <w:sz w:val="32"/>
          <w:szCs w:val="32"/>
          <w:shd w:val="clear" w:color="auto" w:fill="FFFFFF"/>
        </w:rPr>
        <w:t>单位公务用车购置费及租用费、燃料费、维修费、过路过桥费、保险费、安全奖励费用等支出；公务接待</w:t>
      </w:r>
      <w:proofErr w:type="gramStart"/>
      <w:r>
        <w:rPr>
          <w:rFonts w:ascii="仿宋_GB2312" w:eastAsia="仿宋_GB2312" w:hAnsi="仿宋_GB2312" w:cs="仿宋_GB2312" w:hint="eastAsia"/>
          <w:color w:val="333333"/>
          <w:kern w:val="0"/>
          <w:sz w:val="32"/>
          <w:szCs w:val="32"/>
          <w:shd w:val="clear" w:color="auto" w:fill="FFFFFF"/>
        </w:rPr>
        <w:t>费反映</w:t>
      </w:r>
      <w:proofErr w:type="gramEnd"/>
      <w:r>
        <w:rPr>
          <w:rFonts w:ascii="仿宋_GB2312" w:eastAsia="仿宋_GB2312" w:hAnsi="仿宋_GB2312" w:cs="仿宋_GB2312" w:hint="eastAsia"/>
          <w:color w:val="333333"/>
          <w:kern w:val="0"/>
          <w:sz w:val="32"/>
          <w:szCs w:val="32"/>
          <w:shd w:val="clear" w:color="auto" w:fill="FFFFFF"/>
        </w:rPr>
        <w:t>单位按规定开支的各类公务接待（含外宾接待）支出。</w:t>
      </w:r>
    </w:p>
    <w:p w14:paraId="2FEAC5D5" w14:textId="77777777" w:rsidR="00204C3C" w:rsidRDefault="007F4DD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5.</w:t>
      </w:r>
      <w:r>
        <w:rPr>
          <w:rFonts w:ascii="仿宋_GB2312" w:eastAsia="仿宋_GB2312" w:hAnsi="仿宋_GB2312" w:cs="仿宋_GB2312"/>
          <w:b/>
          <w:bCs/>
          <w:color w:val="333333"/>
          <w:kern w:val="0"/>
          <w:sz w:val="32"/>
          <w:szCs w:val="32"/>
          <w:shd w:val="clear" w:color="auto" w:fill="FFFFFF"/>
        </w:rPr>
        <w:t>一般公共服务（类）政府办公厅（室）及相关机构事</w:t>
      </w:r>
      <w:r>
        <w:rPr>
          <w:rFonts w:ascii="仿宋_GB2312" w:eastAsia="仿宋_GB2312" w:hAnsi="仿宋_GB2312" w:cs="仿宋_GB2312" w:hint="eastAsia"/>
          <w:b/>
          <w:bCs/>
          <w:color w:val="333333"/>
          <w:kern w:val="0"/>
          <w:sz w:val="32"/>
          <w:szCs w:val="32"/>
          <w:shd w:val="clear" w:color="auto" w:fill="FFFFFF"/>
        </w:rPr>
        <w:t>务</w:t>
      </w:r>
      <w:r>
        <w:rPr>
          <w:rFonts w:ascii="仿宋_GB2312" w:eastAsia="仿宋_GB2312" w:hAnsi="仿宋_GB2312" w:cs="仿宋_GB2312"/>
          <w:b/>
          <w:bCs/>
          <w:color w:val="333333"/>
          <w:kern w:val="0"/>
          <w:sz w:val="32"/>
          <w:szCs w:val="32"/>
          <w:shd w:val="clear" w:color="auto" w:fill="FFFFFF"/>
        </w:rPr>
        <w:t>（款）行政运行（项）：</w:t>
      </w:r>
      <w:r>
        <w:rPr>
          <w:rFonts w:ascii="仿宋_GB2312" w:eastAsia="仿宋_GB2312" w:hAnsi="仿宋_GB2312" w:cs="仿宋_GB2312"/>
          <w:color w:val="333333"/>
          <w:kern w:val="0"/>
          <w:sz w:val="32"/>
          <w:szCs w:val="32"/>
          <w:shd w:val="clear" w:color="auto" w:fill="FFFFFF"/>
        </w:rPr>
        <w:t>反应行政单位（包括实行公务员管理的事业单位）的基本支出。</w:t>
      </w:r>
    </w:p>
    <w:p w14:paraId="5CB4456F"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Pr>
          <w:rFonts w:ascii="仿宋_GB2312" w:eastAsia="仿宋_GB2312" w:hAnsi="仿宋_GB2312" w:cs="仿宋_GB2312"/>
          <w:b/>
          <w:bCs/>
          <w:color w:val="333333"/>
          <w:kern w:val="0"/>
          <w:sz w:val="32"/>
          <w:szCs w:val="32"/>
          <w:shd w:val="clear" w:color="auto" w:fill="FFFFFF"/>
        </w:rPr>
        <w:t>.教育支出（类）普通教育（款）小学教育（项）：</w:t>
      </w:r>
      <w:r>
        <w:rPr>
          <w:rFonts w:ascii="仿宋_GB2312" w:eastAsia="仿宋_GB2312" w:hAnsi="仿宋_GB2312" w:cs="仿宋_GB2312"/>
          <w:color w:val="333333"/>
          <w:kern w:val="0"/>
          <w:sz w:val="32"/>
          <w:szCs w:val="32"/>
          <w:shd w:val="clear" w:color="auto" w:fill="FFFFFF"/>
        </w:rPr>
        <w:t>反应各部门举办的小学教育支出。政府各部门对社会组织等举办的小学的资助，如捐赠、补贴等，也在本科目中反应。</w:t>
      </w:r>
    </w:p>
    <w:p w14:paraId="0AD890FD"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7.教育支出（类）普通教育（款）初中教育（项）：</w:t>
      </w:r>
      <w:r>
        <w:rPr>
          <w:rFonts w:ascii="仿宋_GB2312" w:eastAsia="仿宋_GB2312" w:hAnsi="仿宋_GB2312" w:cs="仿宋_GB2312"/>
          <w:color w:val="333333"/>
          <w:kern w:val="0"/>
          <w:sz w:val="32"/>
          <w:szCs w:val="32"/>
          <w:shd w:val="clear" w:color="auto" w:fill="FFFFFF"/>
        </w:rPr>
        <w:t>反应各部门举办的初中教育支出。政府各部门对社会组织等举办的初中的资助，如捐赠、补贴等，也在本科目中反应。</w:t>
      </w:r>
    </w:p>
    <w:p w14:paraId="313EEF56" w14:textId="77777777" w:rsidR="00204C3C" w:rsidRDefault="007F4DD0">
      <w:pPr>
        <w:ind w:firstLineChars="200" w:firstLine="643"/>
        <w:rPr>
          <w:rFonts w:ascii="仿宋" w:eastAsia="仿宋" w:hAnsi="仿宋"/>
          <w:sz w:val="32"/>
          <w:szCs w:val="32"/>
        </w:rPr>
      </w:pPr>
      <w:r>
        <w:rPr>
          <w:rFonts w:ascii="仿宋_GB2312" w:eastAsia="仿宋_GB2312" w:hAnsi="仿宋_GB2312" w:cs="仿宋_GB2312"/>
          <w:b/>
          <w:bCs/>
          <w:color w:val="333333"/>
          <w:kern w:val="0"/>
          <w:sz w:val="32"/>
          <w:szCs w:val="32"/>
          <w:shd w:val="clear" w:color="auto" w:fill="FFFFFF"/>
        </w:rPr>
        <w:t>8.社会保障和就业（类）行政事业单位离退休（款）归口管理的行政单位离退休（项）：</w:t>
      </w:r>
      <w:r>
        <w:rPr>
          <w:rFonts w:ascii="仿宋_GB2312" w:eastAsia="仿宋_GB2312" w:hAnsi="仿宋_GB2312" w:cs="仿宋_GB2312"/>
          <w:color w:val="333333"/>
          <w:kern w:val="0"/>
          <w:sz w:val="32"/>
          <w:szCs w:val="32"/>
          <w:shd w:val="clear" w:color="auto" w:fill="FFFFFF"/>
        </w:rPr>
        <w:t>反应行政单位（包括实行公务员管理的事业单位）开支的离退休经费。 </w:t>
      </w:r>
      <w:r>
        <w:rPr>
          <w:rFonts w:ascii="Calibri" w:eastAsia="仿宋" w:hAnsi="Calibri" w:cs="Calibri"/>
          <w:sz w:val="32"/>
          <w:szCs w:val="32"/>
        </w:rPr>
        <w:t>  </w:t>
      </w:r>
    </w:p>
    <w:p w14:paraId="56707D46"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9.社会保障和就业（类）行政事业单位离退休（款）事业单位离退休（项）：</w:t>
      </w:r>
      <w:r>
        <w:rPr>
          <w:rFonts w:ascii="仿宋_GB2312" w:eastAsia="仿宋_GB2312" w:hAnsi="仿宋_GB2312" w:cs="仿宋_GB2312"/>
          <w:color w:val="333333"/>
          <w:kern w:val="0"/>
          <w:sz w:val="32"/>
          <w:szCs w:val="32"/>
          <w:shd w:val="clear" w:color="auto" w:fill="FFFFFF"/>
        </w:rPr>
        <w:t>反应事业单位开支的离退休经费。</w:t>
      </w:r>
    </w:p>
    <w:p w14:paraId="3482C7C3"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10.社会保障和就业（类）行政事业单位养老支出（款）机关事业单位基本养老保险缴费支出（项）：</w:t>
      </w:r>
      <w:r>
        <w:rPr>
          <w:rFonts w:ascii="仿宋_GB2312" w:eastAsia="仿宋_GB2312" w:hAnsi="仿宋_GB2312" w:cs="仿宋_GB2312"/>
          <w:color w:val="333333"/>
          <w:kern w:val="0"/>
          <w:sz w:val="32"/>
          <w:szCs w:val="32"/>
          <w:shd w:val="clear" w:color="auto" w:fill="FFFFFF"/>
        </w:rPr>
        <w:t>反应机关事业单位实施养老保险制度由单位缴纳的基本养老保险费支出 </w:t>
      </w:r>
      <w:r>
        <w:rPr>
          <w:rFonts w:ascii="仿宋_GB2312" w:eastAsia="仿宋_GB2312" w:hAnsi="仿宋_GB2312" w:cs="仿宋_GB2312" w:hint="eastAsia"/>
          <w:color w:val="333333"/>
          <w:kern w:val="0"/>
          <w:sz w:val="32"/>
          <w:szCs w:val="32"/>
          <w:shd w:val="clear" w:color="auto" w:fill="FFFFFF"/>
        </w:rPr>
        <w:t>。</w:t>
      </w:r>
    </w:p>
    <w:p w14:paraId="18365BCF"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11.住房保障（类）住房改革（款）住房公积金（项）：</w:t>
      </w:r>
      <w:r>
        <w:rPr>
          <w:rFonts w:ascii="仿宋_GB2312" w:eastAsia="仿宋_GB2312" w:hAnsi="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14:paraId="786CD11D"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12.卫生健康（类）行政事业单位医疗（款）行政单位医疗</w:t>
      </w:r>
      <w:r>
        <w:rPr>
          <w:rFonts w:ascii="仿宋_GB2312" w:eastAsia="仿宋_GB2312" w:hAnsi="仿宋_GB2312" w:cs="仿宋_GB2312"/>
          <w:b/>
          <w:bCs/>
          <w:color w:val="333333"/>
          <w:kern w:val="0"/>
          <w:sz w:val="32"/>
          <w:szCs w:val="32"/>
          <w:shd w:val="clear" w:color="auto" w:fill="FFFFFF"/>
        </w:rPr>
        <w:lastRenderedPageBreak/>
        <w:t>（项）：</w:t>
      </w:r>
      <w:r>
        <w:rPr>
          <w:rFonts w:ascii="仿宋_GB2312" w:eastAsia="仿宋_GB2312" w:hAnsi="仿宋_GB2312" w:cs="仿宋_GB2312"/>
          <w:color w:val="333333"/>
          <w:kern w:val="0"/>
          <w:sz w:val="32"/>
          <w:szCs w:val="32"/>
          <w:shd w:val="clear" w:color="auto" w:fill="FFFFFF"/>
        </w:rPr>
        <w:t>反应财政部门安排的行政单位（包括实行公务员管理的事业单位，下同）基本医疗保险缴费经费，未参加医疗保险的行政单位的公费医疗经费，按国家规定享受离休人员、红军老战士待遇人员的医疗经费。</w:t>
      </w:r>
    </w:p>
    <w:p w14:paraId="019F393B"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13.卫生健康（类）行政事业单位医疗（款）事业单位医疗（项）：</w:t>
      </w:r>
      <w:r>
        <w:rPr>
          <w:rFonts w:ascii="仿宋_GB2312" w:eastAsia="仿宋_GB2312" w:hAnsi="仿宋_GB2312" w:cs="仿宋_GB2312"/>
          <w:color w:val="333333"/>
          <w:kern w:val="0"/>
          <w:sz w:val="32"/>
          <w:szCs w:val="32"/>
          <w:shd w:val="clear" w:color="auto" w:fill="FFFFFF"/>
        </w:rPr>
        <w:t>反应财政部门安排的事业单位基本医疗保险缴费经费，未参加医疗保险的事业单位的公费医疗经费，按国家规定享受离休人员待遇的医疗经费。</w:t>
      </w:r>
    </w:p>
    <w:p w14:paraId="54632AEE" w14:textId="77777777" w:rsidR="00204C3C" w:rsidRDefault="007F4DD0">
      <w:pPr>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b/>
          <w:bCs/>
          <w:color w:val="333333"/>
          <w:kern w:val="0"/>
          <w:sz w:val="32"/>
          <w:szCs w:val="32"/>
          <w:shd w:val="clear" w:color="auto" w:fill="FFFFFF"/>
        </w:rPr>
        <w:t>14.农林水（类）农村综合改革（款）对村民委员会和村党支部的补助（项）：</w:t>
      </w:r>
      <w:r>
        <w:rPr>
          <w:rFonts w:ascii="仿宋_GB2312" w:eastAsia="仿宋_GB2312" w:hAnsi="仿宋_GB2312" w:cs="仿宋_GB2312"/>
          <w:color w:val="333333"/>
          <w:kern w:val="0"/>
          <w:sz w:val="32"/>
          <w:szCs w:val="32"/>
          <w:shd w:val="clear" w:color="auto" w:fill="FFFFFF"/>
        </w:rPr>
        <w:t>反应各级财政对村民委员会和村党支部的补助支出，以及支持建立县级基本财力保障机制安排的村级组织</w:t>
      </w:r>
      <w:proofErr w:type="gramStart"/>
      <w:r>
        <w:rPr>
          <w:rFonts w:ascii="仿宋_GB2312" w:eastAsia="仿宋_GB2312" w:hAnsi="仿宋_GB2312" w:cs="仿宋_GB2312"/>
          <w:color w:val="333333"/>
          <w:kern w:val="0"/>
          <w:sz w:val="32"/>
          <w:szCs w:val="32"/>
          <w:shd w:val="clear" w:color="auto" w:fill="FFFFFF"/>
        </w:rPr>
        <w:t>运转奖补资金</w:t>
      </w:r>
      <w:proofErr w:type="gramEnd"/>
      <w:r>
        <w:rPr>
          <w:rFonts w:ascii="仿宋_GB2312" w:eastAsia="仿宋_GB2312" w:hAnsi="仿宋_GB2312" w:cs="仿宋_GB2312"/>
          <w:color w:val="333333"/>
          <w:kern w:val="0"/>
          <w:sz w:val="32"/>
          <w:szCs w:val="32"/>
          <w:shd w:val="clear" w:color="auto" w:fill="FFFFFF"/>
        </w:rPr>
        <w:t>。</w:t>
      </w:r>
    </w:p>
    <w:p w14:paraId="7B72C387" w14:textId="77777777" w:rsidR="00204C3C" w:rsidRDefault="007F4DD0">
      <w:pPr>
        <w:ind w:firstLineChars="200" w:firstLine="643"/>
        <w:rPr>
          <w:rFonts w:ascii="仿宋" w:eastAsia="仿宋" w:hAnsi="仿宋"/>
          <w:sz w:val="32"/>
          <w:szCs w:val="32"/>
        </w:rPr>
      </w:pPr>
      <w:r>
        <w:rPr>
          <w:rFonts w:ascii="仿宋_GB2312" w:eastAsia="仿宋_GB2312" w:hAnsi="仿宋_GB2312" w:cs="仿宋_GB2312"/>
          <w:b/>
          <w:bCs/>
          <w:color w:val="333333"/>
          <w:kern w:val="0"/>
          <w:sz w:val="32"/>
          <w:szCs w:val="32"/>
          <w:shd w:val="clear" w:color="auto" w:fill="FFFFFF"/>
        </w:rPr>
        <w:t>15.农林水（类）农村综合改革（款）农村综合改革示范试点补助（项）：</w:t>
      </w:r>
      <w:r>
        <w:rPr>
          <w:rFonts w:ascii="仿宋_GB2312" w:eastAsia="仿宋_GB2312" w:hAnsi="仿宋_GB2312" w:cs="仿宋_GB2312"/>
          <w:color w:val="333333"/>
          <w:kern w:val="0"/>
          <w:sz w:val="32"/>
          <w:szCs w:val="32"/>
          <w:shd w:val="clear" w:color="auto" w:fill="FFFFFF"/>
        </w:rPr>
        <w:t>反应各级财政对农村综合改革示范试点、新型农业社会化服务体系建设等补助支出。</w:t>
      </w:r>
    </w:p>
    <w:p w14:paraId="7CC3F9E4" w14:textId="77777777" w:rsidR="00204C3C" w:rsidRDefault="00204C3C">
      <w:pPr>
        <w:spacing w:line="600" w:lineRule="exact"/>
        <w:jc w:val="left"/>
        <w:rPr>
          <w:rFonts w:ascii="宋体" w:eastAsia="宋体" w:hAnsi="宋体" w:cs="宋体"/>
          <w:color w:val="333333"/>
          <w:kern w:val="0"/>
          <w:sz w:val="36"/>
          <w:szCs w:val="36"/>
          <w:shd w:val="clear" w:color="auto" w:fill="FFFFFF"/>
        </w:rPr>
      </w:pPr>
    </w:p>
    <w:p w14:paraId="65E1B4B0" w14:textId="77777777" w:rsidR="00204C3C" w:rsidRDefault="00204C3C">
      <w:pPr>
        <w:spacing w:line="600" w:lineRule="exact"/>
        <w:jc w:val="left"/>
        <w:rPr>
          <w:rFonts w:ascii="宋体" w:eastAsia="宋体" w:hAnsi="宋体" w:cs="宋体"/>
          <w:color w:val="333333"/>
          <w:kern w:val="0"/>
          <w:sz w:val="36"/>
          <w:szCs w:val="36"/>
          <w:shd w:val="clear" w:color="auto" w:fill="FFFFFF"/>
        </w:rPr>
      </w:pPr>
    </w:p>
    <w:p w14:paraId="1EDDB096" w14:textId="252595DD" w:rsidR="00204C3C" w:rsidRDefault="007F4DD0">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 2022年龙</w:t>
      </w:r>
      <w:r w:rsidRPr="00C16A00">
        <w:rPr>
          <w:rFonts w:ascii="黑体" w:eastAsia="黑体" w:hAnsi="黑体" w:cs="宋体" w:hint="eastAsia"/>
          <w:color w:val="333333"/>
          <w:kern w:val="0"/>
          <w:sz w:val="36"/>
          <w:szCs w:val="36"/>
        </w:rPr>
        <w:t>城区</w:t>
      </w:r>
      <w:r w:rsidR="00C16A00" w:rsidRPr="00C16A00">
        <w:rPr>
          <w:rFonts w:ascii="黑体" w:eastAsia="黑体" w:hAnsi="黑体" w:cs="宋体" w:hint="eastAsia"/>
          <w:color w:val="333333"/>
          <w:kern w:val="0"/>
          <w:sz w:val="36"/>
          <w:szCs w:val="36"/>
        </w:rPr>
        <w:t>联合镇人民政府</w:t>
      </w:r>
      <w:r w:rsidRPr="00C16A00">
        <w:rPr>
          <w:rFonts w:ascii="黑体" w:eastAsia="黑体" w:hAnsi="黑体" w:cs="宋体" w:hint="eastAsia"/>
          <w:color w:val="333333"/>
          <w:kern w:val="0"/>
          <w:sz w:val="36"/>
          <w:szCs w:val="36"/>
        </w:rPr>
        <w:t>部门</w:t>
      </w:r>
      <w:r>
        <w:rPr>
          <w:rFonts w:ascii="黑体" w:eastAsia="黑体" w:hAnsi="黑体" w:cs="宋体" w:hint="eastAsia"/>
          <w:color w:val="333333"/>
          <w:kern w:val="0"/>
          <w:sz w:val="36"/>
          <w:szCs w:val="36"/>
        </w:rPr>
        <w:t>预算批复表</w:t>
      </w:r>
    </w:p>
    <w:p w14:paraId="39CC2C81" w14:textId="77777777" w:rsidR="00204C3C" w:rsidRDefault="00204C3C">
      <w:pPr>
        <w:widowControl/>
        <w:spacing w:line="600" w:lineRule="exact"/>
        <w:jc w:val="left"/>
        <w:rPr>
          <w:rFonts w:ascii="仿宋_GB2312" w:eastAsia="仿宋_GB2312" w:hAnsi="宋体" w:cs="宋体"/>
          <w:color w:val="333333"/>
          <w:kern w:val="0"/>
          <w:sz w:val="36"/>
          <w:szCs w:val="36"/>
          <w:shd w:val="clear" w:color="auto" w:fill="FFFFFF"/>
        </w:rPr>
      </w:pPr>
    </w:p>
    <w:p w14:paraId="68D42BAD" w14:textId="28C29DA3" w:rsidR="00204C3C" w:rsidRDefault="007F4DD0">
      <w:pPr>
        <w:widowControl/>
        <w:spacing w:line="600" w:lineRule="exact"/>
        <w:jc w:val="left"/>
        <w:rPr>
          <w:rFonts w:ascii="仿宋_GB2312" w:eastAsia="仿宋_GB2312"/>
          <w:sz w:val="36"/>
          <w:szCs w:val="36"/>
          <w:highlight w:val="yellow"/>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w:t>
      </w:r>
      <w:r w:rsidR="00C16A00">
        <w:rPr>
          <w:rFonts w:ascii="仿宋_GB2312" w:eastAsia="仿宋_GB2312" w:hAnsi="宋体" w:cs="宋体" w:hint="eastAsia"/>
          <w:color w:val="333333"/>
          <w:kern w:val="0"/>
          <w:sz w:val="32"/>
          <w:szCs w:val="32"/>
        </w:rPr>
        <w:t>龙城区联合镇人民政府</w:t>
      </w:r>
      <w:r>
        <w:rPr>
          <w:rFonts w:ascii="仿宋_GB2312" w:eastAsia="仿宋_GB2312" w:hAnsi="宋体" w:cs="宋体" w:hint="eastAsia"/>
          <w:color w:val="333333"/>
          <w:kern w:val="0"/>
          <w:sz w:val="32"/>
          <w:szCs w:val="32"/>
        </w:rPr>
        <w:t>部门预算批复表</w:t>
      </w:r>
    </w:p>
    <w:sectPr w:rsidR="00204C3C" w:rsidSect="00E86855">
      <w:footerReference w:type="default" r:id="rId8"/>
      <w:pgSz w:w="11906" w:h="16838"/>
      <w:pgMar w:top="1701" w:right="1418"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136E" w14:textId="77777777" w:rsidR="0005411E" w:rsidRDefault="0005411E">
      <w:r>
        <w:separator/>
      </w:r>
    </w:p>
  </w:endnote>
  <w:endnote w:type="continuationSeparator" w:id="0">
    <w:p w14:paraId="6A53E20A" w14:textId="77777777" w:rsidR="0005411E" w:rsidRDefault="000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C0F4" w14:textId="77777777" w:rsidR="00204C3C" w:rsidRDefault="006A5E52">
    <w:pPr>
      <w:pStyle w:val="a5"/>
    </w:pPr>
    <w:r>
      <w:pict w14:anchorId="72827A0D">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14:paraId="1291484D" w14:textId="77777777" w:rsidR="00204C3C" w:rsidRDefault="00E86855">
                <w:pPr>
                  <w:pStyle w:val="a5"/>
                </w:pPr>
                <w:r>
                  <w:fldChar w:fldCharType="begin"/>
                </w:r>
                <w:r w:rsidR="007F4DD0">
                  <w:instrText xml:space="preserve"> PAGE  \* MERGEFORMAT </w:instrText>
                </w:r>
                <w:r>
                  <w:fldChar w:fldCharType="separate"/>
                </w:r>
                <w:r w:rsidR="009D2C70">
                  <w:rPr>
                    <w:noProof/>
                  </w:rPr>
                  <w:t>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6B62" w14:textId="77777777" w:rsidR="0005411E" w:rsidRDefault="0005411E">
      <w:r>
        <w:separator/>
      </w:r>
    </w:p>
  </w:footnote>
  <w:footnote w:type="continuationSeparator" w:id="0">
    <w:p w14:paraId="70EAC3C0" w14:textId="77777777" w:rsidR="0005411E" w:rsidRDefault="0005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5B86"/>
    <w:multiLevelType w:val="singleLevel"/>
    <w:tmpl w:val="2BBA5B86"/>
    <w:lvl w:ilvl="0">
      <w:start w:val="1"/>
      <w:numFmt w:val="chineseCounting"/>
      <w:suff w:val="nothing"/>
      <w:lvlText w:val="（%1）"/>
      <w:lvlJc w:val="left"/>
      <w:rPr>
        <w:rFonts w:hint="eastAsia"/>
      </w:rPr>
    </w:lvl>
  </w:abstractNum>
  <w:abstractNum w:abstractNumId="1" w15:restartNumberingAfterBreak="0">
    <w:nsid w:val="65DDBB29"/>
    <w:multiLevelType w:val="singleLevel"/>
    <w:tmpl w:val="65DDBB29"/>
    <w:lvl w:ilvl="0">
      <w:start w:val="1"/>
      <w:numFmt w:val="chineseCounting"/>
      <w:suff w:val="nothing"/>
      <w:lvlText w:val="%1、"/>
      <w:lvlJc w:val="left"/>
      <w:pPr>
        <w:ind w:left="1062"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4405"/>
    <w:rsid w:val="00013A56"/>
    <w:rsid w:val="000149E6"/>
    <w:rsid w:val="00030A85"/>
    <w:rsid w:val="0003771B"/>
    <w:rsid w:val="00043215"/>
    <w:rsid w:val="00047FE8"/>
    <w:rsid w:val="0005411E"/>
    <w:rsid w:val="00090925"/>
    <w:rsid w:val="00092E0A"/>
    <w:rsid w:val="000C588F"/>
    <w:rsid w:val="000E2768"/>
    <w:rsid w:val="000F5006"/>
    <w:rsid w:val="00103D84"/>
    <w:rsid w:val="001174ED"/>
    <w:rsid w:val="001346CD"/>
    <w:rsid w:val="00164EE2"/>
    <w:rsid w:val="00185E91"/>
    <w:rsid w:val="001A4554"/>
    <w:rsid w:val="001B61B1"/>
    <w:rsid w:val="00204C3C"/>
    <w:rsid w:val="0021024E"/>
    <w:rsid w:val="00213E50"/>
    <w:rsid w:val="00220C5F"/>
    <w:rsid w:val="00221E6D"/>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3321F"/>
    <w:rsid w:val="0054696D"/>
    <w:rsid w:val="00547E1A"/>
    <w:rsid w:val="005553D6"/>
    <w:rsid w:val="00557F0D"/>
    <w:rsid w:val="00562378"/>
    <w:rsid w:val="005B31A3"/>
    <w:rsid w:val="005C2C90"/>
    <w:rsid w:val="005F025F"/>
    <w:rsid w:val="00643982"/>
    <w:rsid w:val="006572C8"/>
    <w:rsid w:val="00674F3C"/>
    <w:rsid w:val="00686E27"/>
    <w:rsid w:val="006A5E52"/>
    <w:rsid w:val="006C5DB9"/>
    <w:rsid w:val="006D318D"/>
    <w:rsid w:val="007233F3"/>
    <w:rsid w:val="007314F8"/>
    <w:rsid w:val="00737963"/>
    <w:rsid w:val="0076348C"/>
    <w:rsid w:val="00773D18"/>
    <w:rsid w:val="0077615C"/>
    <w:rsid w:val="00796FF7"/>
    <w:rsid w:val="007C744B"/>
    <w:rsid w:val="007F4DD0"/>
    <w:rsid w:val="00800800"/>
    <w:rsid w:val="00872639"/>
    <w:rsid w:val="008735FF"/>
    <w:rsid w:val="008C0176"/>
    <w:rsid w:val="008D6038"/>
    <w:rsid w:val="008F639A"/>
    <w:rsid w:val="009222EF"/>
    <w:rsid w:val="00926E8E"/>
    <w:rsid w:val="00930000"/>
    <w:rsid w:val="00937B7A"/>
    <w:rsid w:val="00970F52"/>
    <w:rsid w:val="00975103"/>
    <w:rsid w:val="009758FE"/>
    <w:rsid w:val="00975A87"/>
    <w:rsid w:val="00977A56"/>
    <w:rsid w:val="00987CAA"/>
    <w:rsid w:val="009A4745"/>
    <w:rsid w:val="009A705A"/>
    <w:rsid w:val="009D2C70"/>
    <w:rsid w:val="009F76B7"/>
    <w:rsid w:val="00A32398"/>
    <w:rsid w:val="00A454C4"/>
    <w:rsid w:val="00A77C11"/>
    <w:rsid w:val="00A84A58"/>
    <w:rsid w:val="00A86797"/>
    <w:rsid w:val="00A9299F"/>
    <w:rsid w:val="00AB2A8C"/>
    <w:rsid w:val="00B22BC7"/>
    <w:rsid w:val="00B33CB1"/>
    <w:rsid w:val="00B45810"/>
    <w:rsid w:val="00B757C5"/>
    <w:rsid w:val="00B77772"/>
    <w:rsid w:val="00B8047F"/>
    <w:rsid w:val="00B92519"/>
    <w:rsid w:val="00BD1227"/>
    <w:rsid w:val="00C16A00"/>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86855"/>
    <w:rsid w:val="00EA3988"/>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FF03899"/>
    <w:rsid w:val="1D11562F"/>
    <w:rsid w:val="23446E27"/>
    <w:rsid w:val="24E45CFE"/>
    <w:rsid w:val="3C6077A7"/>
    <w:rsid w:val="403418D1"/>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0ECACB"/>
  <w15:docId w15:val="{44717237-D630-4F4D-BB1D-A492A1B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E8685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E868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86855"/>
    <w:rPr>
      <w:sz w:val="18"/>
      <w:szCs w:val="18"/>
    </w:rPr>
  </w:style>
  <w:style w:type="paragraph" w:styleId="a5">
    <w:name w:val="footer"/>
    <w:basedOn w:val="a"/>
    <w:link w:val="a6"/>
    <w:uiPriority w:val="99"/>
    <w:semiHidden/>
    <w:unhideWhenUsed/>
    <w:qFormat/>
    <w:rsid w:val="00E86855"/>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E8685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E8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unhideWhenUsed/>
    <w:qFormat/>
    <w:rsid w:val="00E86855"/>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86855"/>
    <w:rPr>
      <w:b/>
      <w:bCs/>
    </w:rPr>
  </w:style>
  <w:style w:type="character" w:styleId="ab">
    <w:name w:val="Hyperlink"/>
    <w:basedOn w:val="a0"/>
    <w:uiPriority w:val="99"/>
    <w:semiHidden/>
    <w:unhideWhenUsed/>
    <w:qFormat/>
    <w:rsid w:val="00E86855"/>
    <w:rPr>
      <w:color w:val="0000FF"/>
      <w:u w:val="single"/>
    </w:rPr>
  </w:style>
  <w:style w:type="character" w:customStyle="1" w:styleId="10">
    <w:name w:val="标题 1 字符"/>
    <w:basedOn w:val="a0"/>
    <w:link w:val="1"/>
    <w:uiPriority w:val="9"/>
    <w:qFormat/>
    <w:rsid w:val="00E86855"/>
    <w:rPr>
      <w:rFonts w:ascii="宋体" w:eastAsia="宋体" w:hAnsi="宋体" w:cs="宋体"/>
      <w:b/>
      <w:bCs/>
      <w:kern w:val="36"/>
      <w:sz w:val="48"/>
      <w:szCs w:val="48"/>
    </w:rPr>
  </w:style>
  <w:style w:type="character" w:customStyle="1" w:styleId="20">
    <w:name w:val="标题 2 字符"/>
    <w:basedOn w:val="a0"/>
    <w:link w:val="2"/>
    <w:uiPriority w:val="9"/>
    <w:qFormat/>
    <w:rsid w:val="00E86855"/>
    <w:rPr>
      <w:rFonts w:ascii="宋体" w:eastAsia="宋体" w:hAnsi="宋体" w:cs="宋体"/>
      <w:b/>
      <w:bCs/>
      <w:kern w:val="0"/>
      <w:sz w:val="36"/>
      <w:szCs w:val="36"/>
    </w:rPr>
  </w:style>
  <w:style w:type="character" w:customStyle="1" w:styleId="a8">
    <w:name w:val="页眉 字符"/>
    <w:basedOn w:val="a0"/>
    <w:link w:val="a7"/>
    <w:uiPriority w:val="99"/>
    <w:semiHidden/>
    <w:qFormat/>
    <w:rsid w:val="00E86855"/>
    <w:rPr>
      <w:sz w:val="18"/>
      <w:szCs w:val="18"/>
    </w:rPr>
  </w:style>
  <w:style w:type="character" w:customStyle="1" w:styleId="a6">
    <w:name w:val="页脚 字符"/>
    <w:basedOn w:val="a0"/>
    <w:link w:val="a5"/>
    <w:uiPriority w:val="99"/>
    <w:semiHidden/>
    <w:qFormat/>
    <w:rsid w:val="00E86855"/>
    <w:rPr>
      <w:sz w:val="18"/>
      <w:szCs w:val="18"/>
    </w:rPr>
  </w:style>
  <w:style w:type="character" w:customStyle="1" w:styleId="a4">
    <w:name w:val="批注框文本 字符"/>
    <w:basedOn w:val="a0"/>
    <w:link w:val="a3"/>
    <w:uiPriority w:val="99"/>
    <w:semiHidden/>
    <w:qFormat/>
    <w:rsid w:val="00E868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458</Words>
  <Characters>2616</Characters>
  <Application>Microsoft Office Word</Application>
  <DocSecurity>0</DocSecurity>
  <Lines>21</Lines>
  <Paragraphs>6</Paragraphs>
  <ScaleCrop>false</ScaleCrop>
  <Company>微软中国</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15542130302@163.com</cp:lastModifiedBy>
  <cp:revision>54</cp:revision>
  <cp:lastPrinted>2022-01-06T02:11:00Z</cp:lastPrinted>
  <dcterms:created xsi:type="dcterms:W3CDTF">2022-01-04T06:44:00Z</dcterms:created>
  <dcterms:modified xsi:type="dcterms:W3CDTF">2022-01-11T10:07:00Z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0A46C5CB5A25427DA26057A03F87D632</vt:lpwstr>
  </property>
</Properties>
</file>