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rFonts w:asciiTheme="majorEastAsia" w:hAnsiTheme="majorEastAsia" w:eastAsiaTheme="majorEastAsia"/>
          <w:b/>
          <w:sz w:val="44"/>
          <w:szCs w:val="44"/>
          <w:highlight w:val="none"/>
        </w:rPr>
      </w:pPr>
    </w:p>
    <w:p>
      <w:pPr>
        <w:spacing w:line="600" w:lineRule="exact"/>
        <w:jc w:val="left"/>
        <w:rPr>
          <w:rFonts w:asciiTheme="majorEastAsia" w:hAnsiTheme="majorEastAsia" w:eastAsiaTheme="majorEastAsia"/>
          <w:b/>
          <w:sz w:val="44"/>
          <w:szCs w:val="44"/>
          <w:highlight w:val="none"/>
        </w:rPr>
      </w:pPr>
    </w:p>
    <w:p>
      <w:pPr>
        <w:spacing w:line="600" w:lineRule="exact"/>
        <w:jc w:val="left"/>
        <w:rPr>
          <w:rFonts w:asciiTheme="majorEastAsia" w:hAnsiTheme="majorEastAsia" w:eastAsiaTheme="majorEastAsia"/>
          <w:b/>
          <w:sz w:val="44"/>
          <w:szCs w:val="44"/>
          <w:highlight w:val="none"/>
        </w:rPr>
      </w:pPr>
    </w:p>
    <w:p>
      <w:pPr>
        <w:spacing w:line="600" w:lineRule="exact"/>
        <w:jc w:val="left"/>
        <w:rPr>
          <w:rFonts w:asciiTheme="majorEastAsia" w:hAnsiTheme="majorEastAsia" w:eastAsiaTheme="majorEastAsia"/>
          <w:b/>
          <w:sz w:val="44"/>
          <w:szCs w:val="44"/>
          <w:highlight w:val="none"/>
        </w:rPr>
      </w:pPr>
    </w:p>
    <w:p>
      <w:pPr>
        <w:spacing w:line="700" w:lineRule="exact"/>
        <w:jc w:val="center"/>
        <w:rPr>
          <w:rFonts w:asciiTheme="majorEastAsia" w:hAnsiTheme="majorEastAsia" w:eastAsiaTheme="majorEastAsia"/>
          <w:b/>
          <w:sz w:val="52"/>
          <w:szCs w:val="52"/>
          <w:highlight w:val="none"/>
        </w:rPr>
      </w:pPr>
      <w:r>
        <w:rPr>
          <w:rFonts w:hint="eastAsia" w:asciiTheme="majorEastAsia" w:hAnsiTheme="majorEastAsia" w:eastAsiaTheme="majorEastAsia"/>
          <w:b/>
          <w:sz w:val="52"/>
          <w:szCs w:val="52"/>
          <w:highlight w:val="none"/>
        </w:rPr>
        <w:t>龙城区</w:t>
      </w:r>
      <w:r>
        <w:rPr>
          <w:rFonts w:hint="eastAsia" w:asciiTheme="majorEastAsia" w:hAnsiTheme="majorEastAsia" w:eastAsiaTheme="majorEastAsia"/>
          <w:b/>
          <w:sz w:val="52"/>
          <w:szCs w:val="52"/>
          <w:highlight w:val="none"/>
          <w:lang w:val="en-US" w:eastAsia="zh-CN"/>
        </w:rPr>
        <w:t>西大营子镇政府</w:t>
      </w:r>
      <w:r>
        <w:rPr>
          <w:rFonts w:hint="eastAsia" w:asciiTheme="majorEastAsia" w:hAnsiTheme="majorEastAsia" w:eastAsiaTheme="majorEastAsia"/>
          <w:b/>
          <w:sz w:val="52"/>
          <w:szCs w:val="52"/>
          <w:highlight w:val="none"/>
        </w:rPr>
        <w:t>部门预算</w:t>
      </w:r>
    </w:p>
    <w:p>
      <w:pPr>
        <w:spacing w:line="700" w:lineRule="exact"/>
        <w:jc w:val="center"/>
        <w:rPr>
          <w:rFonts w:asciiTheme="majorEastAsia" w:hAnsiTheme="majorEastAsia" w:eastAsiaTheme="majorEastAsia"/>
          <w:b/>
          <w:sz w:val="52"/>
          <w:szCs w:val="52"/>
          <w:highlight w:val="none"/>
        </w:rPr>
      </w:pPr>
      <w:r>
        <w:rPr>
          <w:rFonts w:hint="eastAsia" w:asciiTheme="majorEastAsia" w:hAnsiTheme="majorEastAsia" w:eastAsiaTheme="majorEastAsia"/>
          <w:b/>
          <w:sz w:val="52"/>
          <w:szCs w:val="52"/>
          <w:highlight w:val="none"/>
        </w:rPr>
        <w:t>（2022年）</w:t>
      </w:r>
    </w:p>
    <w:p>
      <w:pPr>
        <w:spacing w:line="600" w:lineRule="exact"/>
        <w:jc w:val="left"/>
        <w:rPr>
          <w:rFonts w:ascii="Times New Roman" w:hAnsi="Times New Roman" w:eastAsia="宋体"/>
          <w:b/>
          <w:sz w:val="52"/>
          <w:szCs w:val="52"/>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widowControl/>
        <w:spacing w:line="600" w:lineRule="exact"/>
        <w:outlineLvl w:val="0"/>
        <w:rPr>
          <w:rFonts w:cs="宋体" w:asciiTheme="majorEastAsia" w:hAnsiTheme="majorEastAsia" w:eastAsiaTheme="majorEastAsia"/>
          <w:b/>
          <w:bCs/>
          <w:color w:val="333333"/>
          <w:kern w:val="36"/>
          <w:sz w:val="44"/>
          <w:szCs w:val="44"/>
          <w:highlight w:val="none"/>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highlight w:val="none"/>
        </w:rPr>
      </w:pPr>
      <w:r>
        <w:rPr>
          <w:rFonts w:hint="eastAsia" w:cs="宋体" w:asciiTheme="majorEastAsia" w:hAnsiTheme="majorEastAsia" w:eastAsiaTheme="majorEastAsia"/>
          <w:b/>
          <w:bCs/>
          <w:color w:val="333333"/>
          <w:kern w:val="36"/>
          <w:sz w:val="44"/>
          <w:szCs w:val="44"/>
          <w:highlight w:val="none"/>
        </w:rPr>
        <w:t>2022年龙城区</w:t>
      </w:r>
      <w:r>
        <w:rPr>
          <w:rFonts w:hint="eastAsia" w:cs="宋体" w:asciiTheme="majorEastAsia" w:hAnsiTheme="majorEastAsia" w:eastAsiaTheme="majorEastAsia"/>
          <w:b/>
          <w:bCs/>
          <w:color w:val="333333"/>
          <w:kern w:val="36"/>
          <w:sz w:val="44"/>
          <w:szCs w:val="44"/>
          <w:highlight w:val="none"/>
          <w:lang w:val="en-US" w:eastAsia="zh-CN"/>
        </w:rPr>
        <w:t>西大营子镇政府</w:t>
      </w:r>
      <w:r>
        <w:rPr>
          <w:rFonts w:hint="eastAsia" w:cs="宋体" w:asciiTheme="majorEastAsia" w:hAnsiTheme="majorEastAsia" w:eastAsiaTheme="majorEastAsia"/>
          <w:b/>
          <w:bCs/>
          <w:color w:val="333333"/>
          <w:kern w:val="36"/>
          <w:sz w:val="44"/>
          <w:szCs w:val="44"/>
          <w:highlight w:val="none"/>
        </w:rPr>
        <w:t>部门预算</w:t>
      </w:r>
    </w:p>
    <w:p>
      <w:pPr>
        <w:widowControl/>
        <w:spacing w:line="300" w:lineRule="exact"/>
        <w:jc w:val="center"/>
        <w:outlineLvl w:val="0"/>
        <w:rPr>
          <w:rFonts w:cs="宋体" w:asciiTheme="majorEastAsia" w:hAnsiTheme="majorEastAsia" w:eastAsiaTheme="majorEastAsia"/>
          <w:b/>
          <w:bCs/>
          <w:color w:val="333333"/>
          <w:kern w:val="36"/>
          <w:sz w:val="44"/>
          <w:szCs w:val="44"/>
          <w:highlight w:val="none"/>
        </w:rPr>
      </w:pPr>
    </w:p>
    <w:p>
      <w:pPr>
        <w:widowControl/>
        <w:spacing w:line="600" w:lineRule="exact"/>
        <w:jc w:val="center"/>
        <w:rPr>
          <w:rFonts w:cs="宋体" w:asciiTheme="majorEastAsia" w:hAnsiTheme="majorEastAsia" w:eastAsiaTheme="majorEastAsia"/>
          <w:b/>
          <w:bCs/>
          <w:color w:val="333333"/>
          <w:kern w:val="0"/>
          <w:sz w:val="36"/>
          <w:szCs w:val="36"/>
          <w:highlight w:val="none"/>
        </w:rPr>
      </w:pPr>
      <w:r>
        <w:rPr>
          <w:rFonts w:hint="eastAsia" w:cs="宋体" w:asciiTheme="majorEastAsia" w:hAnsiTheme="majorEastAsia" w:eastAsiaTheme="majorEastAsia"/>
          <w:b/>
          <w:bCs/>
          <w:color w:val="333333"/>
          <w:kern w:val="0"/>
          <w:sz w:val="36"/>
          <w:szCs w:val="36"/>
          <w:highlight w:val="none"/>
        </w:rPr>
        <w:t>目    录</w:t>
      </w:r>
    </w:p>
    <w:p>
      <w:pPr>
        <w:widowControl/>
        <w:spacing w:line="300" w:lineRule="exact"/>
        <w:jc w:val="center"/>
        <w:rPr>
          <w:rFonts w:cs="宋体" w:asciiTheme="majorEastAsia" w:hAnsiTheme="majorEastAsia" w:eastAsiaTheme="majorEastAsia"/>
          <w:b/>
          <w:bCs/>
          <w:color w:val="333333"/>
          <w:kern w:val="0"/>
          <w:sz w:val="36"/>
          <w:szCs w:val="36"/>
          <w:highlight w:val="none"/>
        </w:rPr>
      </w:pPr>
    </w:p>
    <w:p>
      <w:pPr>
        <w:widowControl/>
        <w:spacing w:line="500" w:lineRule="exact"/>
        <w:jc w:val="left"/>
        <w:rPr>
          <w:rFonts w:ascii="宋体" w:hAnsi="宋体" w:eastAsia="宋体" w:cs="宋体"/>
          <w:bCs/>
          <w:color w:val="333333"/>
          <w:kern w:val="0"/>
          <w:sz w:val="32"/>
          <w:szCs w:val="32"/>
          <w:highlight w:val="none"/>
          <w:shd w:val="clear" w:color="auto" w:fill="FFFFFF"/>
        </w:rPr>
      </w:pPr>
      <w:r>
        <w:rPr>
          <w:rFonts w:hint="eastAsia" w:ascii="黑体" w:hAnsi="黑体" w:eastAsia="黑体" w:cs="宋体"/>
          <w:bCs/>
          <w:color w:val="333333"/>
          <w:kern w:val="0"/>
          <w:sz w:val="32"/>
          <w:szCs w:val="32"/>
          <w:highlight w:val="none"/>
          <w:shd w:val="clear" w:color="auto" w:fill="FFFFFF"/>
        </w:rPr>
        <w:t>第一部分   龙城区</w:t>
      </w:r>
      <w:r>
        <w:rPr>
          <w:rFonts w:hint="eastAsia" w:ascii="黑体" w:hAnsi="黑体" w:eastAsia="黑体" w:cs="宋体"/>
          <w:bCs/>
          <w:color w:val="333333"/>
          <w:kern w:val="0"/>
          <w:sz w:val="32"/>
          <w:szCs w:val="32"/>
          <w:highlight w:val="none"/>
          <w:shd w:val="clear" w:color="auto" w:fill="FFFFFF"/>
          <w:lang w:val="en-US" w:eastAsia="zh-CN"/>
        </w:rPr>
        <w:t>西大营子镇政府</w:t>
      </w:r>
      <w:r>
        <w:rPr>
          <w:rFonts w:hint="eastAsia" w:ascii="黑体" w:hAnsi="黑体" w:eastAsia="黑体" w:cs="宋体"/>
          <w:bCs/>
          <w:color w:val="333333"/>
          <w:kern w:val="0"/>
          <w:sz w:val="32"/>
          <w:szCs w:val="32"/>
          <w:highlight w:val="none"/>
          <w:shd w:val="clear" w:color="auto" w:fill="FFFFFF"/>
        </w:rPr>
        <w:t>概况</w:t>
      </w:r>
    </w:p>
    <w:p>
      <w:pPr>
        <w:widowControl/>
        <w:spacing w:line="500" w:lineRule="exact"/>
        <w:ind w:firstLine="640" w:firstLineChars="200"/>
        <w:jc w:val="left"/>
        <w:rPr>
          <w:rFonts w:ascii="宋体" w:hAnsi="宋体" w:eastAsia="宋体" w:cs="宋体"/>
          <w:bCs/>
          <w:color w:val="333333"/>
          <w:kern w:val="0"/>
          <w:sz w:val="32"/>
          <w:szCs w:val="32"/>
          <w:highlight w:val="none"/>
          <w:shd w:val="clear" w:color="auto" w:fill="FFFFFF"/>
        </w:rPr>
      </w:pPr>
      <w:r>
        <w:rPr>
          <w:rFonts w:hint="eastAsia" w:ascii="宋体" w:hAnsi="宋体" w:eastAsia="宋体" w:cs="宋体"/>
          <w:bCs/>
          <w:color w:val="333333"/>
          <w:kern w:val="0"/>
          <w:sz w:val="32"/>
          <w:szCs w:val="32"/>
          <w:highlight w:val="none"/>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highlight w:val="none"/>
          <w:shd w:val="clear" w:color="auto" w:fill="FFFFFF"/>
        </w:rPr>
      </w:pPr>
      <w:r>
        <w:rPr>
          <w:rFonts w:hint="eastAsia" w:ascii="宋体" w:hAnsi="宋体" w:eastAsia="宋体" w:cs="宋体"/>
          <w:bCs/>
          <w:color w:val="333333"/>
          <w:kern w:val="0"/>
          <w:sz w:val="32"/>
          <w:szCs w:val="32"/>
          <w:highlight w:val="none"/>
          <w:shd w:val="clear" w:color="auto" w:fill="FFFFFF"/>
        </w:rPr>
        <w:t>二、部门预算单位构成</w:t>
      </w:r>
    </w:p>
    <w:p>
      <w:pPr>
        <w:widowControl/>
        <w:spacing w:line="500" w:lineRule="exact"/>
        <w:jc w:val="left"/>
        <w:rPr>
          <w:rFonts w:ascii="黑体" w:hAnsi="黑体" w:eastAsia="黑体" w:cs="宋体"/>
          <w:bCs/>
          <w:color w:val="333333"/>
          <w:kern w:val="0"/>
          <w:sz w:val="32"/>
          <w:szCs w:val="32"/>
          <w:highlight w:val="none"/>
        </w:rPr>
      </w:pPr>
      <w:r>
        <w:rPr>
          <w:rFonts w:hint="eastAsia" w:ascii="黑体" w:hAnsi="黑体" w:eastAsia="黑体" w:cs="宋体"/>
          <w:bCs/>
          <w:color w:val="333333"/>
          <w:kern w:val="0"/>
          <w:sz w:val="32"/>
          <w:szCs w:val="32"/>
          <w:highlight w:val="none"/>
          <w:shd w:val="clear" w:color="auto" w:fill="FFFFFF"/>
        </w:rPr>
        <w:t>第二部分    龙城区</w:t>
      </w:r>
      <w:r>
        <w:rPr>
          <w:rFonts w:hint="eastAsia" w:ascii="黑体" w:hAnsi="黑体" w:eastAsia="黑体" w:cs="宋体"/>
          <w:bCs/>
          <w:color w:val="333333"/>
          <w:kern w:val="0"/>
          <w:sz w:val="32"/>
          <w:szCs w:val="32"/>
          <w:highlight w:val="none"/>
          <w:shd w:val="clear" w:color="auto" w:fill="FFFFFF"/>
          <w:lang w:val="en-US" w:eastAsia="zh-CN"/>
        </w:rPr>
        <w:t>西大营子镇政府</w:t>
      </w:r>
      <w:r>
        <w:rPr>
          <w:rFonts w:hint="eastAsia" w:ascii="黑体" w:hAnsi="黑体" w:eastAsia="黑体" w:cs="宋体"/>
          <w:bCs/>
          <w:color w:val="333333"/>
          <w:kern w:val="0"/>
          <w:sz w:val="32"/>
          <w:szCs w:val="32"/>
          <w:highlight w:val="none"/>
          <w:shd w:val="clear" w:color="auto" w:fill="FFFFFF"/>
        </w:rPr>
        <w:t>2022年部门预算情况说明</w:t>
      </w:r>
    </w:p>
    <w:p>
      <w:pPr>
        <w:widowControl/>
        <w:spacing w:line="500" w:lineRule="exact"/>
        <w:jc w:val="left"/>
        <w:rPr>
          <w:rFonts w:ascii="黑体" w:hAnsi="黑体" w:eastAsia="黑体" w:cs="宋体"/>
          <w:bCs/>
          <w:color w:val="333333"/>
          <w:kern w:val="0"/>
          <w:sz w:val="32"/>
          <w:szCs w:val="32"/>
          <w:highlight w:val="none"/>
          <w:shd w:val="clear" w:color="auto" w:fill="FFFFFF"/>
        </w:rPr>
      </w:pPr>
      <w:r>
        <w:rPr>
          <w:rFonts w:hint="eastAsia" w:ascii="黑体" w:hAnsi="黑体" w:eastAsia="黑体" w:cs="宋体"/>
          <w:bCs/>
          <w:color w:val="333333"/>
          <w:kern w:val="0"/>
          <w:sz w:val="32"/>
          <w:szCs w:val="32"/>
          <w:highlight w:val="none"/>
          <w:shd w:val="clear" w:color="auto" w:fill="FFFFFF"/>
        </w:rPr>
        <w:t>第三部分    名词解释</w:t>
      </w:r>
    </w:p>
    <w:p>
      <w:pPr>
        <w:widowControl/>
        <w:spacing w:line="500" w:lineRule="exact"/>
        <w:jc w:val="left"/>
        <w:rPr>
          <w:rFonts w:ascii="黑体" w:hAnsi="黑体" w:eastAsia="黑体" w:cs="宋体"/>
          <w:bCs/>
          <w:color w:val="333333"/>
          <w:kern w:val="0"/>
          <w:sz w:val="32"/>
          <w:szCs w:val="32"/>
          <w:highlight w:val="none"/>
        </w:rPr>
      </w:pPr>
      <w:r>
        <w:rPr>
          <w:rFonts w:hint="eastAsia" w:ascii="黑体" w:hAnsi="黑体" w:eastAsia="黑体" w:cs="宋体"/>
          <w:bCs/>
          <w:color w:val="333333"/>
          <w:kern w:val="0"/>
          <w:sz w:val="32"/>
          <w:szCs w:val="32"/>
          <w:highlight w:val="none"/>
          <w:shd w:val="clear" w:color="auto" w:fill="FFFFFF"/>
        </w:rPr>
        <w:t xml:space="preserve">第四部分    </w:t>
      </w:r>
      <w:r>
        <w:rPr>
          <w:rFonts w:hint="eastAsia" w:ascii="黑体" w:hAnsi="黑体" w:eastAsia="黑体" w:cs="宋体"/>
          <w:bCs/>
          <w:color w:val="333333"/>
          <w:kern w:val="0"/>
          <w:sz w:val="32"/>
          <w:szCs w:val="32"/>
          <w:highlight w:val="none"/>
        </w:rPr>
        <w:t>2022年龙城区</w:t>
      </w:r>
      <w:r>
        <w:rPr>
          <w:rFonts w:hint="eastAsia" w:ascii="黑体" w:hAnsi="黑体" w:eastAsia="黑体" w:cs="宋体"/>
          <w:bCs/>
          <w:color w:val="333333"/>
          <w:kern w:val="0"/>
          <w:sz w:val="32"/>
          <w:szCs w:val="32"/>
          <w:highlight w:val="none"/>
          <w:lang w:val="en-US" w:eastAsia="zh-CN"/>
        </w:rPr>
        <w:t>西大营子镇政府</w:t>
      </w:r>
      <w:r>
        <w:rPr>
          <w:rFonts w:hint="eastAsia" w:ascii="黑体" w:hAnsi="黑体" w:eastAsia="黑体" w:cs="宋体"/>
          <w:bCs/>
          <w:color w:val="333333"/>
          <w:kern w:val="0"/>
          <w:sz w:val="32"/>
          <w:szCs w:val="32"/>
          <w:highlight w:val="none"/>
        </w:rPr>
        <w:t>部门预算批复表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一、收支预算总表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二、收入预算总表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三、支出预算总表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四、财政拨款收支预算总表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五、一般公共预算支出表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六、一般公共预算基本支出表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八、政府性基金预算支出表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九、项目支出预算表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十、支出功能分类预算表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十三、债务支出预算表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十四、政府采购支出预算表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highlight w:val="none"/>
          <w:shd w:val="clear" w:color="auto" w:fill="FFFFFF"/>
        </w:rPr>
      </w:pPr>
      <w:r>
        <w:rPr>
          <w:rFonts w:hint="eastAsia" w:ascii="宋体" w:hAnsi="宋体" w:eastAsia="宋体" w:cs="宋体"/>
          <w:color w:val="333333"/>
          <w:kern w:val="0"/>
          <w:sz w:val="32"/>
          <w:szCs w:val="32"/>
          <w:highlight w:val="none"/>
        </w:rPr>
        <w:t>十七、部门预算项目（政策）绩效目标表</w:t>
      </w:r>
    </w:p>
    <w:p>
      <w:pPr>
        <w:widowControl/>
        <w:spacing w:line="600" w:lineRule="exact"/>
        <w:jc w:val="center"/>
        <w:rPr>
          <w:rFonts w:hint="eastAsia" w:ascii="黑体" w:hAnsi="黑体" w:eastAsia="黑体" w:cs="黑体"/>
          <w:color w:val="333333"/>
          <w:kern w:val="0"/>
          <w:sz w:val="36"/>
          <w:szCs w:val="36"/>
          <w:highlight w:val="none"/>
        </w:rPr>
      </w:pPr>
      <w:r>
        <w:rPr>
          <w:rFonts w:hint="eastAsia" w:ascii="黑体" w:hAnsi="黑体" w:eastAsia="黑体" w:cs="黑体"/>
          <w:color w:val="333333"/>
          <w:kern w:val="0"/>
          <w:sz w:val="36"/>
          <w:szCs w:val="36"/>
          <w:highlight w:val="none"/>
        </w:rPr>
        <w:t>第一部分 龙城区</w:t>
      </w:r>
      <w:r>
        <w:rPr>
          <w:rFonts w:hint="eastAsia" w:ascii="黑体" w:hAnsi="黑体" w:eastAsia="黑体" w:cs="黑体"/>
          <w:color w:val="333333"/>
          <w:kern w:val="0"/>
          <w:sz w:val="36"/>
          <w:szCs w:val="36"/>
          <w:highlight w:val="none"/>
          <w:lang w:val="en-US" w:eastAsia="zh-CN"/>
        </w:rPr>
        <w:t>西大营子镇政府</w:t>
      </w:r>
      <w:r>
        <w:rPr>
          <w:rFonts w:hint="eastAsia" w:ascii="黑体" w:hAnsi="黑体" w:eastAsia="黑体" w:cs="黑体"/>
          <w:color w:val="333333"/>
          <w:kern w:val="0"/>
          <w:sz w:val="36"/>
          <w:szCs w:val="36"/>
          <w:highlight w:val="none"/>
        </w:rPr>
        <w:t>概况</w:t>
      </w:r>
    </w:p>
    <w:p>
      <w:pPr>
        <w:widowControl/>
        <w:spacing w:line="600" w:lineRule="exact"/>
        <w:jc w:val="center"/>
        <w:rPr>
          <w:rFonts w:hint="eastAsia" w:ascii="黑体" w:hAnsi="黑体" w:eastAsia="黑体" w:cs="黑体"/>
          <w:color w:val="333333"/>
          <w:kern w:val="0"/>
          <w:sz w:val="36"/>
          <w:szCs w:val="36"/>
          <w:highlight w:val="none"/>
        </w:rPr>
      </w:pPr>
    </w:p>
    <w:p>
      <w:pPr>
        <w:widowControl/>
        <w:spacing w:line="560" w:lineRule="exact"/>
        <w:jc w:val="left"/>
        <w:rPr>
          <w:rFonts w:hint="eastAsia" w:ascii="仿宋_GB2312" w:hAnsi="仿宋_GB2312" w:eastAsia="仿宋_GB2312" w:cs="仿宋_GB2312"/>
          <w:color w:val="333333"/>
          <w:kern w:val="0"/>
          <w:sz w:val="32"/>
          <w:szCs w:val="32"/>
          <w:highlight w:val="none"/>
          <w:shd w:val="clear" w:color="auto" w:fill="FFFFFF"/>
        </w:rPr>
      </w:pPr>
      <w:r>
        <w:rPr>
          <w:rFonts w:hint="eastAsia" w:ascii="楷体_GB2312" w:hAnsi="楷体_GB2312" w:eastAsia="楷体_GB2312" w:cs="楷体_GB2312"/>
          <w:b/>
          <w:color w:val="333333"/>
          <w:kern w:val="0"/>
          <w:sz w:val="32"/>
          <w:szCs w:val="32"/>
          <w:highlight w:val="none"/>
          <w:shd w:val="clear" w:color="auto" w:fill="FFFFFF"/>
        </w:rPr>
        <w:t xml:space="preserve">    一、主要职责</w:t>
      </w:r>
    </w:p>
    <w:p>
      <w:pPr>
        <w:widowControl/>
        <w:spacing w:line="560" w:lineRule="exact"/>
        <w:jc w:val="left"/>
        <w:rPr>
          <w:rFonts w:hint="eastAsia"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（一）执行本级人民代表大会决议以及上级国家行政机关的决定和命令；</w:t>
      </w:r>
    </w:p>
    <w:p>
      <w:pPr>
        <w:widowControl/>
        <w:spacing w:line="560" w:lineRule="exact"/>
        <w:jc w:val="left"/>
        <w:rPr>
          <w:rFonts w:hint="eastAsia"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（二）执行全</w:t>
      </w:r>
      <w:r>
        <w:rPr>
          <w:rFonts w:hint="eastAsia" w:ascii="仿宋_GB2312" w:hAnsi="仿宋_GB2312" w:eastAsia="仿宋_GB2312" w:cs="仿宋_GB2312"/>
          <w:color w:val="333333"/>
          <w:kern w:val="0"/>
          <w:sz w:val="32"/>
          <w:szCs w:val="32"/>
          <w:highlight w:val="none"/>
          <w:shd w:val="clear" w:color="auto" w:fill="FFFFFF"/>
          <w:lang w:val="en-US" w:eastAsia="zh-CN"/>
        </w:rPr>
        <w:t>镇</w:t>
      </w:r>
      <w:r>
        <w:rPr>
          <w:rFonts w:hint="eastAsia" w:ascii="仿宋_GB2312" w:hAnsi="仿宋_GB2312" w:eastAsia="仿宋_GB2312" w:cs="仿宋_GB2312"/>
          <w:color w:val="333333"/>
          <w:kern w:val="0"/>
          <w:sz w:val="32"/>
          <w:szCs w:val="32"/>
          <w:highlight w:val="none"/>
          <w:shd w:val="clear" w:color="auto" w:fill="FFFFFF"/>
        </w:rPr>
        <w:t>的社会和经济发展计划、预算，管理本</w:t>
      </w:r>
      <w:r>
        <w:rPr>
          <w:rFonts w:hint="eastAsia" w:ascii="仿宋_GB2312" w:hAnsi="仿宋_GB2312" w:eastAsia="仿宋_GB2312" w:cs="仿宋_GB2312"/>
          <w:color w:val="333333"/>
          <w:kern w:val="0"/>
          <w:sz w:val="32"/>
          <w:szCs w:val="32"/>
          <w:highlight w:val="none"/>
          <w:shd w:val="clear" w:color="auto" w:fill="FFFFFF"/>
          <w:lang w:val="en-US" w:eastAsia="zh-CN"/>
        </w:rPr>
        <w:t>镇</w:t>
      </w:r>
      <w:r>
        <w:rPr>
          <w:rFonts w:hint="eastAsia" w:ascii="仿宋_GB2312" w:hAnsi="仿宋_GB2312" w:eastAsia="仿宋_GB2312" w:cs="仿宋_GB2312"/>
          <w:color w:val="333333"/>
          <w:kern w:val="0"/>
          <w:sz w:val="32"/>
          <w:szCs w:val="32"/>
          <w:highlight w:val="none"/>
          <w:shd w:val="clear" w:color="auto" w:fill="FFFFFF"/>
        </w:rPr>
        <w:t>内的经济、教育、科技、文化、卫生</w:t>
      </w:r>
      <w:r>
        <w:rPr>
          <w:rFonts w:hint="eastAsia" w:ascii="仿宋_GB2312" w:hAnsi="仿宋_GB2312" w:eastAsia="仿宋_GB2312" w:cs="仿宋_GB2312"/>
          <w:color w:val="333333"/>
          <w:kern w:val="0"/>
          <w:sz w:val="32"/>
          <w:szCs w:val="32"/>
          <w:highlight w:val="none"/>
          <w:shd w:val="clear" w:color="auto" w:fill="FFFFFF"/>
          <w:lang w:eastAsia="zh-CN"/>
        </w:rPr>
        <w:t>、</w:t>
      </w:r>
      <w:r>
        <w:rPr>
          <w:rFonts w:hint="eastAsia" w:ascii="仿宋_GB2312" w:hAnsi="仿宋_GB2312" w:eastAsia="仿宋_GB2312" w:cs="仿宋_GB2312"/>
          <w:color w:val="333333"/>
          <w:kern w:val="0"/>
          <w:sz w:val="32"/>
          <w:szCs w:val="32"/>
          <w:highlight w:val="none"/>
          <w:shd w:val="clear" w:color="auto" w:fill="FFFFFF"/>
        </w:rPr>
        <w:t>财政、民政、安全生产监督管理等行政工作；</w:t>
      </w:r>
    </w:p>
    <w:p>
      <w:pPr>
        <w:widowControl/>
        <w:spacing w:line="560" w:lineRule="exact"/>
        <w:jc w:val="left"/>
        <w:rPr>
          <w:rFonts w:hint="eastAsia"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（三）</w:t>
      </w:r>
      <w:r>
        <w:rPr>
          <w:rFonts w:hint="eastAsia" w:ascii="仿宋_GB2312" w:hAnsi="仿宋_GB2312" w:eastAsia="仿宋_GB2312" w:cs="仿宋_GB2312"/>
          <w:color w:val="333333"/>
          <w:kern w:val="0"/>
          <w:sz w:val="32"/>
          <w:szCs w:val="32"/>
          <w:highlight w:val="none"/>
          <w:shd w:val="clear" w:color="auto" w:fill="FFFFFF"/>
          <w:lang w:val="en-US" w:eastAsia="zh-CN"/>
        </w:rPr>
        <w:t>保护国有资产和集体所有资产，</w:t>
      </w:r>
      <w:r>
        <w:rPr>
          <w:rFonts w:hint="eastAsia" w:ascii="仿宋_GB2312" w:hAnsi="仿宋_GB2312" w:eastAsia="仿宋_GB2312" w:cs="仿宋_GB2312"/>
          <w:color w:val="333333"/>
          <w:kern w:val="0"/>
          <w:sz w:val="32"/>
          <w:szCs w:val="32"/>
          <w:highlight w:val="none"/>
          <w:shd w:val="clear" w:color="auto" w:fill="FFFFFF"/>
        </w:rPr>
        <w:t>保护公民私人所有的合法财产，维护社会秩序，保障公民的人身权利、民主权利和其他权利</w:t>
      </w:r>
      <w:r>
        <w:rPr>
          <w:rFonts w:hint="eastAsia" w:ascii="仿宋_GB2312" w:hAnsi="仿宋_GB2312" w:eastAsia="仿宋_GB2312" w:cs="仿宋_GB2312"/>
          <w:color w:val="333333"/>
          <w:kern w:val="0"/>
          <w:sz w:val="32"/>
          <w:szCs w:val="32"/>
          <w:highlight w:val="none"/>
          <w:shd w:val="clear" w:color="auto" w:fill="FFFFFF"/>
          <w:lang w:eastAsia="zh-CN"/>
        </w:rPr>
        <w:t>，</w:t>
      </w:r>
      <w:r>
        <w:rPr>
          <w:rFonts w:hint="eastAsia" w:ascii="仿宋_GB2312" w:hAnsi="仿宋_GB2312" w:eastAsia="仿宋_GB2312" w:cs="仿宋_GB2312"/>
          <w:color w:val="333333"/>
          <w:kern w:val="0"/>
          <w:sz w:val="32"/>
          <w:szCs w:val="32"/>
          <w:highlight w:val="none"/>
          <w:shd w:val="clear" w:color="auto" w:fill="FFFFFF"/>
        </w:rPr>
        <w:t>保护各种经济组织的合法权益；</w:t>
      </w:r>
      <w:bookmarkStart w:id="0" w:name="_GoBack"/>
      <w:bookmarkEnd w:id="0"/>
    </w:p>
    <w:p>
      <w:pPr>
        <w:widowControl/>
        <w:spacing w:line="560" w:lineRule="exact"/>
        <w:jc w:val="left"/>
        <w:rPr>
          <w:rFonts w:hint="default" w:ascii="仿宋_GB2312" w:hAnsi="仿宋_GB2312" w:eastAsia="仿宋_GB2312" w:cs="仿宋_GB2312"/>
          <w:color w:val="333333"/>
          <w:kern w:val="0"/>
          <w:sz w:val="32"/>
          <w:szCs w:val="32"/>
          <w:highlight w:val="none"/>
          <w:shd w:val="clear" w:color="auto" w:fill="FFFFFF"/>
          <w:lang w:val="en-US" w:eastAsia="zh-CN"/>
        </w:rPr>
      </w:pPr>
      <w:r>
        <w:rPr>
          <w:rFonts w:hint="eastAsia" w:ascii="仿宋_GB2312" w:hAnsi="仿宋_GB2312" w:eastAsia="仿宋_GB2312" w:cs="仿宋_GB2312"/>
          <w:color w:val="333333"/>
          <w:kern w:val="0"/>
          <w:sz w:val="32"/>
          <w:szCs w:val="32"/>
          <w:highlight w:val="none"/>
          <w:shd w:val="clear" w:color="auto" w:fill="FFFFFF"/>
        </w:rPr>
        <w:t>（四）</w:t>
      </w:r>
      <w:r>
        <w:rPr>
          <w:rFonts w:hint="eastAsia" w:ascii="仿宋_GB2312" w:hAnsi="仿宋_GB2312" w:eastAsia="仿宋_GB2312" w:cs="仿宋_GB2312"/>
          <w:color w:val="333333"/>
          <w:kern w:val="0"/>
          <w:sz w:val="32"/>
          <w:szCs w:val="32"/>
          <w:highlight w:val="none"/>
          <w:shd w:val="clear" w:color="auto" w:fill="FFFFFF"/>
          <w:lang w:val="en-US" w:eastAsia="zh-CN"/>
        </w:rPr>
        <w:t>开展社会主义民主与法制教育，加强社会治安综合治理，调解民事纠纷，维护社会秩序；</w:t>
      </w:r>
    </w:p>
    <w:p>
      <w:pPr>
        <w:widowControl/>
        <w:spacing w:line="560" w:lineRule="exact"/>
        <w:jc w:val="left"/>
        <w:rPr>
          <w:rFonts w:hint="eastAsia"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（五）贯彻执行党和国家的民族宗教政策，保障少数民族的权利和尊重少数民族的风俗习惯，尊重民族宗教信仰；</w:t>
      </w:r>
    </w:p>
    <w:p>
      <w:pPr>
        <w:widowControl/>
        <w:spacing w:line="560" w:lineRule="exact"/>
        <w:jc w:val="left"/>
        <w:rPr>
          <w:rFonts w:hint="eastAsia"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（六）保障宪法和法律赋子妇女的男女平等、婚姻自由等各项权利；</w:t>
      </w:r>
    </w:p>
    <w:p>
      <w:pPr>
        <w:widowControl/>
        <w:spacing w:line="560" w:lineRule="exact"/>
        <w:jc w:val="left"/>
        <w:rPr>
          <w:rFonts w:hint="eastAsia"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（七）办理上级人民政府交办的其他事项。</w:t>
      </w:r>
    </w:p>
    <w:p>
      <w:pPr>
        <w:widowControl/>
        <w:spacing w:line="560" w:lineRule="exact"/>
        <w:jc w:val="left"/>
        <w:rPr>
          <w:rFonts w:ascii="仿宋_GB2312" w:hAnsi="宋体" w:eastAsia="仿宋_GB2312" w:cs="宋体"/>
          <w:bCs/>
          <w:color w:val="333333"/>
          <w:kern w:val="0"/>
          <w:sz w:val="32"/>
          <w:szCs w:val="32"/>
          <w:highlight w:val="none"/>
          <w:shd w:val="clear" w:color="auto" w:fill="FFFFFF"/>
        </w:rPr>
      </w:pPr>
      <w:r>
        <w:rPr>
          <w:rFonts w:hint="eastAsia" w:ascii="楷体_GB2312" w:hAnsi="楷体_GB2312" w:eastAsia="楷体_GB2312" w:cs="楷体_GB2312"/>
          <w:b/>
          <w:color w:val="333333"/>
          <w:kern w:val="0"/>
          <w:sz w:val="32"/>
          <w:szCs w:val="32"/>
          <w:highlight w:val="none"/>
          <w:shd w:val="clear" w:color="auto" w:fill="FFFFFF"/>
        </w:rPr>
        <w:t xml:space="preserve">    二、部门预算单位构成</w:t>
      </w:r>
      <w:r>
        <w:rPr>
          <w:rFonts w:hint="eastAsia" w:ascii="宋体" w:hAnsi="宋体" w:eastAsia="宋体" w:cs="宋体"/>
          <w:color w:val="333333"/>
          <w:kern w:val="0"/>
          <w:sz w:val="32"/>
          <w:szCs w:val="32"/>
          <w:highlight w:val="none"/>
        </w:rPr>
        <w:br w:type="textWrapping"/>
      </w:r>
      <w:r>
        <w:rPr>
          <w:rFonts w:hint="eastAsia" w:ascii="仿宋_GB2312" w:hAnsi="宋体" w:eastAsia="仿宋_GB2312" w:cs="宋体"/>
          <w:bCs/>
          <w:color w:val="333333"/>
          <w:kern w:val="0"/>
          <w:sz w:val="32"/>
          <w:szCs w:val="32"/>
          <w:highlight w:val="none"/>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highlight w:val="none"/>
          <w:shd w:val="clear" w:color="auto" w:fill="FFFFFF"/>
        </w:rPr>
      </w:pPr>
      <w:r>
        <w:rPr>
          <w:rFonts w:hint="eastAsia" w:ascii="仿宋_GB2312" w:hAnsi="宋体" w:eastAsia="仿宋_GB2312" w:cs="宋体"/>
          <w:bCs/>
          <w:color w:val="333333"/>
          <w:kern w:val="0"/>
          <w:sz w:val="32"/>
          <w:szCs w:val="32"/>
          <w:highlight w:val="none"/>
          <w:shd w:val="clear" w:color="auto" w:fill="FFFFFF"/>
        </w:rPr>
        <w:t>1、龙城区</w:t>
      </w:r>
      <w:r>
        <w:rPr>
          <w:rFonts w:hint="eastAsia" w:ascii="仿宋_GB2312" w:hAnsi="宋体" w:eastAsia="仿宋_GB2312" w:cs="宋体"/>
          <w:bCs/>
          <w:color w:val="333333"/>
          <w:kern w:val="0"/>
          <w:sz w:val="32"/>
          <w:szCs w:val="32"/>
          <w:highlight w:val="none"/>
          <w:shd w:val="clear" w:color="auto" w:fill="FFFFFF"/>
          <w:lang w:val="en-US" w:eastAsia="zh-CN"/>
        </w:rPr>
        <w:t>西大营子镇政府</w:t>
      </w:r>
      <w:r>
        <w:rPr>
          <w:rFonts w:hint="eastAsia" w:ascii="仿宋_GB2312" w:hAnsi="宋体" w:eastAsia="仿宋_GB2312" w:cs="宋体"/>
          <w:bCs/>
          <w:color w:val="333333"/>
          <w:kern w:val="0"/>
          <w:sz w:val="32"/>
          <w:szCs w:val="32"/>
          <w:highlight w:val="none"/>
          <w:shd w:val="clear" w:color="auto" w:fill="FFFFFF"/>
        </w:rPr>
        <w:t>本级</w:t>
      </w:r>
    </w:p>
    <w:p>
      <w:pPr>
        <w:widowControl/>
        <w:spacing w:line="560" w:lineRule="exact"/>
        <w:ind w:firstLine="640"/>
        <w:jc w:val="left"/>
        <w:rPr>
          <w:rFonts w:hint="eastAsia" w:ascii="仿宋_GB2312" w:hAnsi="宋体" w:eastAsia="仿宋_GB2312" w:cs="宋体"/>
          <w:bCs/>
          <w:color w:val="333333"/>
          <w:kern w:val="0"/>
          <w:sz w:val="32"/>
          <w:szCs w:val="32"/>
          <w:highlight w:val="none"/>
          <w:shd w:val="clear" w:color="auto" w:fill="FFFFFF"/>
          <w:lang w:val="en-US" w:eastAsia="zh-CN"/>
        </w:rPr>
      </w:pPr>
      <w:r>
        <w:rPr>
          <w:rFonts w:hint="eastAsia" w:ascii="仿宋_GB2312" w:hAnsi="宋体" w:eastAsia="仿宋_GB2312" w:cs="宋体"/>
          <w:bCs/>
          <w:color w:val="333333"/>
          <w:kern w:val="0"/>
          <w:sz w:val="32"/>
          <w:szCs w:val="32"/>
          <w:highlight w:val="none"/>
          <w:shd w:val="clear" w:color="auto" w:fill="FFFFFF"/>
        </w:rPr>
        <w:t>2、</w:t>
      </w:r>
      <w:r>
        <w:rPr>
          <w:rFonts w:hint="eastAsia" w:ascii="仿宋_GB2312" w:hAnsi="宋体" w:eastAsia="仿宋_GB2312" w:cs="宋体"/>
          <w:bCs/>
          <w:color w:val="333333"/>
          <w:kern w:val="0"/>
          <w:sz w:val="32"/>
          <w:szCs w:val="32"/>
          <w:highlight w:val="none"/>
          <w:shd w:val="clear" w:color="auto" w:fill="FFFFFF"/>
          <w:lang w:val="en-US" w:eastAsia="zh-CN"/>
        </w:rPr>
        <w:t>朝阳市第十三中学</w:t>
      </w:r>
    </w:p>
    <w:p>
      <w:pPr>
        <w:widowControl/>
        <w:spacing w:line="560" w:lineRule="exact"/>
        <w:ind w:firstLine="640"/>
        <w:jc w:val="left"/>
        <w:rPr>
          <w:rFonts w:hint="eastAsia" w:ascii="仿宋_GB2312" w:hAnsi="宋体" w:eastAsia="仿宋_GB2312" w:cs="宋体"/>
          <w:bCs/>
          <w:color w:val="333333"/>
          <w:kern w:val="0"/>
          <w:sz w:val="32"/>
          <w:szCs w:val="32"/>
          <w:highlight w:val="none"/>
          <w:shd w:val="clear" w:color="auto" w:fill="FFFFFF"/>
          <w:lang w:val="en-US" w:eastAsia="zh-CN"/>
        </w:rPr>
      </w:pPr>
      <w:r>
        <w:rPr>
          <w:rFonts w:hint="eastAsia" w:ascii="仿宋_GB2312" w:hAnsi="宋体" w:eastAsia="仿宋_GB2312" w:cs="宋体"/>
          <w:bCs/>
          <w:color w:val="333333"/>
          <w:kern w:val="0"/>
          <w:sz w:val="32"/>
          <w:szCs w:val="32"/>
          <w:highlight w:val="none"/>
          <w:shd w:val="clear" w:color="auto" w:fill="FFFFFF"/>
          <w:lang w:val="en-US" w:eastAsia="zh-CN"/>
        </w:rPr>
        <w:t>3、朝阳市第十四中学</w:t>
      </w:r>
    </w:p>
    <w:p>
      <w:pPr>
        <w:widowControl/>
        <w:spacing w:line="560" w:lineRule="exact"/>
        <w:ind w:firstLine="640"/>
        <w:jc w:val="left"/>
        <w:rPr>
          <w:rFonts w:hint="eastAsia" w:ascii="仿宋_GB2312" w:hAnsi="宋体" w:eastAsia="仿宋_GB2312" w:cs="宋体"/>
          <w:bCs/>
          <w:color w:val="333333"/>
          <w:kern w:val="0"/>
          <w:sz w:val="32"/>
          <w:szCs w:val="32"/>
          <w:highlight w:val="none"/>
          <w:shd w:val="clear" w:color="auto" w:fill="FFFFFF"/>
          <w:lang w:val="en-US" w:eastAsia="zh-CN"/>
        </w:rPr>
      </w:pPr>
      <w:r>
        <w:rPr>
          <w:rFonts w:hint="eastAsia" w:ascii="仿宋_GB2312" w:hAnsi="宋体" w:eastAsia="仿宋_GB2312" w:cs="宋体"/>
          <w:bCs/>
          <w:color w:val="333333"/>
          <w:kern w:val="0"/>
          <w:sz w:val="32"/>
          <w:szCs w:val="32"/>
          <w:highlight w:val="none"/>
          <w:shd w:val="clear" w:color="auto" w:fill="FFFFFF"/>
          <w:lang w:val="en-US" w:eastAsia="zh-CN"/>
        </w:rPr>
        <w:t>4、朝阳市龙城区西大营子镇中心小学</w:t>
      </w:r>
    </w:p>
    <w:p>
      <w:pPr>
        <w:widowControl/>
        <w:spacing w:line="560" w:lineRule="exact"/>
        <w:ind w:firstLine="640"/>
        <w:jc w:val="left"/>
        <w:rPr>
          <w:rFonts w:hint="eastAsia" w:ascii="仿宋_GB2312" w:hAnsi="宋体" w:eastAsia="仿宋_GB2312" w:cs="宋体"/>
          <w:bCs/>
          <w:color w:val="333333"/>
          <w:kern w:val="0"/>
          <w:sz w:val="32"/>
          <w:szCs w:val="32"/>
          <w:highlight w:val="none"/>
          <w:shd w:val="clear" w:color="auto" w:fill="FFFFFF"/>
          <w:lang w:val="en-US" w:eastAsia="zh-CN"/>
        </w:rPr>
      </w:pPr>
    </w:p>
    <w:p>
      <w:pPr>
        <w:widowControl/>
        <w:spacing w:line="600" w:lineRule="exact"/>
        <w:jc w:val="center"/>
        <w:rPr>
          <w:rFonts w:ascii="黑体" w:hAnsi="黑体" w:eastAsia="黑体" w:cs="黑体"/>
          <w:color w:val="333333"/>
          <w:kern w:val="0"/>
          <w:sz w:val="36"/>
          <w:szCs w:val="36"/>
          <w:highlight w:val="none"/>
        </w:rPr>
      </w:pPr>
      <w:r>
        <w:rPr>
          <w:rFonts w:hint="eastAsia" w:ascii="黑体" w:hAnsi="黑体" w:eastAsia="黑体" w:cs="黑体"/>
          <w:color w:val="333333"/>
          <w:kern w:val="0"/>
          <w:sz w:val="36"/>
          <w:szCs w:val="36"/>
          <w:highlight w:val="none"/>
        </w:rPr>
        <w:t>第二部分 龙城区</w:t>
      </w:r>
      <w:r>
        <w:rPr>
          <w:rFonts w:hint="eastAsia" w:ascii="黑体" w:hAnsi="黑体" w:eastAsia="黑体" w:cs="黑体"/>
          <w:color w:val="333333"/>
          <w:kern w:val="0"/>
          <w:sz w:val="36"/>
          <w:szCs w:val="36"/>
          <w:highlight w:val="none"/>
          <w:lang w:val="en-US" w:eastAsia="zh-CN"/>
        </w:rPr>
        <w:t>西大营子镇政府</w:t>
      </w:r>
      <w:r>
        <w:rPr>
          <w:rFonts w:hint="eastAsia" w:ascii="黑体" w:hAnsi="黑体" w:eastAsia="黑体" w:cs="黑体"/>
          <w:color w:val="333333"/>
          <w:kern w:val="0"/>
          <w:sz w:val="36"/>
          <w:szCs w:val="36"/>
          <w:highlight w:val="none"/>
        </w:rPr>
        <w:t>2022年部门预算情况说明</w:t>
      </w:r>
    </w:p>
    <w:p>
      <w:pPr>
        <w:widowControl/>
        <w:spacing w:line="560" w:lineRule="exact"/>
        <w:ind w:firstLine="720" w:firstLineChars="200"/>
        <w:jc w:val="left"/>
        <w:rPr>
          <w:rFonts w:ascii="宋体" w:hAnsi="宋体" w:eastAsia="宋体" w:cs="宋体"/>
          <w:color w:val="333333"/>
          <w:kern w:val="0"/>
          <w:sz w:val="36"/>
          <w:szCs w:val="36"/>
          <w:highlight w:val="none"/>
        </w:rPr>
      </w:pPr>
    </w:p>
    <w:p>
      <w:pPr>
        <w:widowControl/>
        <w:spacing w:line="600" w:lineRule="exact"/>
        <w:jc w:val="left"/>
        <w:rPr>
          <w:rFonts w:ascii="宋体" w:hAnsi="宋体" w:eastAsia="宋体" w:cs="宋体"/>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按照综合预算的原则，2022 年所有收入和支出均纳入部门预算管理。其中：</w:t>
      </w:r>
    </w:p>
    <w:p>
      <w:pPr>
        <w:widowControl/>
        <w:spacing w:line="600" w:lineRule="exact"/>
        <w:ind w:firstLine="640" w:firstLineChars="200"/>
        <w:jc w:val="left"/>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（一）收入预算</w:t>
      </w:r>
      <w:r>
        <w:rPr>
          <w:rFonts w:hint="eastAsia" w:ascii="仿宋_GB2312" w:hAnsi="仿宋_GB2312" w:eastAsia="仿宋_GB2312" w:cs="仿宋_GB2312"/>
          <w:color w:val="333333"/>
          <w:kern w:val="0"/>
          <w:sz w:val="32"/>
          <w:szCs w:val="32"/>
          <w:highlight w:val="none"/>
          <w:lang w:val="en-US" w:eastAsia="zh-CN"/>
        </w:rPr>
        <w:t>3211.23</w:t>
      </w:r>
      <w:r>
        <w:rPr>
          <w:rFonts w:hint="eastAsia" w:ascii="仿宋_GB2312" w:hAnsi="仿宋_GB2312" w:eastAsia="仿宋_GB2312" w:cs="仿宋_GB2312"/>
          <w:color w:val="333333"/>
          <w:kern w:val="0"/>
          <w:sz w:val="32"/>
          <w:szCs w:val="32"/>
          <w:highlight w:val="none"/>
        </w:rPr>
        <w:t>万元，包括：</w:t>
      </w:r>
    </w:p>
    <w:p>
      <w:pPr>
        <w:widowControl/>
        <w:spacing w:line="600" w:lineRule="exact"/>
        <w:ind w:firstLine="640" w:firstLineChars="200"/>
        <w:jc w:val="left"/>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1.一般公共预算拨款收入</w:t>
      </w:r>
      <w:r>
        <w:rPr>
          <w:rFonts w:hint="eastAsia" w:ascii="仿宋_GB2312" w:hAnsi="仿宋_GB2312" w:eastAsia="仿宋_GB2312" w:cs="仿宋_GB2312"/>
          <w:color w:val="333333"/>
          <w:kern w:val="0"/>
          <w:sz w:val="32"/>
          <w:szCs w:val="32"/>
          <w:highlight w:val="none"/>
          <w:lang w:val="en-US" w:eastAsia="zh-CN"/>
        </w:rPr>
        <w:t>3211.23</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2.政府性基金预算拨款收入</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3.国有资本经营预算拨款收入</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4.财政专户管理资金收入</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5.单位资金收入</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6.上年结转结余</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（二）支出预算</w:t>
      </w:r>
      <w:r>
        <w:rPr>
          <w:rFonts w:hint="eastAsia" w:ascii="仿宋_GB2312" w:hAnsi="仿宋_GB2312" w:eastAsia="仿宋_GB2312" w:cs="仿宋_GB2312"/>
          <w:color w:val="333333"/>
          <w:kern w:val="0"/>
          <w:sz w:val="32"/>
          <w:szCs w:val="32"/>
          <w:highlight w:val="none"/>
          <w:lang w:val="en-US" w:eastAsia="zh-CN"/>
        </w:rPr>
        <w:t>3211.23</w:t>
      </w:r>
      <w:r>
        <w:rPr>
          <w:rFonts w:hint="eastAsia" w:ascii="仿宋_GB2312" w:hAnsi="仿宋_GB2312" w:eastAsia="仿宋_GB2312" w:cs="仿宋_GB2312"/>
          <w:color w:val="333333"/>
          <w:kern w:val="0"/>
          <w:sz w:val="32"/>
          <w:szCs w:val="32"/>
          <w:highlight w:val="none"/>
        </w:rPr>
        <w:t>万元，包括：</w:t>
      </w:r>
    </w:p>
    <w:p>
      <w:pPr>
        <w:widowControl/>
        <w:spacing w:line="600" w:lineRule="exact"/>
        <w:ind w:firstLine="640" w:firstLineChars="200"/>
        <w:jc w:val="left"/>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1.基本支出</w:t>
      </w:r>
      <w:r>
        <w:rPr>
          <w:rFonts w:hint="eastAsia" w:ascii="仿宋_GB2312" w:hAnsi="仿宋_GB2312" w:eastAsia="仿宋_GB2312" w:cs="仿宋_GB2312"/>
          <w:color w:val="333333"/>
          <w:kern w:val="0"/>
          <w:sz w:val="32"/>
          <w:szCs w:val="32"/>
          <w:highlight w:val="none"/>
          <w:lang w:val="en-US" w:eastAsia="zh-CN"/>
        </w:rPr>
        <w:t>3065.06</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2.项目支出</w:t>
      </w:r>
      <w:r>
        <w:rPr>
          <w:rFonts w:hint="eastAsia" w:ascii="仿宋_GB2312" w:hAnsi="仿宋_GB2312" w:eastAsia="仿宋_GB2312" w:cs="仿宋_GB2312"/>
          <w:color w:val="333333"/>
          <w:kern w:val="0"/>
          <w:sz w:val="32"/>
          <w:szCs w:val="32"/>
          <w:highlight w:val="none"/>
          <w:lang w:val="en-US" w:eastAsia="zh-CN"/>
        </w:rPr>
        <w:t>146.17</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在支出预算</w:t>
      </w:r>
      <w:r>
        <w:rPr>
          <w:rFonts w:hint="eastAsia" w:ascii="仿宋_GB2312" w:hAnsi="仿宋_GB2312" w:eastAsia="仿宋_GB2312" w:cs="仿宋_GB2312"/>
          <w:color w:val="333333"/>
          <w:kern w:val="0"/>
          <w:sz w:val="32"/>
          <w:szCs w:val="32"/>
          <w:highlight w:val="none"/>
          <w:lang w:val="en-US" w:eastAsia="zh-CN"/>
        </w:rPr>
        <w:t>3211.23</w:t>
      </w:r>
      <w:r>
        <w:rPr>
          <w:rFonts w:hint="eastAsia" w:ascii="仿宋_GB2312" w:hAnsi="仿宋_GB2312" w:eastAsia="仿宋_GB2312" w:cs="仿宋_GB2312"/>
          <w:color w:val="333333"/>
          <w:kern w:val="0"/>
          <w:sz w:val="32"/>
          <w:szCs w:val="32"/>
          <w:highlight w:val="none"/>
        </w:rPr>
        <w:t>万元中，债务支出</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万元，政府采购支出</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万元，政府购买服务支出</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2022年预算收支比 2021 年增加</w:t>
      </w:r>
      <w:r>
        <w:rPr>
          <w:rFonts w:hint="eastAsia" w:ascii="仿宋_GB2312" w:hAnsi="仿宋_GB2312" w:eastAsia="仿宋_GB2312" w:cs="仿宋_GB2312"/>
          <w:color w:val="333333"/>
          <w:kern w:val="0"/>
          <w:sz w:val="32"/>
          <w:szCs w:val="32"/>
          <w:highlight w:val="none"/>
          <w:lang w:val="en-US" w:eastAsia="zh-CN"/>
        </w:rPr>
        <w:t>134.23</w:t>
      </w:r>
      <w:r>
        <w:rPr>
          <w:rFonts w:hint="eastAsia" w:ascii="仿宋_GB2312" w:hAnsi="仿宋_GB2312" w:eastAsia="仿宋_GB2312" w:cs="仿宋_GB2312"/>
          <w:color w:val="333333"/>
          <w:kern w:val="0"/>
          <w:sz w:val="32"/>
          <w:szCs w:val="32"/>
          <w:highlight w:val="none"/>
        </w:rPr>
        <w:t>万元。</w:t>
      </w:r>
    </w:p>
    <w:p>
      <w:pPr>
        <w:widowControl/>
        <w:spacing w:line="600" w:lineRule="exact"/>
        <w:jc w:val="left"/>
        <w:rPr>
          <w:rFonts w:hint="eastAsia" w:ascii="仿宋_GB2312" w:hAnsi="仿宋_GB2312" w:eastAsia="仿宋_GB2312" w:cs="仿宋_GB2312"/>
          <w:color w:val="333333"/>
          <w:kern w:val="0"/>
          <w:sz w:val="32"/>
          <w:szCs w:val="32"/>
          <w:highlight w:val="none"/>
        </w:rPr>
      </w:pPr>
    </w:p>
    <w:p>
      <w:pPr>
        <w:widowControl/>
        <w:numPr>
          <w:ilvl w:val="0"/>
          <w:numId w:val="1"/>
        </w:numPr>
        <w:spacing w:line="600" w:lineRule="exact"/>
        <w:ind w:firstLine="643" w:firstLineChars="200"/>
        <w:jc w:val="left"/>
        <w:rPr>
          <w:rFonts w:hint="eastAsia"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机关运行经费安排情况</w:t>
      </w:r>
    </w:p>
    <w:p>
      <w:pPr>
        <w:widowControl/>
        <w:spacing w:line="540" w:lineRule="exact"/>
        <w:ind w:firstLine="640" w:firstLineChars="200"/>
        <w:jc w:val="left"/>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2022年机关运行经费预算为</w:t>
      </w:r>
      <w:r>
        <w:rPr>
          <w:rFonts w:hint="eastAsia" w:ascii="仿宋_GB2312" w:hAnsi="仿宋_GB2312" w:eastAsia="仿宋_GB2312" w:cs="仿宋_GB2312"/>
          <w:color w:val="333333"/>
          <w:kern w:val="0"/>
          <w:sz w:val="32"/>
          <w:szCs w:val="32"/>
          <w:highlight w:val="none"/>
          <w:lang w:val="en-US" w:eastAsia="zh-CN"/>
        </w:rPr>
        <w:t>130.71</w:t>
      </w:r>
      <w:r>
        <w:rPr>
          <w:rFonts w:hint="eastAsia" w:ascii="仿宋_GB2312" w:hAnsi="仿宋_GB2312" w:eastAsia="仿宋_GB2312" w:cs="仿宋_GB2312"/>
          <w:color w:val="333333"/>
          <w:kern w:val="0"/>
          <w:sz w:val="32"/>
          <w:szCs w:val="32"/>
          <w:highlight w:val="none"/>
        </w:rPr>
        <w:t>万元。主要包括办公费、印刷费、邮电费、差旅费、会议费、水电费、公务用车运行维护费等。</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四、 “三公”经费预算情况</w:t>
      </w:r>
    </w:p>
    <w:p>
      <w:pPr>
        <w:widowControl/>
        <w:spacing w:line="540" w:lineRule="exact"/>
        <w:ind w:firstLine="640" w:firstLineChars="200"/>
        <w:jc w:val="left"/>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按照中央及省委、省政府关于厉行节约、改进工作作风、密切联系群众“八项规定”等有关要求，严格控制“三公”经费支出，压减公务接待费和公务用车购置及运行费。一般公共预算安排的“三公”经费预算数</w:t>
      </w:r>
      <w:r>
        <w:rPr>
          <w:rFonts w:hint="eastAsia" w:ascii="仿宋_GB2312" w:hAnsi="仿宋_GB2312" w:eastAsia="仿宋_GB2312" w:cs="仿宋_GB2312"/>
          <w:color w:val="333333"/>
          <w:kern w:val="0"/>
          <w:sz w:val="32"/>
          <w:szCs w:val="32"/>
          <w:highlight w:val="none"/>
          <w:lang w:val="en-US" w:eastAsia="zh-CN"/>
        </w:rPr>
        <w:t>6</w:t>
      </w:r>
      <w:r>
        <w:rPr>
          <w:rFonts w:hint="eastAsia" w:ascii="仿宋_GB2312" w:hAnsi="仿宋_GB2312" w:eastAsia="仿宋_GB2312" w:cs="仿宋_GB2312"/>
          <w:color w:val="333333"/>
          <w:kern w:val="0"/>
          <w:sz w:val="32"/>
          <w:szCs w:val="32"/>
          <w:highlight w:val="none"/>
        </w:rPr>
        <w:t>万元，比上年减少</w:t>
      </w:r>
      <w:r>
        <w:rPr>
          <w:rFonts w:hint="eastAsia" w:ascii="仿宋_GB2312" w:hAnsi="仿宋_GB2312" w:eastAsia="仿宋_GB2312" w:cs="仿宋_GB2312"/>
          <w:color w:val="333333"/>
          <w:kern w:val="0"/>
          <w:sz w:val="32"/>
          <w:szCs w:val="32"/>
          <w:highlight w:val="none"/>
          <w:lang w:val="en-US" w:eastAsia="zh-CN"/>
        </w:rPr>
        <w:t>6</w:t>
      </w:r>
      <w:r>
        <w:rPr>
          <w:rFonts w:hint="eastAsia" w:ascii="仿宋_GB2312" w:hAnsi="仿宋_GB2312" w:eastAsia="仿宋_GB2312" w:cs="仿宋_GB2312"/>
          <w:color w:val="333333"/>
          <w:kern w:val="0"/>
          <w:sz w:val="32"/>
          <w:szCs w:val="32"/>
          <w:highlight w:val="none"/>
        </w:rPr>
        <w:t>万元。其中：</w:t>
      </w:r>
    </w:p>
    <w:p>
      <w:pPr>
        <w:widowControl/>
        <w:spacing w:line="540" w:lineRule="exact"/>
        <w:ind w:firstLine="640" w:firstLineChars="200"/>
        <w:jc w:val="left"/>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因公出国（境）费</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万元，与上年持平。</w:t>
      </w:r>
    </w:p>
    <w:p>
      <w:pPr>
        <w:widowControl/>
        <w:spacing w:line="540" w:lineRule="exact"/>
        <w:ind w:firstLine="640" w:firstLineChars="200"/>
        <w:jc w:val="left"/>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公务接待费</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万元，与上年持平；</w:t>
      </w:r>
    </w:p>
    <w:p>
      <w:pPr>
        <w:widowControl/>
        <w:spacing w:line="540" w:lineRule="exact"/>
        <w:ind w:firstLine="640" w:firstLineChars="200"/>
        <w:jc w:val="left"/>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公务用车运行费</w:t>
      </w:r>
      <w:r>
        <w:rPr>
          <w:rFonts w:hint="eastAsia" w:ascii="仿宋_GB2312" w:hAnsi="仿宋_GB2312" w:eastAsia="仿宋_GB2312" w:cs="仿宋_GB2312"/>
          <w:color w:val="333333"/>
          <w:kern w:val="0"/>
          <w:sz w:val="32"/>
          <w:szCs w:val="32"/>
          <w:highlight w:val="none"/>
          <w:lang w:val="en-US" w:eastAsia="zh-CN"/>
        </w:rPr>
        <w:t>6</w:t>
      </w:r>
      <w:r>
        <w:rPr>
          <w:rFonts w:hint="eastAsia" w:ascii="仿宋_GB2312" w:hAnsi="仿宋_GB2312" w:eastAsia="仿宋_GB2312" w:cs="仿宋_GB2312"/>
          <w:color w:val="333333"/>
          <w:kern w:val="0"/>
          <w:sz w:val="32"/>
          <w:szCs w:val="32"/>
          <w:highlight w:val="none"/>
        </w:rPr>
        <w:t>万元，比上年减少</w:t>
      </w:r>
      <w:r>
        <w:rPr>
          <w:rFonts w:hint="eastAsia" w:ascii="仿宋_GB2312" w:hAnsi="仿宋_GB2312" w:eastAsia="仿宋_GB2312" w:cs="仿宋_GB2312"/>
          <w:color w:val="333333"/>
          <w:kern w:val="0"/>
          <w:sz w:val="32"/>
          <w:szCs w:val="32"/>
          <w:highlight w:val="none"/>
          <w:lang w:val="en-US" w:eastAsia="zh-CN"/>
        </w:rPr>
        <w:t>6</w:t>
      </w:r>
      <w:r>
        <w:rPr>
          <w:rFonts w:hint="eastAsia" w:ascii="仿宋_GB2312" w:hAnsi="仿宋_GB2312" w:eastAsia="仿宋_GB2312" w:cs="仿宋_GB2312"/>
          <w:color w:val="333333"/>
          <w:kern w:val="0"/>
          <w:sz w:val="32"/>
          <w:szCs w:val="32"/>
          <w:highlight w:val="none"/>
        </w:rPr>
        <w:t>万元；主要原因是</w:t>
      </w:r>
      <w:r>
        <w:rPr>
          <w:rFonts w:hint="eastAsia" w:ascii="仿宋_GB2312" w:hAnsi="仿宋_GB2312" w:eastAsia="仿宋_GB2312" w:cs="仿宋_GB2312"/>
          <w:color w:val="333333"/>
          <w:kern w:val="0"/>
          <w:sz w:val="32"/>
          <w:szCs w:val="32"/>
          <w:highlight w:val="none"/>
          <w:lang w:val="en-US" w:eastAsia="zh-CN"/>
        </w:rPr>
        <w:t>精简三公经费支出</w:t>
      </w:r>
      <w:r>
        <w:rPr>
          <w:rFonts w:hint="eastAsia" w:ascii="仿宋_GB2312" w:hAnsi="仿宋_GB2312" w:eastAsia="仿宋_GB2312" w:cs="仿宋_GB2312"/>
          <w:color w:val="333333"/>
          <w:kern w:val="0"/>
          <w:sz w:val="32"/>
          <w:szCs w:val="32"/>
          <w:highlight w:val="none"/>
        </w:rPr>
        <w:t>。</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 xml:space="preserve">2022年年初预算购置车辆 </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 xml:space="preserve">台，金额 </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 xml:space="preserve">万元，单位价值 50 万元以上的通用设备 </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 xml:space="preserve"> 台，单位价值 100万元以上的专用设备 </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台。</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六、预算绩效目标情况</w:t>
      </w:r>
    </w:p>
    <w:p>
      <w:pPr>
        <w:widowControl/>
        <w:spacing w:line="540" w:lineRule="exact"/>
        <w:ind w:firstLine="640" w:firstLineChars="200"/>
        <w:jc w:val="left"/>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根据预算绩效管理要求，2022年应编制部门（单位）整体绩效目标共</w:t>
      </w:r>
      <w:r>
        <w:rPr>
          <w:rFonts w:hint="eastAsia" w:ascii="仿宋_GB2312" w:hAnsi="仿宋_GB2312" w:eastAsia="仿宋_GB2312" w:cs="仿宋_GB2312"/>
          <w:color w:val="333333"/>
          <w:kern w:val="0"/>
          <w:sz w:val="32"/>
          <w:szCs w:val="32"/>
          <w:highlight w:val="none"/>
          <w:lang w:val="en-US" w:eastAsia="zh-CN"/>
        </w:rPr>
        <w:t>4</w:t>
      </w:r>
      <w:r>
        <w:rPr>
          <w:rFonts w:hint="eastAsia" w:ascii="仿宋_GB2312" w:hAnsi="仿宋_GB2312" w:eastAsia="仿宋_GB2312" w:cs="仿宋_GB2312"/>
          <w:color w:val="333333"/>
          <w:kern w:val="0"/>
          <w:sz w:val="32"/>
          <w:szCs w:val="32"/>
          <w:highlight w:val="none"/>
        </w:rPr>
        <w:t>个，实际编制部门（单位）整体绩效目标共</w:t>
      </w:r>
      <w:r>
        <w:rPr>
          <w:rFonts w:hint="eastAsia" w:ascii="仿宋_GB2312" w:hAnsi="仿宋_GB2312" w:eastAsia="仿宋_GB2312" w:cs="仿宋_GB2312"/>
          <w:color w:val="333333"/>
          <w:kern w:val="0"/>
          <w:sz w:val="32"/>
          <w:szCs w:val="32"/>
          <w:highlight w:val="none"/>
          <w:lang w:val="en-US" w:eastAsia="zh-CN"/>
        </w:rPr>
        <w:t>4</w:t>
      </w:r>
      <w:r>
        <w:rPr>
          <w:rFonts w:hint="eastAsia" w:ascii="仿宋_GB2312" w:hAnsi="仿宋_GB2312" w:eastAsia="仿宋_GB2312" w:cs="仿宋_GB2312"/>
          <w:color w:val="333333"/>
          <w:kern w:val="0"/>
          <w:sz w:val="32"/>
          <w:szCs w:val="32"/>
          <w:highlight w:val="none"/>
        </w:rPr>
        <w:t>个，编制部门（单位）整体绩效目标覆盖率（实际编制绩效目标的数量/应编制绩效目标的数量）为100%。应编制绩效目标的特定目标类项目共</w:t>
      </w:r>
      <w:r>
        <w:rPr>
          <w:rFonts w:hint="eastAsia" w:ascii="仿宋_GB2312" w:hAnsi="仿宋_GB2312" w:eastAsia="仿宋_GB2312" w:cs="仿宋_GB2312"/>
          <w:color w:val="333333"/>
          <w:kern w:val="0"/>
          <w:sz w:val="32"/>
          <w:szCs w:val="32"/>
          <w:highlight w:val="none"/>
          <w:lang w:val="en-US" w:eastAsia="zh-CN"/>
        </w:rPr>
        <w:t>2</w:t>
      </w:r>
      <w:r>
        <w:rPr>
          <w:rFonts w:hint="eastAsia" w:ascii="仿宋_GB2312" w:hAnsi="仿宋_GB2312" w:eastAsia="仿宋_GB2312" w:cs="仿宋_GB2312"/>
          <w:color w:val="333333"/>
          <w:kern w:val="0"/>
          <w:sz w:val="32"/>
          <w:szCs w:val="32"/>
          <w:highlight w:val="none"/>
        </w:rPr>
        <w:t xml:space="preserve">个，实际编制绩效目标的特定目标类项目共 </w:t>
      </w:r>
      <w:r>
        <w:rPr>
          <w:rFonts w:hint="eastAsia" w:ascii="仿宋_GB2312" w:hAnsi="仿宋_GB2312" w:eastAsia="仿宋_GB2312" w:cs="仿宋_GB2312"/>
          <w:color w:val="333333"/>
          <w:kern w:val="0"/>
          <w:sz w:val="32"/>
          <w:szCs w:val="32"/>
          <w:highlight w:val="none"/>
          <w:lang w:val="en-US" w:eastAsia="zh-CN"/>
        </w:rPr>
        <w:t>2</w:t>
      </w:r>
      <w:r>
        <w:rPr>
          <w:rFonts w:hint="eastAsia" w:ascii="仿宋_GB2312" w:hAnsi="仿宋_GB2312" w:eastAsia="仿宋_GB2312" w:cs="仿宋_GB2312"/>
          <w:color w:val="333333"/>
          <w:kern w:val="0"/>
          <w:sz w:val="32"/>
          <w:szCs w:val="32"/>
          <w:highlight w:val="none"/>
        </w:rPr>
        <w:t>个,涉及资金</w:t>
      </w:r>
      <w:r>
        <w:rPr>
          <w:rFonts w:hint="eastAsia" w:ascii="仿宋_GB2312" w:hAnsi="仿宋_GB2312" w:eastAsia="仿宋_GB2312" w:cs="仿宋_GB2312"/>
          <w:color w:val="333333"/>
          <w:kern w:val="0"/>
          <w:sz w:val="32"/>
          <w:szCs w:val="32"/>
          <w:highlight w:val="none"/>
          <w:lang w:val="en-US" w:eastAsia="zh-CN"/>
        </w:rPr>
        <w:t>146.17</w:t>
      </w:r>
      <w:r>
        <w:rPr>
          <w:rFonts w:hint="eastAsia" w:ascii="仿宋_GB2312" w:hAnsi="仿宋_GB2312" w:eastAsia="仿宋_GB2312" w:cs="仿宋_GB2312"/>
          <w:color w:val="333333"/>
          <w:kern w:val="0"/>
          <w:sz w:val="32"/>
          <w:szCs w:val="32"/>
          <w:highlight w:val="none"/>
        </w:rPr>
        <w:t>万元，编制特定目标的项目覆盖率（实际编制绩效目标的数量/应编制绩效目标的数量）为100%。</w:t>
      </w:r>
    </w:p>
    <w:p>
      <w:pPr>
        <w:widowControl/>
        <w:spacing w:line="540" w:lineRule="exact"/>
        <w:ind w:firstLine="640" w:firstLineChars="200"/>
        <w:jc w:val="left"/>
        <w:rPr>
          <w:rFonts w:hint="eastAsia" w:ascii="仿宋_GB2312" w:hAnsi="仿宋_GB2312" w:eastAsia="仿宋_GB2312" w:cs="仿宋_GB2312"/>
          <w:color w:val="333333"/>
          <w:kern w:val="0"/>
          <w:sz w:val="32"/>
          <w:szCs w:val="32"/>
          <w:highlight w:val="none"/>
        </w:rPr>
      </w:pPr>
    </w:p>
    <w:p>
      <w:pPr>
        <w:widowControl/>
        <w:spacing w:line="600" w:lineRule="exact"/>
        <w:jc w:val="center"/>
        <w:rPr>
          <w:rFonts w:ascii="黑体" w:hAnsi="黑体" w:eastAsia="黑体" w:cs="黑体"/>
          <w:color w:val="333333"/>
          <w:kern w:val="0"/>
          <w:sz w:val="36"/>
          <w:szCs w:val="36"/>
          <w:highlight w:val="none"/>
        </w:rPr>
      </w:pPr>
      <w:r>
        <w:rPr>
          <w:rFonts w:hint="eastAsia" w:ascii="黑体" w:hAnsi="黑体" w:eastAsia="黑体" w:cs="黑体"/>
          <w:color w:val="333333"/>
          <w:kern w:val="0"/>
          <w:sz w:val="36"/>
          <w:szCs w:val="36"/>
          <w:highlight w:val="none"/>
        </w:rPr>
        <w:t>第三部分 名词解释</w:t>
      </w:r>
    </w:p>
    <w:p>
      <w:pPr>
        <w:widowControl/>
        <w:spacing w:line="600" w:lineRule="exact"/>
        <w:jc w:val="center"/>
        <w:rPr>
          <w:rFonts w:ascii="宋体" w:hAnsi="宋体" w:eastAsia="宋体" w:cs="宋体"/>
          <w:color w:val="333333"/>
          <w:kern w:val="0"/>
          <w:sz w:val="36"/>
          <w:szCs w:val="36"/>
          <w:highlight w:val="none"/>
        </w:rPr>
      </w:pP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1.一般公共预算拨款收入：</w:t>
      </w:r>
      <w:r>
        <w:rPr>
          <w:rFonts w:hint="eastAsia" w:ascii="仿宋_GB2312" w:hAnsi="仿宋_GB2312" w:eastAsia="仿宋_GB2312" w:cs="仿宋_GB2312"/>
          <w:color w:val="333333"/>
          <w:kern w:val="0"/>
          <w:sz w:val="32"/>
          <w:szCs w:val="32"/>
          <w:highlight w:val="none"/>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2.基本支出：</w:t>
      </w:r>
      <w:r>
        <w:rPr>
          <w:rFonts w:hint="eastAsia" w:ascii="仿宋_GB2312" w:hAnsi="仿宋_GB2312" w:eastAsia="仿宋_GB2312" w:cs="仿宋_GB2312"/>
          <w:color w:val="333333"/>
          <w:kern w:val="0"/>
          <w:sz w:val="32"/>
          <w:szCs w:val="32"/>
          <w:highlight w:val="none"/>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3.项目支出：</w:t>
      </w:r>
      <w:r>
        <w:rPr>
          <w:rFonts w:hint="eastAsia" w:ascii="仿宋_GB2312" w:hAnsi="仿宋_GB2312" w:eastAsia="仿宋_GB2312" w:cs="仿宋_GB2312"/>
          <w:color w:val="333333"/>
          <w:kern w:val="0"/>
          <w:sz w:val="32"/>
          <w:szCs w:val="32"/>
          <w:highlight w:val="none"/>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4.“三公”经费：</w:t>
      </w:r>
      <w:r>
        <w:rPr>
          <w:rFonts w:hint="eastAsia" w:ascii="仿宋_GB2312" w:hAnsi="仿宋_GB2312" w:eastAsia="仿宋_GB2312" w:cs="仿宋_GB2312"/>
          <w:color w:val="333333"/>
          <w:kern w:val="0"/>
          <w:sz w:val="32"/>
          <w:szCs w:val="32"/>
          <w:highlight w:val="none"/>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5.一般公共服务（类）政府办公厅（室）及相关机构事务（款）行政运行（项）：</w:t>
      </w:r>
      <w:r>
        <w:rPr>
          <w:rFonts w:hint="eastAsia" w:ascii="仿宋_GB2312" w:hAnsi="仿宋_GB2312" w:eastAsia="仿宋_GB2312" w:cs="仿宋_GB2312"/>
          <w:color w:val="333333"/>
          <w:kern w:val="0"/>
          <w:sz w:val="32"/>
          <w:szCs w:val="32"/>
          <w:highlight w:val="none"/>
          <w:shd w:val="clear" w:color="auto" w:fill="FFFFFF"/>
        </w:rPr>
        <w:t>反映为行政单位（包括实行公务员管理的事业单位）提供后勤服务的各类后勤服务中心、医务室等附属事业单位的支出。其他事业单位的支出，凡单独设置了项级科目的，在单独设置的项级科目中反映。未单设项级科目的，在“其他”项级科目中反映。</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6.</w:t>
      </w:r>
      <w:r>
        <w:rPr>
          <w:rFonts w:hint="eastAsia" w:ascii="仿宋_GB2312" w:hAnsi="仿宋_GB2312" w:eastAsia="仿宋_GB2312" w:cs="仿宋_GB2312"/>
          <w:b/>
          <w:bCs/>
          <w:color w:val="333333"/>
          <w:kern w:val="0"/>
          <w:sz w:val="32"/>
          <w:szCs w:val="32"/>
          <w:highlight w:val="none"/>
          <w:shd w:val="clear" w:color="auto" w:fill="FFFFFF"/>
          <w:lang w:val="en-US" w:eastAsia="zh-CN"/>
        </w:rPr>
        <w:t>教育</w:t>
      </w:r>
      <w:r>
        <w:rPr>
          <w:rFonts w:hint="eastAsia" w:ascii="仿宋_GB2312" w:hAnsi="仿宋_GB2312" w:eastAsia="仿宋_GB2312" w:cs="仿宋_GB2312"/>
          <w:b/>
          <w:bCs/>
          <w:color w:val="333333"/>
          <w:kern w:val="0"/>
          <w:sz w:val="32"/>
          <w:szCs w:val="32"/>
          <w:highlight w:val="none"/>
          <w:shd w:val="clear" w:color="auto" w:fill="FFFFFF"/>
        </w:rPr>
        <w:t>（类）</w:t>
      </w:r>
      <w:r>
        <w:rPr>
          <w:rFonts w:hint="eastAsia" w:ascii="仿宋_GB2312" w:hAnsi="仿宋_GB2312" w:eastAsia="仿宋_GB2312" w:cs="仿宋_GB2312"/>
          <w:b/>
          <w:bCs/>
          <w:color w:val="333333"/>
          <w:kern w:val="0"/>
          <w:sz w:val="32"/>
          <w:szCs w:val="32"/>
          <w:highlight w:val="none"/>
          <w:shd w:val="clear" w:color="auto" w:fill="FFFFFF"/>
          <w:lang w:val="en-US" w:eastAsia="zh-CN"/>
        </w:rPr>
        <w:t>普通教育</w:t>
      </w:r>
      <w:r>
        <w:rPr>
          <w:rFonts w:hint="eastAsia" w:ascii="仿宋_GB2312" w:hAnsi="仿宋_GB2312" w:eastAsia="仿宋_GB2312" w:cs="仿宋_GB2312"/>
          <w:b/>
          <w:bCs/>
          <w:color w:val="333333"/>
          <w:kern w:val="0"/>
          <w:sz w:val="32"/>
          <w:szCs w:val="32"/>
          <w:highlight w:val="none"/>
          <w:shd w:val="clear" w:color="auto" w:fill="FFFFFF"/>
        </w:rPr>
        <w:t>（款）</w:t>
      </w:r>
      <w:r>
        <w:rPr>
          <w:rFonts w:hint="eastAsia" w:ascii="仿宋_GB2312" w:hAnsi="仿宋_GB2312" w:eastAsia="仿宋_GB2312" w:cs="仿宋_GB2312"/>
          <w:b/>
          <w:bCs/>
          <w:color w:val="333333"/>
          <w:kern w:val="0"/>
          <w:sz w:val="32"/>
          <w:szCs w:val="32"/>
          <w:highlight w:val="none"/>
          <w:shd w:val="clear" w:color="auto" w:fill="FFFFFF"/>
          <w:lang w:val="en-US" w:eastAsia="zh-CN"/>
        </w:rPr>
        <w:t>小学教育</w:t>
      </w:r>
      <w:r>
        <w:rPr>
          <w:rFonts w:hint="eastAsia" w:ascii="仿宋_GB2312" w:hAnsi="仿宋_GB2312" w:eastAsia="仿宋_GB2312" w:cs="仿宋_GB2312"/>
          <w:b/>
          <w:bCs/>
          <w:color w:val="333333"/>
          <w:kern w:val="0"/>
          <w:sz w:val="32"/>
          <w:szCs w:val="32"/>
          <w:highlight w:val="none"/>
          <w:shd w:val="clear" w:color="auto" w:fill="FFFFFF"/>
        </w:rPr>
        <w:t>（项）：</w:t>
      </w:r>
      <w:r>
        <w:rPr>
          <w:rFonts w:hint="eastAsia" w:ascii="仿宋_GB2312" w:hAnsi="仿宋_GB2312" w:eastAsia="仿宋_GB2312" w:cs="仿宋_GB2312"/>
          <w:color w:val="333333"/>
          <w:kern w:val="0"/>
          <w:sz w:val="32"/>
          <w:szCs w:val="32"/>
          <w:highlight w:val="none"/>
          <w:shd w:val="clear" w:color="auto" w:fill="FFFFFF"/>
        </w:rPr>
        <w:t>反映各部门举办的小学教育支出。政府各部门对社会组织等举办的小学的资助，如捐赠、补贴等，也在本科目中反映。</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7.</w:t>
      </w:r>
      <w:r>
        <w:rPr>
          <w:rFonts w:hint="eastAsia" w:ascii="仿宋_GB2312" w:hAnsi="仿宋_GB2312" w:eastAsia="仿宋_GB2312" w:cs="仿宋_GB2312"/>
          <w:b/>
          <w:bCs/>
          <w:color w:val="333333"/>
          <w:kern w:val="0"/>
          <w:sz w:val="32"/>
          <w:szCs w:val="32"/>
          <w:highlight w:val="none"/>
          <w:shd w:val="clear" w:color="auto" w:fill="FFFFFF"/>
          <w:lang w:val="en-US" w:eastAsia="zh-CN"/>
        </w:rPr>
        <w:t>教育</w:t>
      </w:r>
      <w:r>
        <w:rPr>
          <w:rFonts w:hint="eastAsia" w:ascii="仿宋_GB2312" w:hAnsi="仿宋_GB2312" w:eastAsia="仿宋_GB2312" w:cs="仿宋_GB2312"/>
          <w:b/>
          <w:bCs/>
          <w:color w:val="333333"/>
          <w:kern w:val="0"/>
          <w:sz w:val="32"/>
          <w:szCs w:val="32"/>
          <w:highlight w:val="none"/>
          <w:shd w:val="clear" w:color="auto" w:fill="FFFFFF"/>
        </w:rPr>
        <w:t>（类）</w:t>
      </w:r>
      <w:r>
        <w:rPr>
          <w:rFonts w:hint="eastAsia" w:ascii="仿宋_GB2312" w:hAnsi="仿宋_GB2312" w:eastAsia="仿宋_GB2312" w:cs="仿宋_GB2312"/>
          <w:b/>
          <w:bCs/>
          <w:color w:val="333333"/>
          <w:kern w:val="0"/>
          <w:sz w:val="32"/>
          <w:szCs w:val="32"/>
          <w:highlight w:val="none"/>
          <w:shd w:val="clear" w:color="auto" w:fill="FFFFFF"/>
          <w:lang w:val="en-US" w:eastAsia="zh-CN"/>
        </w:rPr>
        <w:t>普通教育</w:t>
      </w:r>
      <w:r>
        <w:rPr>
          <w:rFonts w:hint="eastAsia" w:ascii="仿宋_GB2312" w:hAnsi="仿宋_GB2312" w:eastAsia="仿宋_GB2312" w:cs="仿宋_GB2312"/>
          <w:b/>
          <w:bCs/>
          <w:color w:val="333333"/>
          <w:kern w:val="0"/>
          <w:sz w:val="32"/>
          <w:szCs w:val="32"/>
          <w:highlight w:val="none"/>
          <w:shd w:val="clear" w:color="auto" w:fill="FFFFFF"/>
        </w:rPr>
        <w:t>（款）</w:t>
      </w:r>
      <w:r>
        <w:rPr>
          <w:rFonts w:hint="eastAsia" w:ascii="仿宋_GB2312" w:hAnsi="仿宋_GB2312" w:eastAsia="仿宋_GB2312" w:cs="仿宋_GB2312"/>
          <w:b/>
          <w:bCs/>
          <w:color w:val="333333"/>
          <w:kern w:val="0"/>
          <w:sz w:val="32"/>
          <w:szCs w:val="32"/>
          <w:highlight w:val="none"/>
          <w:shd w:val="clear" w:color="auto" w:fill="FFFFFF"/>
          <w:lang w:val="en-US" w:eastAsia="zh-CN"/>
        </w:rPr>
        <w:t>初中教育</w:t>
      </w:r>
      <w:r>
        <w:rPr>
          <w:rFonts w:hint="eastAsia" w:ascii="仿宋_GB2312" w:hAnsi="仿宋_GB2312" w:eastAsia="仿宋_GB2312" w:cs="仿宋_GB2312"/>
          <w:b/>
          <w:bCs/>
          <w:color w:val="333333"/>
          <w:kern w:val="0"/>
          <w:sz w:val="32"/>
          <w:szCs w:val="32"/>
          <w:highlight w:val="none"/>
          <w:shd w:val="clear" w:color="auto" w:fill="FFFFFF"/>
        </w:rPr>
        <w:t>（项）：</w:t>
      </w:r>
      <w:r>
        <w:rPr>
          <w:rFonts w:hint="eastAsia" w:ascii="仿宋_GB2312" w:hAnsi="仿宋_GB2312" w:eastAsia="仿宋_GB2312" w:cs="仿宋_GB2312"/>
          <w:color w:val="333333"/>
          <w:kern w:val="0"/>
          <w:sz w:val="32"/>
          <w:szCs w:val="32"/>
          <w:highlight w:val="none"/>
          <w:shd w:val="clear" w:color="auto" w:fill="FFFFFF"/>
        </w:rPr>
        <w:t>反映各部门举办的初中教育支出。政府各部门对社会组织等举办的初中的资助，如捐赠、补贴等，也在本科目中反映。</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lang w:val="en-US" w:eastAsia="zh-CN"/>
        </w:rPr>
        <w:t>8</w:t>
      </w:r>
      <w:r>
        <w:rPr>
          <w:rFonts w:hint="eastAsia" w:ascii="仿宋_GB2312" w:hAnsi="仿宋_GB2312" w:eastAsia="仿宋_GB2312" w:cs="仿宋_GB2312"/>
          <w:b/>
          <w:bCs/>
          <w:color w:val="333333"/>
          <w:kern w:val="0"/>
          <w:sz w:val="32"/>
          <w:szCs w:val="32"/>
          <w:highlight w:val="none"/>
          <w:shd w:val="clear" w:color="auto" w:fill="FFFFFF"/>
        </w:rPr>
        <w:t>.社会保障和就业（类）行政事业单位养老（款）行政单位离退休（项）：</w:t>
      </w:r>
      <w:r>
        <w:rPr>
          <w:rFonts w:hint="eastAsia" w:ascii="仿宋_GB2312" w:hAnsi="仿宋_GB2312" w:eastAsia="仿宋_GB2312" w:cs="仿宋_GB2312"/>
          <w:color w:val="333333"/>
          <w:kern w:val="0"/>
          <w:sz w:val="32"/>
          <w:szCs w:val="32"/>
          <w:highlight w:val="none"/>
          <w:shd w:val="clear" w:color="auto" w:fill="FFFFFF"/>
          <w:lang w:val="en-US" w:eastAsia="zh-CN"/>
        </w:rPr>
        <w:t>反映行政单位（包括实行公务员管理的事业单位）开支的离退休经费。</w:t>
      </w:r>
      <w:r>
        <w:rPr>
          <w:rFonts w:hint="eastAsia" w:ascii="仿宋_GB2312" w:hAnsi="仿宋_GB2312" w:eastAsia="仿宋_GB2312" w:cs="仿宋_GB2312"/>
          <w:color w:val="333333"/>
          <w:kern w:val="0"/>
          <w:sz w:val="32"/>
          <w:szCs w:val="32"/>
          <w:highlight w:val="none"/>
          <w:shd w:val="clear" w:color="auto" w:fill="FFFFFF"/>
        </w:rPr>
        <w:t xml:space="preserve">     </w:t>
      </w:r>
    </w:p>
    <w:p>
      <w:pPr>
        <w:spacing w:line="620" w:lineRule="exact"/>
        <w:ind w:firstLine="643" w:firstLineChars="200"/>
        <w:jc w:val="left"/>
        <w:rPr>
          <w:rFonts w:hint="default" w:ascii="仿宋_GB2312" w:hAnsi="仿宋_GB2312" w:eastAsia="仿宋_GB2312" w:cs="仿宋_GB2312"/>
          <w:color w:val="333333"/>
          <w:kern w:val="0"/>
          <w:sz w:val="32"/>
          <w:szCs w:val="32"/>
          <w:highlight w:val="none"/>
          <w:shd w:val="clear" w:color="auto" w:fill="FFFFFF"/>
          <w:lang w:val="en-US" w:eastAsia="zh-CN"/>
        </w:rPr>
      </w:pPr>
      <w:r>
        <w:rPr>
          <w:rFonts w:hint="eastAsia" w:ascii="仿宋_GB2312" w:hAnsi="仿宋_GB2312" w:eastAsia="仿宋_GB2312" w:cs="仿宋_GB2312"/>
          <w:b/>
          <w:bCs/>
          <w:color w:val="333333"/>
          <w:kern w:val="0"/>
          <w:sz w:val="32"/>
          <w:szCs w:val="32"/>
          <w:highlight w:val="none"/>
          <w:shd w:val="clear" w:color="auto" w:fill="FFFFFF"/>
          <w:lang w:val="en-US" w:eastAsia="zh-CN"/>
        </w:rPr>
        <w:t>9</w:t>
      </w:r>
      <w:r>
        <w:rPr>
          <w:rFonts w:hint="eastAsia" w:ascii="仿宋_GB2312" w:hAnsi="仿宋_GB2312" w:eastAsia="仿宋_GB2312" w:cs="仿宋_GB2312"/>
          <w:b/>
          <w:bCs/>
          <w:color w:val="333333"/>
          <w:kern w:val="0"/>
          <w:sz w:val="32"/>
          <w:szCs w:val="32"/>
          <w:highlight w:val="none"/>
          <w:shd w:val="clear" w:color="auto" w:fill="FFFFFF"/>
        </w:rPr>
        <w:t>.社会保障和就业（类）行政事业单位养老（款）事业单位离退休（项）：</w:t>
      </w:r>
      <w:r>
        <w:rPr>
          <w:rFonts w:hint="eastAsia" w:ascii="仿宋_GB2312" w:hAnsi="仿宋_GB2312" w:eastAsia="仿宋_GB2312" w:cs="仿宋_GB2312"/>
          <w:color w:val="333333"/>
          <w:kern w:val="0"/>
          <w:sz w:val="32"/>
          <w:szCs w:val="32"/>
          <w:highlight w:val="none"/>
          <w:shd w:val="clear" w:color="auto" w:fill="FFFFFF"/>
          <w:lang w:val="en-US" w:eastAsia="zh-CN"/>
        </w:rPr>
        <w:t>反映事业单位开支的离退休经费。</w:t>
      </w:r>
    </w:p>
    <w:p>
      <w:pPr>
        <w:spacing w:line="620" w:lineRule="exact"/>
        <w:ind w:firstLine="643" w:firstLineChars="200"/>
        <w:jc w:val="left"/>
        <w:rPr>
          <w:rFonts w:hint="eastAsia" w:ascii="仿宋_GB2312" w:hAnsi="仿宋_GB2312" w:eastAsia="仿宋_GB2312" w:cs="仿宋_GB2312"/>
          <w:b/>
          <w:bCs/>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1</w:t>
      </w:r>
      <w:r>
        <w:rPr>
          <w:rFonts w:hint="eastAsia" w:ascii="仿宋_GB2312" w:hAnsi="仿宋_GB2312" w:eastAsia="仿宋_GB2312" w:cs="仿宋_GB2312"/>
          <w:b/>
          <w:bCs/>
          <w:color w:val="333333"/>
          <w:kern w:val="0"/>
          <w:sz w:val="32"/>
          <w:szCs w:val="32"/>
          <w:highlight w:val="none"/>
          <w:shd w:val="clear" w:color="auto" w:fill="FFFFFF"/>
          <w:lang w:val="en-US" w:eastAsia="zh-CN"/>
        </w:rPr>
        <w:t>0</w:t>
      </w:r>
      <w:r>
        <w:rPr>
          <w:rFonts w:hint="eastAsia" w:ascii="仿宋_GB2312" w:hAnsi="仿宋_GB2312" w:eastAsia="仿宋_GB2312" w:cs="仿宋_GB2312"/>
          <w:b/>
          <w:bCs/>
          <w:color w:val="333333"/>
          <w:kern w:val="0"/>
          <w:sz w:val="32"/>
          <w:szCs w:val="32"/>
          <w:highlight w:val="none"/>
          <w:shd w:val="clear" w:color="auto" w:fill="FFFFFF"/>
        </w:rPr>
        <w:t>.</w:t>
      </w:r>
      <w:r>
        <w:rPr>
          <w:rFonts w:hint="eastAsia" w:ascii="仿宋_GB2312" w:hAnsi="仿宋_GB2312" w:eastAsia="仿宋_GB2312" w:cs="仿宋_GB2312"/>
          <w:b/>
          <w:bCs/>
          <w:color w:val="333333"/>
          <w:kern w:val="0"/>
          <w:sz w:val="32"/>
          <w:szCs w:val="32"/>
          <w:highlight w:val="none"/>
          <w:shd w:val="clear" w:color="auto" w:fill="FFFFFF"/>
          <w:lang w:val="en-US" w:eastAsia="zh-CN"/>
        </w:rPr>
        <w:t>卫生健康</w:t>
      </w:r>
      <w:r>
        <w:rPr>
          <w:rFonts w:hint="eastAsia" w:ascii="仿宋_GB2312" w:hAnsi="仿宋_GB2312" w:eastAsia="仿宋_GB2312" w:cs="仿宋_GB2312"/>
          <w:b/>
          <w:bCs/>
          <w:color w:val="333333"/>
          <w:kern w:val="0"/>
          <w:sz w:val="32"/>
          <w:szCs w:val="32"/>
          <w:highlight w:val="none"/>
          <w:shd w:val="clear" w:color="auto" w:fill="FFFFFF"/>
        </w:rPr>
        <w:t>（类）行政事业单位医疗（款）行政单位医疗（项）：</w:t>
      </w:r>
      <w:r>
        <w:rPr>
          <w:rFonts w:hint="eastAsia" w:ascii="仿宋_GB2312" w:hAnsi="仿宋_GB2312" w:eastAsia="仿宋_GB2312" w:cs="仿宋_GB2312"/>
          <w:color w:val="333333"/>
          <w:kern w:val="0"/>
          <w:sz w:val="32"/>
          <w:szCs w:val="32"/>
          <w:highlight w:val="none"/>
          <w:shd w:val="clear" w:color="auto" w:fill="FFFFFF"/>
          <w:lang w:val="en-US" w:eastAsia="zh-CN"/>
        </w:rPr>
        <w:t>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620" w:lineRule="exact"/>
        <w:ind w:firstLine="643" w:firstLineChars="200"/>
        <w:jc w:val="left"/>
        <w:rPr>
          <w:rFonts w:hint="eastAsia" w:ascii="仿宋_GB2312" w:hAnsi="仿宋_GB2312" w:eastAsia="仿宋_GB2312" w:cs="仿宋_GB2312"/>
          <w:b/>
          <w:bCs/>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1</w:t>
      </w:r>
      <w:r>
        <w:rPr>
          <w:rFonts w:hint="eastAsia" w:ascii="仿宋_GB2312" w:hAnsi="仿宋_GB2312" w:eastAsia="仿宋_GB2312" w:cs="仿宋_GB2312"/>
          <w:b/>
          <w:bCs/>
          <w:color w:val="333333"/>
          <w:kern w:val="0"/>
          <w:sz w:val="32"/>
          <w:szCs w:val="32"/>
          <w:highlight w:val="none"/>
          <w:shd w:val="clear" w:color="auto" w:fill="FFFFFF"/>
          <w:lang w:val="en-US" w:eastAsia="zh-CN"/>
        </w:rPr>
        <w:t>1</w:t>
      </w:r>
      <w:r>
        <w:rPr>
          <w:rFonts w:hint="eastAsia" w:ascii="仿宋_GB2312" w:hAnsi="仿宋_GB2312" w:eastAsia="仿宋_GB2312" w:cs="仿宋_GB2312"/>
          <w:b/>
          <w:bCs/>
          <w:color w:val="333333"/>
          <w:kern w:val="0"/>
          <w:sz w:val="32"/>
          <w:szCs w:val="32"/>
          <w:highlight w:val="none"/>
          <w:shd w:val="clear" w:color="auto" w:fill="FFFFFF"/>
        </w:rPr>
        <w:t>.</w:t>
      </w:r>
      <w:r>
        <w:rPr>
          <w:rFonts w:hint="eastAsia" w:ascii="仿宋_GB2312" w:hAnsi="仿宋_GB2312" w:eastAsia="仿宋_GB2312" w:cs="仿宋_GB2312"/>
          <w:b/>
          <w:bCs/>
          <w:color w:val="333333"/>
          <w:kern w:val="0"/>
          <w:sz w:val="32"/>
          <w:szCs w:val="32"/>
          <w:highlight w:val="none"/>
          <w:shd w:val="clear" w:color="auto" w:fill="FFFFFF"/>
          <w:lang w:val="en-US" w:eastAsia="zh-CN"/>
        </w:rPr>
        <w:t>卫生健康</w:t>
      </w:r>
      <w:r>
        <w:rPr>
          <w:rFonts w:hint="eastAsia" w:ascii="仿宋_GB2312" w:hAnsi="仿宋_GB2312" w:eastAsia="仿宋_GB2312" w:cs="仿宋_GB2312"/>
          <w:b/>
          <w:bCs/>
          <w:color w:val="333333"/>
          <w:kern w:val="0"/>
          <w:sz w:val="32"/>
          <w:szCs w:val="32"/>
          <w:highlight w:val="none"/>
          <w:shd w:val="clear" w:color="auto" w:fill="FFFFFF"/>
        </w:rPr>
        <w:t>（类）行政事业单位医疗（款）</w:t>
      </w:r>
      <w:r>
        <w:rPr>
          <w:rFonts w:hint="eastAsia" w:ascii="仿宋_GB2312" w:hAnsi="仿宋_GB2312" w:eastAsia="仿宋_GB2312" w:cs="仿宋_GB2312"/>
          <w:b/>
          <w:bCs/>
          <w:color w:val="333333"/>
          <w:kern w:val="0"/>
          <w:sz w:val="32"/>
          <w:szCs w:val="32"/>
          <w:highlight w:val="none"/>
          <w:shd w:val="clear" w:color="auto" w:fill="FFFFFF"/>
          <w:lang w:val="en-US" w:eastAsia="zh-CN"/>
        </w:rPr>
        <w:t>事业</w:t>
      </w:r>
      <w:r>
        <w:rPr>
          <w:rFonts w:hint="eastAsia" w:ascii="仿宋_GB2312" w:hAnsi="仿宋_GB2312" w:eastAsia="仿宋_GB2312" w:cs="仿宋_GB2312"/>
          <w:b/>
          <w:bCs/>
          <w:color w:val="333333"/>
          <w:kern w:val="0"/>
          <w:sz w:val="32"/>
          <w:szCs w:val="32"/>
          <w:highlight w:val="none"/>
          <w:shd w:val="clear" w:color="auto" w:fill="FFFFFF"/>
        </w:rPr>
        <w:t>单位医疗（项）：</w:t>
      </w:r>
      <w:r>
        <w:rPr>
          <w:rFonts w:hint="eastAsia" w:ascii="仿宋_GB2312" w:hAnsi="仿宋_GB2312" w:eastAsia="仿宋_GB2312" w:cs="仿宋_GB2312"/>
          <w:color w:val="333333"/>
          <w:kern w:val="0"/>
          <w:sz w:val="32"/>
          <w:szCs w:val="32"/>
          <w:highlight w:val="none"/>
          <w:shd w:val="clear" w:color="auto" w:fill="FFFFFF"/>
          <w:lang w:val="en-US" w:eastAsia="zh-CN"/>
        </w:rPr>
        <w:t>反映财政部门安排的事业单位基本医疗保险缴费经费，未参加医疗保险的事业单位的公费医疗经费，按国家规定享受离休人员待遇的医疗经费。</w:t>
      </w:r>
    </w:p>
    <w:p>
      <w:pPr>
        <w:spacing w:line="620" w:lineRule="exact"/>
        <w:ind w:firstLine="643" w:firstLineChars="200"/>
        <w:jc w:val="left"/>
        <w:rPr>
          <w:rFonts w:hint="eastAsia" w:ascii="仿宋_GB2312" w:hAnsi="仿宋_GB2312" w:eastAsia="仿宋_GB2312" w:cs="仿宋_GB2312"/>
          <w:color w:val="333333"/>
          <w:kern w:val="0"/>
          <w:sz w:val="32"/>
          <w:szCs w:val="32"/>
          <w:highlight w:val="none"/>
          <w:shd w:val="clear" w:color="auto" w:fill="FFFFFF"/>
          <w:lang w:val="en-US" w:eastAsia="zh-CN"/>
        </w:rPr>
      </w:pPr>
      <w:r>
        <w:rPr>
          <w:rFonts w:hint="eastAsia" w:ascii="仿宋_GB2312" w:hAnsi="仿宋_GB2312" w:eastAsia="仿宋_GB2312" w:cs="仿宋_GB2312"/>
          <w:b/>
          <w:bCs/>
          <w:color w:val="333333"/>
          <w:kern w:val="0"/>
          <w:sz w:val="32"/>
          <w:szCs w:val="32"/>
          <w:highlight w:val="none"/>
          <w:shd w:val="clear" w:color="auto" w:fill="FFFFFF"/>
        </w:rPr>
        <w:t>1</w:t>
      </w:r>
      <w:r>
        <w:rPr>
          <w:rFonts w:hint="eastAsia" w:ascii="仿宋_GB2312" w:hAnsi="仿宋_GB2312" w:eastAsia="仿宋_GB2312" w:cs="仿宋_GB2312"/>
          <w:b/>
          <w:bCs/>
          <w:color w:val="333333"/>
          <w:kern w:val="0"/>
          <w:sz w:val="32"/>
          <w:szCs w:val="32"/>
          <w:highlight w:val="none"/>
          <w:shd w:val="clear" w:color="auto" w:fill="FFFFFF"/>
          <w:lang w:val="en-US" w:eastAsia="zh-CN"/>
        </w:rPr>
        <w:t>2</w:t>
      </w:r>
      <w:r>
        <w:rPr>
          <w:rFonts w:hint="eastAsia" w:ascii="仿宋_GB2312" w:hAnsi="仿宋_GB2312" w:eastAsia="仿宋_GB2312" w:cs="仿宋_GB2312"/>
          <w:b/>
          <w:bCs/>
          <w:color w:val="333333"/>
          <w:kern w:val="0"/>
          <w:sz w:val="32"/>
          <w:szCs w:val="32"/>
          <w:highlight w:val="none"/>
          <w:shd w:val="clear" w:color="auto" w:fill="FFFFFF"/>
        </w:rPr>
        <w:t>.</w:t>
      </w:r>
      <w:r>
        <w:rPr>
          <w:rFonts w:hint="eastAsia" w:ascii="仿宋_GB2312" w:hAnsi="仿宋_GB2312" w:eastAsia="仿宋_GB2312" w:cs="仿宋_GB2312"/>
          <w:b/>
          <w:bCs/>
          <w:color w:val="333333"/>
          <w:kern w:val="0"/>
          <w:sz w:val="32"/>
          <w:szCs w:val="32"/>
          <w:highlight w:val="none"/>
          <w:shd w:val="clear" w:color="auto" w:fill="FFFFFF"/>
          <w:lang w:val="en-US" w:eastAsia="zh-CN"/>
        </w:rPr>
        <w:t>农林水</w:t>
      </w:r>
      <w:r>
        <w:rPr>
          <w:rFonts w:hint="eastAsia" w:ascii="仿宋_GB2312" w:hAnsi="仿宋_GB2312" w:eastAsia="仿宋_GB2312" w:cs="仿宋_GB2312"/>
          <w:b/>
          <w:bCs/>
          <w:color w:val="333333"/>
          <w:kern w:val="0"/>
          <w:sz w:val="32"/>
          <w:szCs w:val="32"/>
          <w:highlight w:val="none"/>
          <w:shd w:val="clear" w:color="auto" w:fill="FFFFFF"/>
        </w:rPr>
        <w:t>（类）农村综合改革（款）</w:t>
      </w:r>
      <w:r>
        <w:rPr>
          <w:rFonts w:hint="eastAsia" w:ascii="仿宋_GB2312" w:hAnsi="仿宋_GB2312" w:eastAsia="仿宋_GB2312" w:cs="仿宋_GB2312"/>
          <w:b/>
          <w:bCs/>
          <w:color w:val="333333"/>
          <w:kern w:val="0"/>
          <w:sz w:val="32"/>
          <w:szCs w:val="32"/>
          <w:highlight w:val="none"/>
          <w:shd w:val="clear" w:color="auto" w:fill="FFFFFF"/>
          <w:lang w:val="en-US" w:eastAsia="zh-CN"/>
        </w:rPr>
        <w:t>对村民委员会和村党支部的补助</w:t>
      </w:r>
      <w:r>
        <w:rPr>
          <w:rFonts w:hint="eastAsia" w:ascii="仿宋_GB2312" w:hAnsi="仿宋_GB2312" w:eastAsia="仿宋_GB2312" w:cs="仿宋_GB2312"/>
          <w:b/>
          <w:bCs/>
          <w:color w:val="333333"/>
          <w:kern w:val="0"/>
          <w:sz w:val="32"/>
          <w:szCs w:val="32"/>
          <w:highlight w:val="none"/>
          <w:shd w:val="clear" w:color="auto" w:fill="FFFFFF"/>
        </w:rPr>
        <w:t>（项）：</w:t>
      </w:r>
      <w:r>
        <w:rPr>
          <w:rFonts w:hint="eastAsia" w:ascii="仿宋_GB2312" w:hAnsi="仿宋_GB2312" w:eastAsia="仿宋_GB2312" w:cs="仿宋_GB2312"/>
          <w:color w:val="333333"/>
          <w:kern w:val="0"/>
          <w:sz w:val="32"/>
          <w:szCs w:val="32"/>
          <w:highlight w:val="none"/>
          <w:shd w:val="clear" w:color="auto" w:fill="FFFFFF"/>
          <w:lang w:val="en-US" w:eastAsia="zh-CN"/>
        </w:rPr>
        <w:t>反映各级财政对村民委员会和村党支部的补助支出，以及支持建立县级基本财力保障机制安排的村级组织运转奖补资金。</w:t>
      </w:r>
    </w:p>
    <w:p>
      <w:pPr>
        <w:spacing w:line="620" w:lineRule="exact"/>
        <w:ind w:firstLine="643" w:firstLineChars="200"/>
        <w:jc w:val="left"/>
        <w:rPr>
          <w:rFonts w:hint="eastAsia" w:ascii="仿宋_GB2312" w:hAnsi="仿宋_GB2312" w:eastAsia="仿宋_GB2312" w:cs="仿宋_GB2312"/>
          <w:color w:val="333333"/>
          <w:kern w:val="0"/>
          <w:sz w:val="32"/>
          <w:szCs w:val="32"/>
          <w:highlight w:val="none"/>
          <w:shd w:val="clear" w:color="auto" w:fill="FFFFFF"/>
          <w:lang w:val="en-US" w:eastAsia="zh-CN"/>
        </w:rPr>
      </w:pPr>
      <w:r>
        <w:rPr>
          <w:rFonts w:hint="eastAsia" w:ascii="仿宋_GB2312" w:hAnsi="仿宋_GB2312" w:eastAsia="仿宋_GB2312" w:cs="仿宋_GB2312"/>
          <w:b/>
          <w:bCs/>
          <w:color w:val="333333"/>
          <w:kern w:val="0"/>
          <w:sz w:val="32"/>
          <w:szCs w:val="32"/>
          <w:highlight w:val="none"/>
          <w:shd w:val="clear" w:color="auto" w:fill="FFFFFF"/>
        </w:rPr>
        <w:t>1</w:t>
      </w:r>
      <w:r>
        <w:rPr>
          <w:rFonts w:hint="eastAsia" w:ascii="仿宋_GB2312" w:hAnsi="仿宋_GB2312" w:eastAsia="仿宋_GB2312" w:cs="仿宋_GB2312"/>
          <w:b/>
          <w:bCs/>
          <w:color w:val="333333"/>
          <w:kern w:val="0"/>
          <w:sz w:val="32"/>
          <w:szCs w:val="32"/>
          <w:highlight w:val="none"/>
          <w:shd w:val="clear" w:color="auto" w:fill="FFFFFF"/>
          <w:lang w:val="en-US" w:eastAsia="zh-CN"/>
        </w:rPr>
        <w:t>3</w:t>
      </w:r>
      <w:r>
        <w:rPr>
          <w:rFonts w:hint="eastAsia" w:ascii="仿宋_GB2312" w:hAnsi="仿宋_GB2312" w:eastAsia="仿宋_GB2312" w:cs="仿宋_GB2312"/>
          <w:b/>
          <w:bCs/>
          <w:color w:val="333333"/>
          <w:kern w:val="0"/>
          <w:sz w:val="32"/>
          <w:szCs w:val="32"/>
          <w:highlight w:val="none"/>
          <w:shd w:val="clear" w:color="auto" w:fill="FFFFFF"/>
        </w:rPr>
        <w:t>.</w:t>
      </w:r>
      <w:r>
        <w:rPr>
          <w:rFonts w:hint="eastAsia" w:ascii="仿宋_GB2312" w:hAnsi="仿宋_GB2312" w:eastAsia="仿宋_GB2312" w:cs="仿宋_GB2312"/>
          <w:b/>
          <w:bCs/>
          <w:color w:val="333333"/>
          <w:kern w:val="0"/>
          <w:sz w:val="32"/>
          <w:szCs w:val="32"/>
          <w:highlight w:val="none"/>
          <w:shd w:val="clear" w:color="auto" w:fill="FFFFFF"/>
          <w:lang w:val="en-US" w:eastAsia="zh-CN"/>
        </w:rPr>
        <w:t>农林水</w:t>
      </w:r>
      <w:r>
        <w:rPr>
          <w:rFonts w:hint="eastAsia" w:ascii="仿宋_GB2312" w:hAnsi="仿宋_GB2312" w:eastAsia="仿宋_GB2312" w:cs="仿宋_GB2312"/>
          <w:b/>
          <w:bCs/>
          <w:color w:val="333333"/>
          <w:kern w:val="0"/>
          <w:sz w:val="32"/>
          <w:szCs w:val="32"/>
          <w:highlight w:val="none"/>
          <w:shd w:val="clear" w:color="auto" w:fill="FFFFFF"/>
        </w:rPr>
        <w:t>（类）农村综合改革（款）</w:t>
      </w:r>
      <w:r>
        <w:rPr>
          <w:rFonts w:hint="eastAsia" w:ascii="仿宋_GB2312" w:hAnsi="仿宋_GB2312" w:eastAsia="仿宋_GB2312" w:cs="仿宋_GB2312"/>
          <w:b/>
          <w:bCs/>
          <w:color w:val="333333"/>
          <w:kern w:val="0"/>
          <w:sz w:val="32"/>
          <w:szCs w:val="32"/>
          <w:highlight w:val="none"/>
          <w:shd w:val="clear" w:color="auto" w:fill="FFFFFF"/>
          <w:lang w:val="en-US" w:eastAsia="zh-CN"/>
        </w:rPr>
        <w:t>农村综合改革示范试点补助</w:t>
      </w:r>
      <w:r>
        <w:rPr>
          <w:rFonts w:hint="eastAsia" w:ascii="仿宋_GB2312" w:hAnsi="仿宋_GB2312" w:eastAsia="仿宋_GB2312" w:cs="仿宋_GB2312"/>
          <w:b/>
          <w:bCs/>
          <w:color w:val="333333"/>
          <w:kern w:val="0"/>
          <w:sz w:val="32"/>
          <w:szCs w:val="32"/>
          <w:highlight w:val="none"/>
          <w:shd w:val="clear" w:color="auto" w:fill="FFFFFF"/>
        </w:rPr>
        <w:t>（项）：</w:t>
      </w:r>
      <w:r>
        <w:rPr>
          <w:rFonts w:hint="eastAsia" w:ascii="仿宋_GB2312" w:hAnsi="仿宋_GB2312" w:eastAsia="仿宋_GB2312" w:cs="仿宋_GB2312"/>
          <w:color w:val="333333"/>
          <w:kern w:val="0"/>
          <w:sz w:val="32"/>
          <w:szCs w:val="32"/>
          <w:highlight w:val="none"/>
          <w:shd w:val="clear" w:color="auto" w:fill="FFFFFF"/>
          <w:lang w:val="en-US" w:eastAsia="zh-CN"/>
        </w:rPr>
        <w:t>反映各级财政对农村综合改革示范试点、新型农业社会化服务体系建设等补助支出。</w:t>
      </w:r>
    </w:p>
    <w:p>
      <w:pPr>
        <w:spacing w:line="620" w:lineRule="exact"/>
        <w:ind w:firstLine="643" w:firstLineChars="200"/>
        <w:jc w:val="left"/>
        <w:rPr>
          <w:rFonts w:ascii="宋体" w:hAnsi="宋体" w:eastAsia="宋体" w:cs="宋体"/>
          <w:color w:val="333333"/>
          <w:kern w:val="0"/>
          <w:sz w:val="36"/>
          <w:szCs w:val="36"/>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lang w:val="en-US" w:eastAsia="zh-CN"/>
        </w:rPr>
        <w:t>14.</w:t>
      </w:r>
      <w:r>
        <w:rPr>
          <w:rFonts w:hint="eastAsia" w:ascii="仿宋_GB2312" w:hAnsi="仿宋_GB2312" w:eastAsia="仿宋_GB2312" w:cs="仿宋_GB2312"/>
          <w:b/>
          <w:bCs/>
          <w:color w:val="333333"/>
          <w:kern w:val="0"/>
          <w:sz w:val="32"/>
          <w:szCs w:val="32"/>
          <w:highlight w:val="none"/>
          <w:shd w:val="clear" w:color="auto" w:fill="FFFFFF"/>
        </w:rPr>
        <w:t>住房保障（类）住房改革（款）住房公积金（项）：</w:t>
      </w:r>
      <w:r>
        <w:rPr>
          <w:rFonts w:hint="eastAsia" w:ascii="仿宋_GB2312" w:hAnsi="仿宋_GB2312" w:eastAsia="仿宋_GB2312" w:cs="仿宋_GB2312"/>
          <w:color w:val="333333"/>
          <w:kern w:val="0"/>
          <w:sz w:val="32"/>
          <w:szCs w:val="32"/>
          <w:highlight w:val="none"/>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highlight w:val="none"/>
          <w:shd w:val="clear" w:color="auto" w:fill="FFFFFF"/>
        </w:rPr>
      </w:pPr>
    </w:p>
    <w:p>
      <w:pPr>
        <w:widowControl/>
        <w:numPr>
          <w:ilvl w:val="0"/>
          <w:numId w:val="2"/>
        </w:numPr>
        <w:spacing w:line="600" w:lineRule="exact"/>
        <w:jc w:val="center"/>
        <w:rPr>
          <w:rFonts w:ascii="黑体" w:hAnsi="黑体" w:eastAsia="黑体" w:cs="宋体"/>
          <w:color w:val="333333"/>
          <w:kern w:val="0"/>
          <w:sz w:val="36"/>
          <w:szCs w:val="36"/>
          <w:highlight w:val="none"/>
        </w:rPr>
      </w:pPr>
      <w:r>
        <w:rPr>
          <w:rFonts w:hint="eastAsia" w:ascii="黑体" w:hAnsi="黑体" w:eastAsia="黑体" w:cs="宋体"/>
          <w:color w:val="333333"/>
          <w:kern w:val="0"/>
          <w:sz w:val="36"/>
          <w:szCs w:val="36"/>
          <w:highlight w:val="none"/>
        </w:rPr>
        <w:t>2022年龙城区</w:t>
      </w:r>
      <w:r>
        <w:rPr>
          <w:rFonts w:hint="eastAsia" w:ascii="黑体" w:hAnsi="黑体" w:eastAsia="黑体" w:cs="宋体"/>
          <w:color w:val="333333"/>
          <w:kern w:val="0"/>
          <w:sz w:val="36"/>
          <w:szCs w:val="36"/>
          <w:highlight w:val="none"/>
          <w:lang w:val="en-US" w:eastAsia="zh-CN"/>
        </w:rPr>
        <w:t>西大营子镇政府</w:t>
      </w:r>
      <w:r>
        <w:rPr>
          <w:rFonts w:hint="eastAsia" w:ascii="黑体" w:hAnsi="黑体" w:eastAsia="黑体" w:cs="宋体"/>
          <w:color w:val="333333"/>
          <w:kern w:val="0"/>
          <w:sz w:val="36"/>
          <w:szCs w:val="36"/>
          <w:highlight w:val="none"/>
        </w:rPr>
        <w:t>部门预算批复表</w:t>
      </w:r>
    </w:p>
    <w:p>
      <w:pPr>
        <w:widowControl/>
        <w:spacing w:line="600" w:lineRule="exact"/>
        <w:jc w:val="left"/>
        <w:rPr>
          <w:rFonts w:ascii="仿宋_GB2312" w:hAnsi="宋体" w:eastAsia="仿宋_GB2312" w:cs="宋体"/>
          <w:color w:val="333333"/>
          <w:kern w:val="0"/>
          <w:sz w:val="36"/>
          <w:szCs w:val="36"/>
          <w:highlight w:val="none"/>
          <w:shd w:val="clear" w:color="auto" w:fill="FFFFFF"/>
        </w:rPr>
      </w:pPr>
    </w:p>
    <w:p>
      <w:pPr>
        <w:widowControl/>
        <w:spacing w:line="600" w:lineRule="exact"/>
        <w:jc w:val="left"/>
        <w:rPr>
          <w:rFonts w:hint="eastAsia" w:ascii="仿宋_GB2312" w:hAnsi="宋体" w:eastAsia="仿宋_GB2312" w:cs="宋体"/>
          <w:color w:val="333333"/>
          <w:kern w:val="0"/>
          <w:sz w:val="32"/>
          <w:szCs w:val="32"/>
          <w:highlight w:val="none"/>
        </w:rPr>
      </w:pPr>
      <w:r>
        <w:rPr>
          <w:rFonts w:hint="eastAsia" w:ascii="仿宋_GB2312" w:hAnsi="宋体" w:eastAsia="仿宋_GB2312" w:cs="宋体"/>
          <w:color w:val="333333"/>
          <w:kern w:val="0"/>
          <w:sz w:val="32"/>
          <w:szCs w:val="32"/>
          <w:highlight w:val="none"/>
          <w:shd w:val="clear" w:color="auto" w:fill="FFFFFF"/>
        </w:rPr>
        <w:t>详见附表：</w:t>
      </w:r>
      <w:r>
        <w:rPr>
          <w:rFonts w:hint="eastAsia" w:ascii="仿宋_GB2312" w:hAnsi="宋体" w:eastAsia="仿宋_GB2312" w:cs="宋体"/>
          <w:color w:val="333333"/>
          <w:kern w:val="0"/>
          <w:sz w:val="32"/>
          <w:szCs w:val="32"/>
          <w:highlight w:val="none"/>
        </w:rPr>
        <w:t>2022年龙城区</w:t>
      </w:r>
      <w:r>
        <w:rPr>
          <w:rFonts w:hint="eastAsia" w:ascii="仿宋_GB2312" w:hAnsi="宋体" w:eastAsia="仿宋_GB2312" w:cs="宋体"/>
          <w:color w:val="333333"/>
          <w:kern w:val="0"/>
          <w:sz w:val="32"/>
          <w:szCs w:val="32"/>
          <w:highlight w:val="none"/>
          <w:lang w:val="en-US" w:eastAsia="zh-CN"/>
        </w:rPr>
        <w:t>西大营子镇政府</w:t>
      </w:r>
      <w:r>
        <w:rPr>
          <w:rFonts w:hint="eastAsia" w:ascii="仿宋_GB2312" w:hAnsi="宋体" w:eastAsia="仿宋_GB2312" w:cs="宋体"/>
          <w:color w:val="333333"/>
          <w:kern w:val="0"/>
          <w:sz w:val="32"/>
          <w:szCs w:val="32"/>
          <w:highlight w:val="none"/>
        </w:rPr>
        <w:t>部门预算批复表</w:t>
      </w:r>
    </w:p>
    <w:p>
      <w:pPr>
        <w:widowControl/>
        <w:spacing w:line="600" w:lineRule="exact"/>
        <w:jc w:val="left"/>
        <w:rPr>
          <w:rFonts w:hint="eastAsia" w:ascii="仿宋_GB2312" w:hAnsi="宋体" w:eastAsia="仿宋_GB2312" w:cs="宋体"/>
          <w:color w:val="333333"/>
          <w:kern w:val="0"/>
          <w:sz w:val="32"/>
          <w:szCs w:val="32"/>
          <w:highlight w:val="none"/>
        </w:rPr>
      </w:pPr>
    </w:p>
    <w:p>
      <w:pPr>
        <w:spacing w:line="600" w:lineRule="exact"/>
        <w:jc w:val="left"/>
        <w:rPr>
          <w:rFonts w:ascii="仿宋_GB2312" w:eastAsia="仿宋_GB2312"/>
          <w:sz w:val="36"/>
          <w:szCs w:val="36"/>
          <w:highlight w:val="none"/>
        </w:rPr>
      </w:pPr>
    </w:p>
    <w:p>
      <w:pPr>
        <w:spacing w:line="600" w:lineRule="exact"/>
        <w:jc w:val="left"/>
        <w:rPr>
          <w:rFonts w:ascii="仿宋_GB2312" w:eastAsia="仿宋_GB2312"/>
          <w:sz w:val="36"/>
          <w:szCs w:val="36"/>
          <w:highlight w:val="none"/>
        </w:rPr>
      </w:pPr>
    </w:p>
    <w:p>
      <w:pPr>
        <w:spacing w:line="600" w:lineRule="exact"/>
        <w:jc w:val="left"/>
        <w:rPr>
          <w:rFonts w:ascii="仿宋_GB2312" w:eastAsia="仿宋_GB2312"/>
          <w:sz w:val="36"/>
          <w:szCs w:val="36"/>
          <w:highlight w:val="none"/>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04A6DB"/>
    <w:multiLevelType w:val="singleLevel"/>
    <w:tmpl w:val="1804A6DB"/>
    <w:lvl w:ilvl="0" w:tentative="0">
      <w:start w:val="2"/>
      <w:numFmt w:val="chineseCounting"/>
      <w:suff w:val="nothing"/>
      <w:lvlText w:val="%1、"/>
      <w:lvlJc w:val="left"/>
      <w:rPr>
        <w:rFonts w:hint="eastAsia"/>
      </w:rPr>
    </w:lvl>
  </w:abstractNum>
  <w:abstractNum w:abstractNumId="1">
    <w:nsid w:val="44DAB30A"/>
    <w:multiLevelType w:val="singleLevel"/>
    <w:tmpl w:val="44DAB30A"/>
    <w:lvl w:ilvl="0" w:tentative="0">
      <w:start w:val="4"/>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402944"/>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103"/>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0F4C"/>
    <w:rsid w:val="00F24E44"/>
    <w:rsid w:val="00F33DE8"/>
    <w:rsid w:val="00F404C5"/>
    <w:rsid w:val="00F6157F"/>
    <w:rsid w:val="00F80D8D"/>
    <w:rsid w:val="00F81352"/>
    <w:rsid w:val="00FC7F22"/>
    <w:rsid w:val="00FF0E8C"/>
    <w:rsid w:val="00FF3ABD"/>
    <w:rsid w:val="00FF61DC"/>
    <w:rsid w:val="03E033B1"/>
    <w:rsid w:val="05645DD5"/>
    <w:rsid w:val="057C19CF"/>
    <w:rsid w:val="092F4055"/>
    <w:rsid w:val="0AAC6119"/>
    <w:rsid w:val="0E9953A0"/>
    <w:rsid w:val="0FF03899"/>
    <w:rsid w:val="1D11562F"/>
    <w:rsid w:val="1E5135A1"/>
    <w:rsid w:val="20FE384F"/>
    <w:rsid w:val="23446E27"/>
    <w:rsid w:val="297F5466"/>
    <w:rsid w:val="2B473D61"/>
    <w:rsid w:val="2D9B4C7C"/>
    <w:rsid w:val="30CE6868"/>
    <w:rsid w:val="30E54127"/>
    <w:rsid w:val="338A5133"/>
    <w:rsid w:val="36F627DC"/>
    <w:rsid w:val="3A661D2A"/>
    <w:rsid w:val="3C4A1903"/>
    <w:rsid w:val="3C6077A7"/>
    <w:rsid w:val="3E4B3711"/>
    <w:rsid w:val="3F3B5492"/>
    <w:rsid w:val="42B21FB1"/>
    <w:rsid w:val="48D97ABC"/>
    <w:rsid w:val="4A370FED"/>
    <w:rsid w:val="503E30D6"/>
    <w:rsid w:val="50E33C7D"/>
    <w:rsid w:val="597162CA"/>
    <w:rsid w:val="5B127639"/>
    <w:rsid w:val="5BDC19F5"/>
    <w:rsid w:val="5CB84210"/>
    <w:rsid w:val="604B01CA"/>
    <w:rsid w:val="62347E94"/>
    <w:rsid w:val="63EC67D5"/>
    <w:rsid w:val="65C63716"/>
    <w:rsid w:val="670F7122"/>
    <w:rsid w:val="67EB36EB"/>
    <w:rsid w:val="6D6535F8"/>
    <w:rsid w:val="6E5B298D"/>
    <w:rsid w:val="701F4FF2"/>
    <w:rsid w:val="723B31C2"/>
    <w:rsid w:val="72A73118"/>
    <w:rsid w:val="73F73418"/>
    <w:rsid w:val="79615874"/>
    <w:rsid w:val="7D8C4BD1"/>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326</Words>
  <Characters>1864</Characters>
  <Lines>15</Lines>
  <Paragraphs>4</Paragraphs>
  <TotalTime>7</TotalTime>
  <ScaleCrop>false</ScaleCrop>
  <LinksUpToDate>false</LinksUpToDate>
  <CharactersWithSpaces>2186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Administrator</cp:lastModifiedBy>
  <cp:lastPrinted>2022-01-13T01:27:54Z</cp:lastPrinted>
  <dcterms:modified xsi:type="dcterms:W3CDTF">2022-01-13T01:28:44Z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