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龙城区边杖子镇人民政府部门预算</w:t>
      </w: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（2022年）</w:t>
      </w:r>
    </w:p>
    <w:p>
      <w:pPr>
        <w:spacing w:line="600" w:lineRule="exact"/>
        <w:jc w:val="left"/>
        <w:rPr>
          <w:rFonts w:ascii="Times New Roman" w:hAnsi="Times New Roman" w:eastAsia="宋体"/>
          <w:b/>
          <w:sz w:val="52"/>
          <w:szCs w:val="52"/>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widowControl/>
        <w:spacing w:line="600" w:lineRule="exact"/>
        <w:outlineLvl w:val="0"/>
        <w:rPr>
          <w:rFonts w:cs="宋体" w:asciiTheme="majorEastAsia" w:hAnsiTheme="majorEastAsia" w:eastAsiaTheme="majorEastAsia"/>
          <w:b/>
          <w:bCs/>
          <w:color w:val="333333"/>
          <w:kern w:val="36"/>
          <w:sz w:val="44"/>
          <w:szCs w:val="44"/>
          <w:highlight w:val="none"/>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highlight w:val="none"/>
        </w:rPr>
      </w:pPr>
      <w:r>
        <w:rPr>
          <w:rFonts w:hint="eastAsia" w:cs="宋体" w:asciiTheme="majorEastAsia" w:hAnsiTheme="majorEastAsia" w:eastAsiaTheme="majorEastAsia"/>
          <w:b/>
          <w:bCs/>
          <w:color w:val="333333"/>
          <w:kern w:val="36"/>
          <w:sz w:val="44"/>
          <w:szCs w:val="44"/>
          <w:highlight w:val="none"/>
        </w:rPr>
        <w:t>2022年龙城区</w:t>
      </w:r>
      <w:r>
        <w:rPr>
          <w:rFonts w:hint="eastAsia" w:cs="宋体" w:asciiTheme="majorEastAsia" w:hAnsiTheme="majorEastAsia" w:eastAsiaTheme="majorEastAsia"/>
          <w:b/>
          <w:bCs/>
          <w:kern w:val="36"/>
          <w:sz w:val="44"/>
          <w:szCs w:val="44"/>
          <w:highlight w:val="none"/>
        </w:rPr>
        <w:t>边杖子镇人民政府</w:t>
      </w:r>
      <w:r>
        <w:rPr>
          <w:rFonts w:hint="eastAsia" w:cs="宋体" w:asciiTheme="majorEastAsia" w:hAnsiTheme="majorEastAsia" w:eastAsiaTheme="majorEastAsia"/>
          <w:b/>
          <w:bCs/>
          <w:color w:val="333333"/>
          <w:kern w:val="36"/>
          <w:sz w:val="44"/>
          <w:szCs w:val="44"/>
          <w:highlight w:val="none"/>
        </w:rPr>
        <w:t>部门预算</w:t>
      </w:r>
    </w:p>
    <w:p>
      <w:pPr>
        <w:widowControl/>
        <w:spacing w:line="300" w:lineRule="exact"/>
        <w:jc w:val="center"/>
        <w:outlineLvl w:val="0"/>
        <w:rPr>
          <w:rFonts w:cs="宋体" w:asciiTheme="majorEastAsia" w:hAnsiTheme="majorEastAsia" w:eastAsiaTheme="majorEastAsia"/>
          <w:b/>
          <w:bCs/>
          <w:color w:val="333333"/>
          <w:kern w:val="36"/>
          <w:sz w:val="44"/>
          <w:szCs w:val="44"/>
          <w:highlight w:val="none"/>
        </w:rPr>
      </w:pPr>
    </w:p>
    <w:p>
      <w:pPr>
        <w:widowControl/>
        <w:spacing w:line="600" w:lineRule="exact"/>
        <w:jc w:val="center"/>
        <w:rPr>
          <w:rFonts w:cs="宋体" w:asciiTheme="majorEastAsia" w:hAnsiTheme="majorEastAsia" w:eastAsiaTheme="majorEastAsia"/>
          <w:b/>
          <w:bCs/>
          <w:color w:val="333333"/>
          <w:kern w:val="0"/>
          <w:sz w:val="36"/>
          <w:szCs w:val="36"/>
          <w:highlight w:val="none"/>
        </w:rPr>
      </w:pPr>
      <w:r>
        <w:rPr>
          <w:rFonts w:hint="eastAsia" w:cs="宋体" w:asciiTheme="majorEastAsia" w:hAnsiTheme="majorEastAsia" w:eastAsiaTheme="majorEastAsia"/>
          <w:b/>
          <w:bCs/>
          <w:color w:val="333333"/>
          <w:kern w:val="0"/>
          <w:sz w:val="36"/>
          <w:szCs w:val="36"/>
          <w:highlight w:val="none"/>
        </w:rPr>
        <w:t>目    录</w:t>
      </w:r>
    </w:p>
    <w:p>
      <w:pPr>
        <w:widowControl/>
        <w:spacing w:line="300" w:lineRule="exact"/>
        <w:jc w:val="center"/>
        <w:rPr>
          <w:rFonts w:cs="宋体" w:asciiTheme="majorEastAsia" w:hAnsiTheme="majorEastAsia" w:eastAsiaTheme="majorEastAsia"/>
          <w:b/>
          <w:bCs/>
          <w:color w:val="333333"/>
          <w:kern w:val="0"/>
          <w:sz w:val="36"/>
          <w:szCs w:val="36"/>
          <w:highlight w:val="none"/>
        </w:rPr>
      </w:pPr>
    </w:p>
    <w:p>
      <w:pPr>
        <w:widowControl/>
        <w:spacing w:line="500" w:lineRule="exact"/>
        <w:jc w:val="left"/>
        <w:rPr>
          <w:rFonts w:ascii="宋体" w:hAnsi="宋体" w:eastAsia="宋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第一部分   龙城区边杖子镇人民政府概况</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二、部门预算单位构成</w:t>
      </w:r>
    </w:p>
    <w:p>
      <w:pPr>
        <w:widowControl/>
        <w:spacing w:line="500" w:lineRule="exact"/>
        <w:jc w:val="left"/>
        <w:rPr>
          <w:rFonts w:ascii="黑体" w:hAnsi="黑体" w:eastAsia="黑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第二部分    龙城区边杖子镇人民政府2022年部门预算情况说</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 xml:space="preserve">            明                          </w:t>
      </w:r>
    </w:p>
    <w:p>
      <w:pPr>
        <w:widowControl/>
        <w:spacing w:line="500" w:lineRule="exact"/>
        <w:jc w:val="left"/>
        <w:rPr>
          <w:rFonts w:ascii="黑体" w:hAnsi="黑体" w:eastAsia="黑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第三部分    名词解释</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 xml:space="preserve">第四部分    </w:t>
      </w:r>
      <w:r>
        <w:rPr>
          <w:rFonts w:hint="eastAsia" w:ascii="黑体" w:hAnsi="黑体" w:eastAsia="黑体" w:cs="宋体"/>
          <w:bCs/>
          <w:color w:val="333333"/>
          <w:kern w:val="0"/>
          <w:sz w:val="32"/>
          <w:szCs w:val="32"/>
          <w:highlight w:val="none"/>
        </w:rPr>
        <w:t>2022年龙城区</w:t>
      </w:r>
      <w:r>
        <w:rPr>
          <w:rFonts w:hint="eastAsia" w:ascii="黑体" w:hAnsi="黑体" w:eastAsia="黑体" w:cs="宋体"/>
          <w:bCs/>
          <w:color w:val="333333"/>
          <w:kern w:val="0"/>
          <w:sz w:val="32"/>
          <w:szCs w:val="32"/>
          <w:highlight w:val="none"/>
          <w:shd w:val="clear" w:color="auto" w:fill="FFFFFF"/>
        </w:rPr>
        <w:t>边杖子镇人民政府</w:t>
      </w:r>
      <w:r>
        <w:rPr>
          <w:rFonts w:hint="eastAsia" w:ascii="黑体" w:hAnsi="黑体" w:eastAsia="黑体" w:cs="宋体"/>
          <w:bCs/>
          <w:color w:val="333333"/>
          <w:kern w:val="0"/>
          <w:sz w:val="32"/>
          <w:szCs w:val="32"/>
          <w:highlight w:val="none"/>
        </w:rPr>
        <w:t>部门预算批复表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一、收支预算总表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二、收入预算总表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三、支出预算总表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四、财政拨款收支预算总表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五、一般公共预算支出表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六、一般公共预算基本支出表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八、政府性基金预算支出表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九、项目支出预算表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十、支出功能分类预算表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十三、债务支出预算表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十四、政府采购支出预算表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十七、部门预算项目（政策）绩效目标表</w:t>
      </w: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rPr>
      </w:pPr>
    </w:p>
    <w:p>
      <w:pPr>
        <w:widowControl/>
        <w:spacing w:line="500" w:lineRule="exact"/>
        <w:ind w:firstLine="640" w:firstLineChars="200"/>
        <w:jc w:val="left"/>
        <w:rPr>
          <w:rFonts w:ascii="宋体" w:hAnsi="宋体" w:eastAsia="宋体" w:cs="宋体"/>
          <w:color w:val="333333"/>
          <w:kern w:val="0"/>
          <w:sz w:val="32"/>
          <w:szCs w:val="32"/>
          <w:highlight w:val="none"/>
          <w:shd w:val="clear" w:color="auto" w:fill="FFFFFF"/>
        </w:rPr>
      </w:pP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第一部分 龙城区边杖子镇人民政府概况</w:t>
      </w:r>
    </w:p>
    <w:p>
      <w:pPr>
        <w:widowControl/>
        <w:spacing w:line="600" w:lineRule="exact"/>
        <w:jc w:val="center"/>
        <w:rPr>
          <w:rFonts w:ascii="宋体" w:hAnsi="宋体" w:eastAsia="宋体" w:cs="宋体"/>
          <w:color w:val="333333"/>
          <w:kern w:val="0"/>
          <w:sz w:val="32"/>
          <w:szCs w:val="32"/>
          <w:highlight w:val="none"/>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1062" w:leftChars="0" w:right="0" w:firstLine="0" w:firstLineChars="0"/>
        <w:rPr>
          <w:rFonts w:ascii="楷体_GB2312" w:hAnsi="楷体_GB2312" w:eastAsia="楷体_GB2312" w:cs="楷体_GB2312"/>
          <w:b/>
          <w:color w:val="333333"/>
          <w:sz w:val="32"/>
          <w:szCs w:val="32"/>
          <w:highlight w:val="none"/>
          <w:shd w:val="clear" w:color="auto" w:fill="FFFFFF"/>
        </w:rPr>
      </w:pPr>
      <w:r>
        <w:rPr>
          <w:rFonts w:ascii="楷体_GB2312" w:hAnsi="楷体_GB2312" w:eastAsia="楷体_GB2312" w:cs="楷体_GB2312"/>
          <w:b/>
          <w:color w:val="333333"/>
          <w:sz w:val="32"/>
          <w:szCs w:val="32"/>
          <w:highlight w:val="none"/>
          <w:shd w:val="clear" w:color="auto" w:fill="FFFFFF"/>
        </w:rPr>
        <w:t>主要职责</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ightChars="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hint="eastAsia" w:ascii="仿宋_GB2312" w:hAnsi="仿宋" w:eastAsia="仿宋_GB2312" w:cs="仿宋"/>
          <w:color w:val="333333"/>
          <w:kern w:val="0"/>
          <w:sz w:val="32"/>
          <w:szCs w:val="32"/>
          <w:highlight w:val="none"/>
          <w:shd w:val="clear" w:color="auto" w:fill="FFFFFF"/>
          <w:lang w:val="en-US" w:eastAsia="zh-CN" w:bidi="ar-SA"/>
        </w:rPr>
        <w:t>执行本级人民代表大会决议以及上级国家行政机关的决定和命令；</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leftChars="0" w:right="0" w:rightChars="0" w:firstLine="640" w:firstLineChars="200"/>
        <w:rPr>
          <w:rFonts w:hint="default" w:ascii="仿宋_GB2312" w:hAnsi="仿宋" w:eastAsia="仿宋_GB2312" w:cs="仿宋"/>
          <w:color w:val="333333"/>
          <w:kern w:val="0"/>
          <w:sz w:val="32"/>
          <w:szCs w:val="32"/>
          <w:highlight w:val="none"/>
          <w:shd w:val="clear" w:color="auto" w:fill="FFFFFF"/>
          <w:lang w:val="en-US" w:eastAsia="zh-CN" w:bidi="ar-SA"/>
        </w:rPr>
      </w:pPr>
      <w:r>
        <w:rPr>
          <w:rFonts w:hint="default" w:ascii="仿宋_GB2312" w:hAnsi="仿宋" w:eastAsia="仿宋_GB2312" w:cs="仿宋"/>
          <w:color w:val="333333"/>
          <w:kern w:val="0"/>
          <w:sz w:val="32"/>
          <w:szCs w:val="32"/>
          <w:highlight w:val="none"/>
          <w:shd w:val="clear" w:color="auto" w:fill="FFFFFF"/>
          <w:lang w:val="en-US" w:eastAsia="zh-CN" w:bidi="ar-SA"/>
        </w:rPr>
        <w:t>执行全</w:t>
      </w:r>
      <w:r>
        <w:rPr>
          <w:rFonts w:hint="eastAsia" w:ascii="仿宋_GB2312" w:hAnsi="仿宋" w:eastAsia="仿宋_GB2312" w:cs="仿宋"/>
          <w:color w:val="333333"/>
          <w:kern w:val="0"/>
          <w:sz w:val="32"/>
          <w:szCs w:val="32"/>
          <w:highlight w:val="none"/>
          <w:shd w:val="clear" w:color="auto" w:fill="FFFFFF"/>
          <w:lang w:val="en-US" w:eastAsia="zh-CN" w:bidi="ar-SA"/>
        </w:rPr>
        <w:t>镇</w:t>
      </w:r>
      <w:r>
        <w:rPr>
          <w:rFonts w:hint="default" w:ascii="仿宋_GB2312" w:hAnsi="仿宋" w:eastAsia="仿宋_GB2312" w:cs="仿宋"/>
          <w:color w:val="333333"/>
          <w:kern w:val="0"/>
          <w:sz w:val="32"/>
          <w:szCs w:val="32"/>
          <w:highlight w:val="none"/>
          <w:shd w:val="clear" w:color="auto" w:fill="FFFFFF"/>
          <w:lang w:val="en-US" w:eastAsia="zh-CN" w:bidi="ar-SA"/>
        </w:rPr>
        <w:t>的社会和经济发展计划、预算，管理本</w:t>
      </w:r>
      <w:r>
        <w:rPr>
          <w:rFonts w:hint="eastAsia" w:ascii="仿宋_GB2312" w:hAnsi="仿宋" w:eastAsia="仿宋_GB2312" w:cs="仿宋"/>
          <w:color w:val="333333"/>
          <w:kern w:val="0"/>
          <w:sz w:val="32"/>
          <w:szCs w:val="32"/>
          <w:highlight w:val="none"/>
          <w:shd w:val="clear" w:color="auto" w:fill="FFFFFF"/>
          <w:lang w:val="en-US" w:eastAsia="zh-CN" w:bidi="ar-SA"/>
        </w:rPr>
        <w:t>镇</w:t>
      </w:r>
      <w:r>
        <w:rPr>
          <w:rFonts w:hint="default" w:ascii="仿宋_GB2312" w:hAnsi="仿宋" w:eastAsia="仿宋_GB2312" w:cs="仿宋"/>
          <w:color w:val="333333"/>
          <w:kern w:val="0"/>
          <w:sz w:val="32"/>
          <w:szCs w:val="32"/>
          <w:highlight w:val="none"/>
          <w:shd w:val="clear" w:color="auto" w:fill="FFFFFF"/>
          <w:lang w:val="en-US" w:eastAsia="zh-CN" w:bidi="ar-SA"/>
        </w:rPr>
        <w:t>内的经济、教育、科技、文化、卫生、体育事业和财政、民政、治安、人民调解、安全生产监督管理、移民开发、计划生育等行政工作；</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ightChars="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ascii="仿宋_GB2312" w:hAnsi="仿宋_GB2312" w:eastAsia="仿宋_GB2312" w:cs="仿宋_GB2312"/>
          <w:color w:val="333333"/>
          <w:sz w:val="32"/>
          <w:szCs w:val="32"/>
          <w:highlight w:val="none"/>
          <w:shd w:val="clear" w:color="auto" w:fill="FFFFFF"/>
        </w:rPr>
        <w:t>（</w:t>
      </w:r>
      <w:r>
        <w:rPr>
          <w:rFonts w:hint="eastAsia" w:ascii="仿宋_GB2312" w:hAnsi="仿宋_GB2312" w:eastAsia="仿宋_GB2312" w:cs="仿宋_GB2312"/>
          <w:color w:val="333333"/>
          <w:sz w:val="32"/>
          <w:szCs w:val="32"/>
          <w:highlight w:val="none"/>
          <w:shd w:val="clear" w:color="auto" w:fill="FFFFFF"/>
          <w:lang w:val="en-US" w:eastAsia="zh-CN"/>
        </w:rPr>
        <w:t>三</w:t>
      </w:r>
      <w:r>
        <w:rPr>
          <w:rFonts w:ascii="仿宋_GB2312" w:hAnsi="仿宋_GB2312" w:eastAsia="仿宋_GB2312" w:cs="仿宋_GB2312"/>
          <w:color w:val="333333"/>
          <w:sz w:val="32"/>
          <w:szCs w:val="32"/>
          <w:highlight w:val="none"/>
          <w:shd w:val="clear" w:color="auto" w:fill="FFFFFF"/>
        </w:rPr>
        <w:t>）</w:t>
      </w:r>
      <w:r>
        <w:rPr>
          <w:rFonts w:hint="default" w:ascii="仿宋_GB2312" w:hAnsi="仿宋" w:eastAsia="仿宋_GB2312" w:cs="仿宋"/>
          <w:color w:val="333333"/>
          <w:kern w:val="0"/>
          <w:sz w:val="32"/>
          <w:szCs w:val="32"/>
          <w:highlight w:val="none"/>
          <w:shd w:val="clear" w:color="auto" w:fill="FFFFFF"/>
          <w:lang w:val="en-US" w:eastAsia="zh-CN" w:bidi="ar-SA"/>
        </w:rPr>
        <w:t>保护社会主义的全民所有财产和劳动群众集体所有财产，保护公民私人所有的合法财产，维护社会秩序，保障公民的人身权利、民主权利和其他权利；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ascii="仿宋_GB2312" w:hAnsi="仿宋_GB2312" w:eastAsia="仿宋_GB2312" w:cs="仿宋_GB2312"/>
          <w:color w:val="333333"/>
          <w:sz w:val="32"/>
          <w:szCs w:val="32"/>
          <w:highlight w:val="none"/>
          <w:shd w:val="clear" w:color="auto" w:fill="FFFFFF"/>
        </w:rPr>
        <w:t>（</w:t>
      </w:r>
      <w:r>
        <w:rPr>
          <w:rFonts w:hint="eastAsia" w:ascii="仿宋_GB2312" w:hAnsi="仿宋_GB2312" w:eastAsia="仿宋_GB2312" w:cs="仿宋_GB2312"/>
          <w:color w:val="333333"/>
          <w:sz w:val="32"/>
          <w:szCs w:val="32"/>
          <w:highlight w:val="none"/>
          <w:shd w:val="clear" w:color="auto" w:fill="FFFFFF"/>
          <w:lang w:val="en-US" w:eastAsia="zh-CN"/>
        </w:rPr>
        <w:t>四</w:t>
      </w:r>
      <w:r>
        <w:rPr>
          <w:rFonts w:ascii="仿宋_GB2312" w:hAnsi="仿宋_GB2312" w:eastAsia="仿宋_GB2312" w:cs="仿宋_GB2312"/>
          <w:color w:val="333333"/>
          <w:sz w:val="32"/>
          <w:szCs w:val="32"/>
          <w:highlight w:val="none"/>
          <w:shd w:val="clear" w:color="auto" w:fill="FFFFFF"/>
        </w:rPr>
        <w:t>）</w:t>
      </w:r>
      <w:r>
        <w:rPr>
          <w:rFonts w:hint="default" w:ascii="仿宋_GB2312" w:hAnsi="仿宋" w:eastAsia="仿宋_GB2312" w:cs="仿宋"/>
          <w:color w:val="333333"/>
          <w:kern w:val="0"/>
          <w:sz w:val="32"/>
          <w:szCs w:val="32"/>
          <w:highlight w:val="none"/>
          <w:shd w:val="clear" w:color="auto" w:fill="FFFFFF"/>
          <w:lang w:val="en-US" w:eastAsia="zh-CN" w:bidi="ar-SA"/>
        </w:rPr>
        <w:t>保护各种经济组织的合法权益；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ascii="仿宋_GB2312" w:hAnsi="仿宋_GB2312" w:eastAsia="仿宋_GB2312" w:cs="仿宋_GB2312"/>
          <w:color w:val="333333"/>
          <w:sz w:val="32"/>
          <w:szCs w:val="32"/>
          <w:highlight w:val="none"/>
          <w:shd w:val="clear" w:color="auto" w:fill="FFFFFF"/>
        </w:rPr>
        <w:t>（</w:t>
      </w:r>
      <w:r>
        <w:rPr>
          <w:rFonts w:hint="eastAsia" w:ascii="仿宋_GB2312" w:hAnsi="仿宋_GB2312" w:eastAsia="仿宋_GB2312" w:cs="仿宋_GB2312"/>
          <w:color w:val="333333"/>
          <w:sz w:val="32"/>
          <w:szCs w:val="32"/>
          <w:highlight w:val="none"/>
          <w:shd w:val="clear" w:color="auto" w:fill="FFFFFF"/>
          <w:lang w:val="en-US" w:eastAsia="zh-CN"/>
        </w:rPr>
        <w:t>五</w:t>
      </w:r>
      <w:r>
        <w:rPr>
          <w:rFonts w:ascii="仿宋_GB2312" w:hAnsi="仿宋_GB2312" w:eastAsia="仿宋_GB2312" w:cs="仿宋_GB2312"/>
          <w:color w:val="333333"/>
          <w:sz w:val="32"/>
          <w:szCs w:val="32"/>
          <w:highlight w:val="none"/>
          <w:shd w:val="clear" w:color="auto" w:fill="FFFFFF"/>
        </w:rPr>
        <w:t>）</w:t>
      </w:r>
      <w:r>
        <w:rPr>
          <w:rFonts w:hint="default" w:ascii="仿宋_GB2312" w:hAnsi="仿宋" w:eastAsia="仿宋_GB2312" w:cs="仿宋"/>
          <w:color w:val="333333"/>
          <w:kern w:val="0"/>
          <w:sz w:val="32"/>
          <w:szCs w:val="32"/>
          <w:highlight w:val="none"/>
          <w:shd w:val="clear" w:color="auto" w:fill="FFFFFF"/>
          <w:lang w:val="en-US" w:eastAsia="zh-CN" w:bidi="ar-SA"/>
        </w:rPr>
        <w:t>贯彻执行党和国家的民族宗教政策，保障少数民族的权利和尊重少数民族的风俗习惯，尊重民族宗教信仰；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ascii="仿宋_GB2312" w:hAnsi="仿宋_GB2312" w:eastAsia="仿宋_GB2312" w:cs="仿宋_GB2312"/>
          <w:color w:val="333333"/>
          <w:sz w:val="32"/>
          <w:szCs w:val="32"/>
          <w:highlight w:val="none"/>
          <w:shd w:val="clear" w:color="auto" w:fill="FFFFFF"/>
        </w:rPr>
        <w:t>（</w:t>
      </w:r>
      <w:r>
        <w:rPr>
          <w:rFonts w:hint="eastAsia" w:ascii="仿宋_GB2312" w:hAnsi="仿宋_GB2312" w:eastAsia="仿宋_GB2312" w:cs="仿宋_GB2312"/>
          <w:color w:val="333333"/>
          <w:sz w:val="32"/>
          <w:szCs w:val="32"/>
          <w:highlight w:val="none"/>
          <w:shd w:val="clear" w:color="auto" w:fill="FFFFFF"/>
          <w:lang w:val="en-US" w:eastAsia="zh-CN"/>
        </w:rPr>
        <w:t>六</w:t>
      </w:r>
      <w:r>
        <w:rPr>
          <w:rFonts w:ascii="仿宋_GB2312" w:hAnsi="仿宋_GB2312" w:eastAsia="仿宋_GB2312" w:cs="仿宋_GB2312"/>
          <w:color w:val="333333"/>
          <w:sz w:val="32"/>
          <w:szCs w:val="32"/>
          <w:highlight w:val="none"/>
          <w:shd w:val="clear" w:color="auto" w:fill="FFFFFF"/>
        </w:rPr>
        <w:t>）</w:t>
      </w:r>
      <w:r>
        <w:rPr>
          <w:rFonts w:hint="default" w:ascii="仿宋_GB2312" w:hAnsi="仿宋" w:eastAsia="仿宋_GB2312" w:cs="仿宋"/>
          <w:color w:val="333333"/>
          <w:kern w:val="0"/>
          <w:sz w:val="32"/>
          <w:szCs w:val="32"/>
          <w:highlight w:val="none"/>
          <w:shd w:val="clear" w:color="auto" w:fill="FFFFFF"/>
          <w:lang w:val="en-US" w:eastAsia="zh-CN" w:bidi="ar-SA"/>
        </w:rPr>
        <w:t>保障宪法和法律赋予妇女的男女平等、婚姻自由等各项权利；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ascii="仿宋_GB2312" w:hAnsi="仿宋_GB2312" w:eastAsia="仿宋_GB2312" w:cs="仿宋_GB2312"/>
          <w:color w:val="333333"/>
          <w:sz w:val="32"/>
          <w:szCs w:val="32"/>
          <w:highlight w:val="none"/>
          <w:shd w:val="clear" w:color="auto" w:fill="FFFFFF"/>
        </w:rPr>
        <w:t>（</w:t>
      </w:r>
      <w:r>
        <w:rPr>
          <w:rFonts w:hint="eastAsia" w:ascii="仿宋_GB2312" w:hAnsi="仿宋_GB2312" w:eastAsia="仿宋_GB2312" w:cs="仿宋_GB2312"/>
          <w:color w:val="333333"/>
          <w:sz w:val="32"/>
          <w:szCs w:val="32"/>
          <w:highlight w:val="none"/>
          <w:shd w:val="clear" w:color="auto" w:fill="FFFFFF"/>
          <w:lang w:val="en-US" w:eastAsia="zh-CN"/>
        </w:rPr>
        <w:t>七</w:t>
      </w:r>
      <w:r>
        <w:rPr>
          <w:rFonts w:ascii="仿宋_GB2312" w:hAnsi="仿宋_GB2312" w:eastAsia="仿宋_GB2312" w:cs="仿宋_GB2312"/>
          <w:color w:val="333333"/>
          <w:sz w:val="32"/>
          <w:szCs w:val="32"/>
          <w:highlight w:val="none"/>
          <w:shd w:val="clear" w:color="auto" w:fill="FFFFFF"/>
        </w:rPr>
        <w:t>）</w:t>
      </w:r>
      <w:r>
        <w:rPr>
          <w:rFonts w:hint="default" w:ascii="仿宋_GB2312" w:hAnsi="仿宋" w:eastAsia="仿宋_GB2312" w:cs="仿宋"/>
          <w:color w:val="333333"/>
          <w:kern w:val="0"/>
          <w:sz w:val="32"/>
          <w:szCs w:val="32"/>
          <w:highlight w:val="none"/>
          <w:shd w:val="clear" w:color="auto" w:fill="FFFFFF"/>
          <w:lang w:val="en-US" w:eastAsia="zh-CN" w:bidi="ar-SA"/>
        </w:rPr>
        <w:t>办理上级人民政府交办的其他事项。</w:t>
      </w:r>
      <w:bookmarkStart w:id="0" w:name="191384-202216-3"/>
      <w:bookmarkEnd w:id="0"/>
      <w:r>
        <w:rPr>
          <w:rFonts w:hint="eastAsia" w:ascii="仿宋_GB2312" w:hAnsi="仿宋" w:eastAsia="仿宋_GB2312" w:cs="仿宋"/>
          <w:color w:val="333333"/>
          <w:kern w:val="0"/>
          <w:sz w:val="32"/>
          <w:szCs w:val="32"/>
          <w:highlight w:val="none"/>
          <w:shd w:val="clear" w:color="auto" w:fill="FFFFFF"/>
          <w:lang w:val="en-US" w:eastAsia="zh-CN" w:bidi="ar-SA"/>
        </w:rPr>
        <w:fldChar w:fldCharType="begin"/>
      </w:r>
      <w:r>
        <w:rPr>
          <w:rFonts w:hint="eastAsia" w:ascii="仿宋_GB2312" w:hAnsi="仿宋" w:eastAsia="仿宋_GB2312" w:cs="仿宋"/>
          <w:color w:val="333333"/>
          <w:kern w:val="0"/>
          <w:sz w:val="32"/>
          <w:szCs w:val="32"/>
          <w:highlight w:val="none"/>
          <w:shd w:val="clear" w:color="auto" w:fill="FFFFFF"/>
          <w:lang w:val="en-US" w:eastAsia="zh-CN" w:bidi="ar-SA"/>
        </w:rPr>
        <w:instrText xml:space="preserve"> HYPERLINK "https://baike.so.com/create/edit/?eid=191384&amp;sid=202216&amp;secid=3" </w:instrText>
      </w:r>
      <w:r>
        <w:rPr>
          <w:rFonts w:hint="eastAsia" w:ascii="仿宋_GB2312" w:hAnsi="仿宋" w:eastAsia="仿宋_GB2312" w:cs="仿宋"/>
          <w:color w:val="333333"/>
          <w:kern w:val="0"/>
          <w:sz w:val="32"/>
          <w:szCs w:val="32"/>
          <w:highlight w:val="none"/>
          <w:shd w:val="clear" w:color="auto" w:fill="FFFFFF"/>
          <w:lang w:val="en-US" w:eastAsia="zh-CN" w:bidi="ar-SA"/>
        </w:rPr>
        <w:fldChar w:fldCharType="separate"/>
      </w:r>
      <w:r>
        <w:rPr>
          <w:rFonts w:hint="eastAsia" w:ascii="仿宋_GB2312" w:hAnsi="仿宋" w:eastAsia="仿宋_GB2312" w:cs="仿宋"/>
          <w:color w:val="333333"/>
          <w:kern w:val="0"/>
          <w:sz w:val="32"/>
          <w:szCs w:val="32"/>
          <w:highlight w:val="none"/>
          <w:shd w:val="clear" w:color="auto" w:fill="FFFFFF"/>
          <w:lang w:val="en-US" w:eastAsia="zh-CN" w:bidi="ar-SA"/>
        </w:rPr>
        <w:fldChar w:fldCharType="end"/>
      </w:r>
    </w:p>
    <w:p>
      <w:pPr>
        <w:widowControl/>
        <w:spacing w:line="560" w:lineRule="exact"/>
        <w:jc w:val="left"/>
        <w:rPr>
          <w:rFonts w:ascii="仿宋_GB2312" w:hAnsi="宋体" w:eastAsia="仿宋_GB2312" w:cs="宋体"/>
          <w:bCs/>
          <w:color w:val="333333"/>
          <w:kern w:val="0"/>
          <w:sz w:val="32"/>
          <w:szCs w:val="32"/>
          <w:highlight w:val="none"/>
          <w:shd w:val="clear" w:color="auto" w:fill="FFFFFF"/>
        </w:rPr>
      </w:pPr>
      <w:r>
        <w:rPr>
          <w:rFonts w:hint="eastAsia" w:ascii="楷体_GB2312" w:hAnsi="楷体_GB2312" w:eastAsia="楷体_GB2312" w:cs="楷体_GB2312"/>
          <w:b/>
          <w:color w:val="333333"/>
          <w:kern w:val="0"/>
          <w:sz w:val="32"/>
          <w:szCs w:val="32"/>
          <w:highlight w:val="none"/>
          <w:shd w:val="clear" w:color="auto" w:fill="FFFFFF"/>
        </w:rPr>
        <w:t xml:space="preserve">    二、部门预算单位构成</w:t>
      </w:r>
      <w:r>
        <w:rPr>
          <w:rFonts w:hint="eastAsia" w:ascii="宋体" w:hAnsi="宋体" w:eastAsia="宋体" w:cs="宋体"/>
          <w:color w:val="333333"/>
          <w:kern w:val="0"/>
          <w:sz w:val="32"/>
          <w:szCs w:val="32"/>
          <w:highlight w:val="none"/>
        </w:rPr>
        <w:br w:type="textWrapping"/>
      </w:r>
      <w:r>
        <w:rPr>
          <w:rFonts w:hint="eastAsia" w:ascii="仿宋_GB2312" w:hAnsi="宋体" w:eastAsia="仿宋_GB2312" w:cs="宋体"/>
          <w:bCs/>
          <w:color w:val="333333"/>
          <w:kern w:val="0"/>
          <w:sz w:val="32"/>
          <w:szCs w:val="32"/>
          <w:highlight w:val="none"/>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1、龙城区边杖子镇人民政府本级</w:t>
      </w:r>
    </w:p>
    <w:p>
      <w:pPr>
        <w:widowControl/>
        <w:spacing w:line="560" w:lineRule="exact"/>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 xml:space="preserve">    2、边杖子镇中心小学</w:t>
      </w:r>
    </w:p>
    <w:p>
      <w:pPr>
        <w:widowControl/>
        <w:spacing w:line="560" w:lineRule="exact"/>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 xml:space="preserve">    </w:t>
      </w:r>
      <w:r>
        <w:rPr>
          <w:rFonts w:hint="eastAsia" w:ascii="宋体" w:hAnsi="宋体" w:eastAsia="宋体" w:cs="宋体"/>
          <w:color w:val="333333"/>
          <w:kern w:val="0"/>
          <w:sz w:val="30"/>
          <w:szCs w:val="30"/>
          <w:highlight w:val="none"/>
          <w:shd w:val="clear" w:color="auto" w:fill="FFFFFF"/>
        </w:rPr>
        <w:t>3、</w:t>
      </w:r>
      <w:r>
        <w:rPr>
          <w:rFonts w:hint="eastAsia" w:ascii="仿宋" w:hAnsi="仿宋" w:eastAsia="仿宋" w:cs="仿宋"/>
          <w:color w:val="333333"/>
          <w:kern w:val="0"/>
          <w:sz w:val="32"/>
          <w:szCs w:val="32"/>
          <w:highlight w:val="none"/>
          <w:shd w:val="clear" w:color="auto" w:fill="FFFFFF"/>
        </w:rPr>
        <w:t>朝阳市第十六中学</w:t>
      </w:r>
    </w:p>
    <w:p>
      <w:pPr>
        <w:widowControl/>
        <w:spacing w:line="600" w:lineRule="exact"/>
        <w:ind w:firstLine="600"/>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kern w:val="0"/>
          <w:sz w:val="36"/>
          <w:szCs w:val="36"/>
          <w:highlight w:val="none"/>
        </w:rPr>
      </w:pPr>
    </w:p>
    <w:p>
      <w:pPr>
        <w:widowControl/>
        <w:spacing w:line="600" w:lineRule="exact"/>
        <w:jc w:val="left"/>
        <w:rPr>
          <w:rFonts w:ascii="宋体" w:hAnsi="宋体" w:eastAsia="宋体" w:cs="宋体"/>
          <w:kern w:val="0"/>
          <w:sz w:val="36"/>
          <w:szCs w:val="36"/>
          <w:highlight w:val="none"/>
        </w:rPr>
      </w:pPr>
    </w:p>
    <w:p>
      <w:pPr>
        <w:widowControl/>
        <w:spacing w:line="600" w:lineRule="exact"/>
        <w:jc w:val="left"/>
        <w:rPr>
          <w:rFonts w:ascii="宋体" w:hAnsi="宋体" w:eastAsia="宋体" w:cs="宋体"/>
          <w:kern w:val="0"/>
          <w:sz w:val="36"/>
          <w:szCs w:val="36"/>
          <w:highlight w:val="none"/>
        </w:rPr>
      </w:pPr>
    </w:p>
    <w:p>
      <w:pPr>
        <w:widowControl/>
        <w:spacing w:line="600" w:lineRule="exact"/>
        <w:jc w:val="left"/>
        <w:rPr>
          <w:rFonts w:ascii="宋体" w:hAnsi="宋体" w:eastAsia="宋体" w:cs="宋体"/>
          <w:kern w:val="0"/>
          <w:sz w:val="36"/>
          <w:szCs w:val="36"/>
          <w:highlight w:val="none"/>
        </w:rPr>
      </w:pPr>
    </w:p>
    <w:p>
      <w:pPr>
        <w:widowControl/>
        <w:spacing w:line="600" w:lineRule="exact"/>
        <w:jc w:val="left"/>
        <w:rPr>
          <w:rFonts w:ascii="宋体" w:hAnsi="宋体" w:eastAsia="宋体" w:cs="宋体"/>
          <w:kern w:val="0"/>
          <w:sz w:val="36"/>
          <w:szCs w:val="36"/>
          <w:highlight w:val="none"/>
        </w:rPr>
      </w:pPr>
    </w:p>
    <w:p>
      <w:pPr>
        <w:widowControl/>
        <w:spacing w:line="600" w:lineRule="exact"/>
        <w:jc w:val="left"/>
        <w:rPr>
          <w:rFonts w:ascii="宋体" w:hAnsi="宋体" w:eastAsia="宋体" w:cs="宋体"/>
          <w:kern w:val="0"/>
          <w:sz w:val="36"/>
          <w:szCs w:val="36"/>
          <w:highlight w:val="none"/>
        </w:rPr>
      </w:pPr>
    </w:p>
    <w:p>
      <w:pPr>
        <w:widowControl/>
        <w:spacing w:line="600" w:lineRule="exact"/>
        <w:jc w:val="left"/>
        <w:rPr>
          <w:rFonts w:ascii="宋体" w:hAnsi="宋体" w:eastAsia="宋体" w:cs="宋体"/>
          <w:kern w:val="0"/>
          <w:sz w:val="36"/>
          <w:szCs w:val="36"/>
          <w:highlight w:val="none"/>
        </w:rPr>
      </w:pPr>
    </w:p>
    <w:p>
      <w:pPr>
        <w:widowControl/>
        <w:spacing w:line="600" w:lineRule="exact"/>
        <w:jc w:val="left"/>
        <w:rPr>
          <w:rFonts w:ascii="宋体" w:hAnsi="宋体" w:eastAsia="宋体" w:cs="宋体"/>
          <w:kern w:val="0"/>
          <w:sz w:val="36"/>
          <w:szCs w:val="36"/>
          <w:highlight w:val="none"/>
        </w:rPr>
      </w:pPr>
    </w:p>
    <w:p>
      <w:pPr>
        <w:widowControl/>
        <w:spacing w:line="600" w:lineRule="exact"/>
        <w:jc w:val="left"/>
        <w:rPr>
          <w:rFonts w:ascii="宋体" w:hAnsi="宋体" w:eastAsia="宋体" w:cs="宋体"/>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第二部分 龙城区边杖子镇人民政府2022年部门预算</w:t>
      </w: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情况说明</w:t>
      </w:r>
    </w:p>
    <w:p>
      <w:pPr>
        <w:widowControl/>
        <w:spacing w:line="560" w:lineRule="exact"/>
        <w:ind w:firstLine="720" w:firstLineChars="200"/>
        <w:jc w:val="left"/>
        <w:rPr>
          <w:rFonts w:ascii="宋体" w:hAnsi="宋体" w:eastAsia="宋体" w:cs="宋体"/>
          <w:color w:val="333333"/>
          <w:kern w:val="0"/>
          <w:sz w:val="36"/>
          <w:szCs w:val="36"/>
          <w:highlight w:val="none"/>
        </w:rPr>
      </w:pPr>
    </w:p>
    <w:p>
      <w:pPr>
        <w:widowControl/>
        <w:spacing w:line="600" w:lineRule="exact"/>
        <w:jc w:val="left"/>
        <w:rPr>
          <w:rFonts w:ascii="宋体" w:hAnsi="宋体" w:eastAsia="宋体" w:cs="宋体"/>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（一）收入预算</w:t>
      </w:r>
      <w:r>
        <w:rPr>
          <w:rFonts w:hint="eastAsia" w:ascii="仿宋_GB2312" w:hAnsi="仿宋_GB2312" w:eastAsia="仿宋_GB2312" w:cs="仿宋_GB2312"/>
          <w:color w:val="333333"/>
          <w:kern w:val="0"/>
          <w:sz w:val="32"/>
          <w:szCs w:val="32"/>
          <w:highlight w:val="none"/>
          <w:lang w:val="en-US" w:eastAsia="zh-CN"/>
        </w:rPr>
        <w:t>2595.16</w:t>
      </w:r>
      <w:r>
        <w:rPr>
          <w:rFonts w:hint="eastAsia" w:ascii="仿宋_GB2312" w:hAnsi="仿宋_GB2312" w:eastAsia="仿宋_GB2312" w:cs="仿宋_GB2312"/>
          <w:color w:val="333333"/>
          <w:kern w:val="0"/>
          <w:sz w:val="32"/>
          <w:szCs w:val="32"/>
          <w:highlight w:val="none"/>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1.一般公共预算拨款收入2595.16万元；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（二）支出预算2595.16万元，包括：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1.基本支出2447.63万元；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2.项目支出147.53万元。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在支出预算2595.16万元中，债务支出0万元，政府采购支出0万元，政府购买服务支出0万元。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2022年预算收支比 2021 年减少</w:t>
      </w:r>
      <w:r>
        <w:rPr>
          <w:rFonts w:hint="eastAsia" w:ascii="仿宋_GB2312" w:hAnsi="仿宋_GB2312" w:eastAsia="仿宋_GB2312" w:cs="仿宋_GB2312"/>
          <w:color w:val="333333"/>
          <w:kern w:val="0"/>
          <w:sz w:val="32"/>
          <w:szCs w:val="32"/>
          <w:highlight w:val="none"/>
          <w:lang w:val="en-US" w:eastAsia="zh-CN"/>
        </w:rPr>
        <w:t>334.84</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二、机关运行经费安排情况</w:t>
      </w:r>
    </w:p>
    <w:p>
      <w:pPr>
        <w:widowControl/>
        <w:spacing w:line="600" w:lineRule="exact"/>
        <w:ind w:firstLine="640" w:firstLineChars="200"/>
        <w:jc w:val="left"/>
        <w:rPr>
          <w:rFonts w:ascii="楷体_GB2312" w:hAnsi="楷体_GB2312" w:eastAsia="楷体_GB2312" w:cs="楷体_GB2312"/>
          <w:b/>
          <w:bCs/>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2022年机关运行经费预算为81.15万元。主要包括办公费、印刷费、邮电费、差旅费、取暖费、水电费、劳务费、工会经费、公务用车运行维护费、其他商品服务支出等。</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中央及省委、省政府关于厉行节约、改进工作作风、密切联系群众“八项规定”等有关要求，严格控制“三公”经费支出，压减公务接待费和公务用车购置及运行费。一般公共预算安排的“三公”经费预算数7万元，比上年增加0.97万元</w:t>
      </w:r>
    </w:p>
    <w:p>
      <w:pPr>
        <w:widowControl/>
        <w:spacing w:line="540" w:lineRule="exact"/>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万元。其中：</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公务用车运行费7万元，比上年增加0.97万元万元；主要原因是疫情防控、村委会换届、政府换届、不良贷款清缴工作等。</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2022年年初预算购置车辆 0台，金额 0万元，单位价值 50 万元以上的通用设备 0 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根据预算绩效管理要求，2022年应编制部门（单位）整体绩效目标共3个，实际编制部门（单位）整体绩效目标共3个，编制部门（单位）整体绩效目标覆盖率（实际编制绩效目标的数量/应编制绩效目标的数量）为100%。应编制绩效目标的特定目标类项目共2个，实际编制绩效目标的特定目标类项目共 2个,涉及资金147.53万元，编制特定目标的项目覆盖率（实际编制绩效目标的数量/应编制绩效目标的数量）为100%。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第三部分 名词解释</w:t>
      </w:r>
    </w:p>
    <w:p>
      <w:pPr>
        <w:widowControl/>
        <w:spacing w:line="600" w:lineRule="exact"/>
        <w:jc w:val="center"/>
        <w:rPr>
          <w:rFonts w:ascii="宋体" w:hAnsi="宋体" w:eastAsia="宋体" w:cs="宋体"/>
          <w:color w:val="333333"/>
          <w:kern w:val="0"/>
          <w:sz w:val="36"/>
          <w:szCs w:val="36"/>
          <w:highlight w:val="none"/>
        </w:rPr>
      </w:pP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1.一般公共预算拨款收入：</w:t>
      </w:r>
      <w:r>
        <w:rPr>
          <w:rFonts w:hint="eastAsia" w:ascii="仿宋_GB2312" w:hAnsi="仿宋_GB2312" w:eastAsia="仿宋_GB2312" w:cs="仿宋_GB2312"/>
          <w:color w:val="333333"/>
          <w:kern w:val="0"/>
          <w:sz w:val="32"/>
          <w:szCs w:val="32"/>
          <w:highlight w:val="none"/>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2.基本支出：</w:t>
      </w:r>
      <w:r>
        <w:rPr>
          <w:rFonts w:hint="eastAsia" w:ascii="仿宋_GB2312" w:hAnsi="仿宋_GB2312" w:eastAsia="仿宋_GB2312" w:cs="仿宋_GB2312"/>
          <w:color w:val="333333"/>
          <w:kern w:val="0"/>
          <w:sz w:val="32"/>
          <w:szCs w:val="32"/>
          <w:highlight w:val="none"/>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3.项目支出：</w:t>
      </w:r>
      <w:r>
        <w:rPr>
          <w:rFonts w:hint="eastAsia" w:ascii="仿宋_GB2312" w:hAnsi="仿宋_GB2312" w:eastAsia="仿宋_GB2312" w:cs="仿宋_GB2312"/>
          <w:color w:val="333333"/>
          <w:kern w:val="0"/>
          <w:sz w:val="32"/>
          <w:szCs w:val="32"/>
          <w:highlight w:val="none"/>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4.“三公”经费：</w:t>
      </w:r>
      <w:r>
        <w:rPr>
          <w:rFonts w:hint="eastAsia" w:ascii="仿宋_GB2312" w:hAnsi="仿宋_GB2312" w:eastAsia="仿宋_GB2312" w:cs="仿宋_GB2312"/>
          <w:color w:val="333333"/>
          <w:kern w:val="0"/>
          <w:sz w:val="32"/>
          <w:szCs w:val="32"/>
          <w:highlight w:val="none"/>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5. 一般公共服务（类）</w:t>
      </w:r>
      <w:r>
        <w:rPr>
          <w:rFonts w:hint="eastAsia" w:ascii="仿宋_GB2312" w:hAnsi="仿宋_GB2312" w:eastAsia="仿宋_GB2312" w:cs="仿宋_GB2312"/>
          <w:b/>
          <w:bCs/>
          <w:color w:val="333333"/>
          <w:kern w:val="0"/>
          <w:sz w:val="30"/>
          <w:szCs w:val="30"/>
          <w:highlight w:val="none"/>
          <w:shd w:val="clear" w:color="auto" w:fill="FFFFFF"/>
        </w:rPr>
        <w:t>政府办公厅(室)及相关机构事务（款）行政运行（项）：</w:t>
      </w:r>
      <w:r>
        <w:rPr>
          <w:rFonts w:hint="eastAsia" w:ascii="仿宋_GB2312" w:hAnsi="仿宋_GB2312" w:eastAsia="仿宋_GB2312" w:cs="仿宋_GB2312"/>
          <w:color w:val="333333"/>
          <w:kern w:val="0"/>
          <w:sz w:val="32"/>
          <w:szCs w:val="32"/>
          <w:highlight w:val="none"/>
          <w:shd w:val="clear" w:color="auto" w:fill="FFFFFF"/>
        </w:rPr>
        <w:t>反映行政单位（包括实行公务员管理的事业单位）的基本支出。</w:t>
      </w:r>
    </w:p>
    <w:p>
      <w:pPr>
        <w:spacing w:line="620" w:lineRule="exact"/>
        <w:ind w:firstLine="602" w:firstLineChars="200"/>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0"/>
          <w:szCs w:val="30"/>
          <w:highlight w:val="none"/>
          <w:shd w:val="clear" w:color="auto" w:fill="FFFFFF"/>
        </w:rPr>
        <w:t>6.教育支出（类）普通教育（款）</w:t>
      </w:r>
      <w:r>
        <w:rPr>
          <w:rFonts w:hint="eastAsia" w:ascii="仿宋_GB2312" w:hAnsi="仿宋_GB2312" w:eastAsia="仿宋_GB2312" w:cs="仿宋_GB2312"/>
          <w:b/>
          <w:bCs/>
          <w:color w:val="333333"/>
          <w:kern w:val="0"/>
          <w:sz w:val="30"/>
          <w:szCs w:val="30"/>
          <w:highlight w:val="none"/>
          <w:shd w:val="clear" w:color="auto" w:fill="FFFFFF"/>
          <w:lang w:eastAsia="zh-CN"/>
        </w:rPr>
        <w:t>，</w:t>
      </w:r>
      <w:r>
        <w:rPr>
          <w:rFonts w:hint="eastAsia" w:ascii="仿宋_GB2312" w:hAnsi="仿宋_GB2312" w:eastAsia="仿宋_GB2312" w:cs="仿宋_GB2312"/>
          <w:b/>
          <w:bCs/>
          <w:color w:val="333333"/>
          <w:kern w:val="0"/>
          <w:sz w:val="30"/>
          <w:szCs w:val="30"/>
          <w:highlight w:val="none"/>
          <w:shd w:val="clear" w:color="auto" w:fill="FFFFFF"/>
        </w:rPr>
        <w:t>小学教育（项）：</w:t>
      </w:r>
      <w:r>
        <w:rPr>
          <w:rFonts w:hint="eastAsia" w:ascii="仿宋_GB2312" w:hAnsi="仿宋_GB2312" w:eastAsia="仿宋_GB2312" w:cs="仿宋_GB2312"/>
          <w:color w:val="333333"/>
          <w:kern w:val="0"/>
          <w:sz w:val="32"/>
          <w:szCs w:val="32"/>
          <w:highlight w:val="none"/>
          <w:shd w:val="clear" w:color="auto" w:fill="FFFFFF"/>
        </w:rPr>
        <w:t>反映各部门举办小学教育中心支出。政府各部门对社会组织等举办的小学的资助，如捐赠、补贴等，也在本科目中反映。</w:t>
      </w:r>
    </w:p>
    <w:p>
      <w:pPr>
        <w:spacing w:line="620" w:lineRule="exact"/>
        <w:ind w:firstLine="602" w:firstLineChars="200"/>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0"/>
          <w:szCs w:val="30"/>
          <w:highlight w:val="none"/>
          <w:shd w:val="clear" w:color="auto" w:fill="FFFFFF"/>
          <w:lang w:val="en-US" w:eastAsia="zh-CN"/>
        </w:rPr>
        <w:t>7</w:t>
      </w:r>
      <w:r>
        <w:rPr>
          <w:rFonts w:hint="eastAsia" w:ascii="仿宋_GB2312" w:hAnsi="仿宋_GB2312" w:eastAsia="仿宋_GB2312" w:cs="仿宋_GB2312"/>
          <w:b/>
          <w:bCs/>
          <w:color w:val="333333"/>
          <w:kern w:val="0"/>
          <w:sz w:val="30"/>
          <w:szCs w:val="30"/>
          <w:highlight w:val="none"/>
          <w:shd w:val="clear" w:color="auto" w:fill="FFFFFF"/>
        </w:rPr>
        <w:t>.教育支出（类）普通教育（款）</w:t>
      </w:r>
      <w:r>
        <w:rPr>
          <w:rFonts w:hint="eastAsia" w:ascii="仿宋_GB2312" w:hAnsi="仿宋_GB2312" w:eastAsia="仿宋_GB2312" w:cs="仿宋_GB2312"/>
          <w:b/>
          <w:bCs/>
          <w:color w:val="333333"/>
          <w:kern w:val="0"/>
          <w:sz w:val="30"/>
          <w:szCs w:val="30"/>
          <w:highlight w:val="none"/>
          <w:shd w:val="clear" w:color="auto" w:fill="FFFFFF"/>
          <w:lang w:eastAsia="zh-CN"/>
        </w:rPr>
        <w:t>，</w:t>
      </w:r>
      <w:r>
        <w:rPr>
          <w:rFonts w:hint="eastAsia" w:ascii="仿宋_GB2312" w:hAnsi="仿宋_GB2312" w:eastAsia="仿宋_GB2312" w:cs="仿宋_GB2312"/>
          <w:b/>
          <w:bCs/>
          <w:color w:val="333333"/>
          <w:kern w:val="0"/>
          <w:sz w:val="30"/>
          <w:szCs w:val="30"/>
          <w:highlight w:val="none"/>
          <w:shd w:val="clear" w:color="auto" w:fill="FFFFFF"/>
        </w:rPr>
        <w:t>初中教育（项）：</w:t>
      </w:r>
      <w:r>
        <w:rPr>
          <w:rFonts w:hint="eastAsia" w:ascii="仿宋_GB2312" w:hAnsi="仿宋_GB2312" w:eastAsia="仿宋_GB2312" w:cs="仿宋_GB2312"/>
          <w:color w:val="333333"/>
          <w:kern w:val="0"/>
          <w:sz w:val="32"/>
          <w:szCs w:val="32"/>
          <w:highlight w:val="none"/>
          <w:shd w:val="clear" w:color="auto" w:fill="FFFFFF"/>
        </w:rPr>
        <w:t>反映各部门举办中学教育中心支出。政府各部门对社会组织等举办的中学的资助，如捐赠、补贴等，也在本科目中反映。</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8</w:t>
      </w:r>
      <w:r>
        <w:rPr>
          <w:rFonts w:hint="eastAsia" w:ascii="仿宋_GB2312" w:hAnsi="仿宋_GB2312" w:eastAsia="仿宋_GB2312" w:cs="仿宋_GB2312"/>
          <w:b/>
          <w:bCs/>
          <w:color w:val="333333"/>
          <w:kern w:val="0"/>
          <w:sz w:val="32"/>
          <w:szCs w:val="32"/>
          <w:highlight w:val="none"/>
          <w:shd w:val="clear" w:color="auto" w:fill="FFFFFF"/>
        </w:rPr>
        <w:t>.社会保障和就业支出（类）行政事业单位养老支出（款）行政单位离退休（项）：</w:t>
      </w:r>
      <w:r>
        <w:rPr>
          <w:rFonts w:hint="eastAsia" w:ascii="仿宋_GB2312" w:hAnsi="仿宋_GB2312" w:eastAsia="仿宋_GB2312" w:cs="仿宋_GB2312"/>
          <w:color w:val="333333"/>
          <w:kern w:val="0"/>
          <w:sz w:val="32"/>
          <w:szCs w:val="32"/>
          <w:highlight w:val="none"/>
          <w:shd w:val="clear" w:color="auto" w:fill="FFFFFF"/>
        </w:rPr>
        <w:t>反映行政单位（包括实行公务员管理的事业单位）开支的离退休经费；</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9.</w:t>
      </w:r>
      <w:r>
        <w:rPr>
          <w:rFonts w:hint="eastAsia" w:ascii="仿宋_GB2312" w:hAnsi="仿宋_GB2312" w:eastAsia="仿宋_GB2312" w:cs="仿宋_GB2312"/>
          <w:b/>
          <w:bCs/>
          <w:color w:val="333333"/>
          <w:kern w:val="0"/>
          <w:sz w:val="32"/>
          <w:szCs w:val="32"/>
          <w:highlight w:val="none"/>
          <w:shd w:val="clear" w:color="auto" w:fill="FFFFFF"/>
        </w:rPr>
        <w:t>社会保障和就业支出（类）行政事业单位养老支出（款）机关事业单位基本养老保险缴费支出（项）：</w:t>
      </w:r>
      <w:r>
        <w:rPr>
          <w:rFonts w:hint="eastAsia" w:ascii="仿宋_GB2312" w:hAnsi="仿宋_GB2312" w:eastAsia="仿宋_GB2312" w:cs="仿宋_GB2312"/>
          <w:color w:val="333333"/>
          <w:kern w:val="0"/>
          <w:sz w:val="32"/>
          <w:szCs w:val="32"/>
          <w:highlight w:val="none"/>
          <w:shd w:val="clear" w:color="auto" w:fill="FFFFFF"/>
        </w:rPr>
        <w:t>反映机关事业单位实施养老保险制度由单位缴纳的基本养老保险费支出。</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b/>
          <w:bCs/>
          <w:color w:val="333333"/>
          <w:kern w:val="0"/>
          <w:sz w:val="32"/>
          <w:szCs w:val="32"/>
          <w:highlight w:val="none"/>
          <w:shd w:val="clear" w:color="auto" w:fill="FFFFFF"/>
          <w:lang w:val="en-US" w:eastAsia="zh-CN"/>
        </w:rPr>
        <w:t>10</w:t>
      </w:r>
      <w:r>
        <w:rPr>
          <w:rFonts w:hint="eastAsia" w:ascii="仿宋_GB2312" w:hAnsi="仿宋_GB2312" w:eastAsia="仿宋_GB2312" w:cs="仿宋_GB2312"/>
          <w:b/>
          <w:bCs/>
          <w:color w:val="333333"/>
          <w:kern w:val="0"/>
          <w:sz w:val="32"/>
          <w:szCs w:val="32"/>
          <w:highlight w:val="none"/>
          <w:shd w:val="clear" w:color="auto" w:fill="FFFFFF"/>
        </w:rPr>
        <w:t>.卫生健康支出（类）行政事业单位医疗（款）行政单位医疗（项）：</w:t>
      </w:r>
      <w:r>
        <w:rPr>
          <w:rFonts w:hint="eastAsia" w:ascii="仿宋_GB2312" w:hAnsi="仿宋_GB2312" w:eastAsia="仿宋_GB2312" w:cs="仿宋_GB2312"/>
          <w:color w:val="333333"/>
          <w:kern w:val="0"/>
          <w:sz w:val="32"/>
          <w:szCs w:val="32"/>
          <w:highlight w:val="none"/>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仿宋_GB2312" w:hAnsi="仿宋_GB2312" w:eastAsia="仿宋_GB2312" w:cs="仿宋_GB2312"/>
          <w:color w:val="333333"/>
          <w:kern w:val="0"/>
          <w:sz w:val="32"/>
          <w:szCs w:val="32"/>
          <w:highlight w:val="none"/>
          <w:shd w:val="clear" w:color="auto" w:fill="FFFFFF"/>
          <w:lang w:eastAsia="zh-CN"/>
        </w:rPr>
        <w:t>。</w:t>
      </w:r>
      <w:bookmarkStart w:id="1" w:name="_GoBack"/>
      <w:bookmarkEnd w:id="1"/>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11</w:t>
      </w:r>
      <w:r>
        <w:rPr>
          <w:rFonts w:hint="eastAsia" w:ascii="仿宋_GB2312" w:hAnsi="仿宋_GB2312" w:eastAsia="仿宋_GB2312" w:cs="仿宋_GB2312"/>
          <w:b/>
          <w:bCs/>
          <w:color w:val="333333"/>
          <w:kern w:val="0"/>
          <w:sz w:val="32"/>
          <w:szCs w:val="32"/>
          <w:highlight w:val="none"/>
          <w:shd w:val="clear" w:color="auto" w:fill="FFFFFF"/>
        </w:rPr>
        <w:t>.卫生健康支出（类）行政事业单位医疗（款）事业单位医疗（项）：</w:t>
      </w:r>
      <w:r>
        <w:rPr>
          <w:rFonts w:hint="eastAsia" w:ascii="仿宋_GB2312" w:hAnsi="仿宋_GB2312" w:eastAsia="仿宋_GB2312" w:cs="仿宋_GB2312"/>
          <w:color w:val="333333"/>
          <w:kern w:val="0"/>
          <w:sz w:val="32"/>
          <w:szCs w:val="32"/>
          <w:highlight w:val="none"/>
          <w:shd w:val="clear" w:color="auto" w:fill="FFFFFF"/>
        </w:rPr>
        <w:t>反映财政部门安排的事业单位基本医疗保险缴费经费，未参加医疗保险的事业单位的公费医疗经费，按国家规定享受离退休人员待遇的医疗经费。</w:t>
      </w:r>
    </w:p>
    <w:p>
      <w:pPr>
        <w:spacing w:line="620" w:lineRule="exact"/>
        <w:ind w:firstLine="640" w:firstLineChars="200"/>
        <w:jc w:val="left"/>
        <w:rPr>
          <w:rFonts w:hint="eastAsia" w:ascii="仿宋_GB2312" w:hAnsi="仿宋_GB2312" w:eastAsia="仿宋_GB2312" w:cs="仿宋_GB2312"/>
          <w:b/>
          <w:bCs/>
          <w:color w:val="333333"/>
          <w:kern w:val="0"/>
          <w:sz w:val="32"/>
          <w:szCs w:val="32"/>
          <w:highlight w:val="none"/>
          <w:shd w:val="clear" w:color="auto" w:fill="FFFFFF"/>
          <w:lang w:eastAsia="zh-CN"/>
        </w:rPr>
      </w:pPr>
      <w:r>
        <w:rPr>
          <w:rFonts w:hint="eastAsia" w:ascii="仿宋_GB2312" w:hAnsi="仿宋_GB2312" w:eastAsia="仿宋_GB2312" w:cs="仿宋_GB2312"/>
          <w:color w:val="333333"/>
          <w:kern w:val="0"/>
          <w:sz w:val="32"/>
          <w:szCs w:val="32"/>
          <w:highlight w:val="none"/>
          <w:shd w:val="clear" w:color="auto" w:fill="FFFFFF"/>
          <w:lang w:val="en-US" w:eastAsia="zh-CN"/>
        </w:rPr>
        <w:t>12</w:t>
      </w:r>
      <w:r>
        <w:rPr>
          <w:rFonts w:hint="eastAsia" w:ascii="仿宋_GB2312" w:hAnsi="仿宋_GB2312" w:eastAsia="仿宋_GB2312" w:cs="仿宋_GB2312"/>
          <w:b/>
          <w:bCs/>
          <w:color w:val="333333"/>
          <w:kern w:val="0"/>
          <w:sz w:val="32"/>
          <w:szCs w:val="32"/>
          <w:highlight w:val="none"/>
          <w:shd w:val="clear" w:color="auto" w:fill="FFFFFF"/>
        </w:rPr>
        <w:t>.农林水支出（类）农村综合改革（款）对村民委员会和村党支部的补助（项）：</w:t>
      </w:r>
      <w:r>
        <w:rPr>
          <w:rFonts w:hint="eastAsia" w:ascii="仿宋_GB2312" w:hAnsi="仿宋_GB2312" w:eastAsia="仿宋_GB2312" w:cs="仿宋_GB2312"/>
          <w:color w:val="333333"/>
          <w:kern w:val="0"/>
          <w:sz w:val="32"/>
          <w:szCs w:val="32"/>
          <w:highlight w:val="none"/>
          <w:shd w:val="clear" w:color="auto" w:fill="FFFFFF"/>
        </w:rPr>
        <w:t>反映各级财政对村民委员会和村党支部的补助支出，以及支持建立县级基本财力保障机制安排的村级组织运转奖补资金</w:t>
      </w:r>
      <w:r>
        <w:rPr>
          <w:rFonts w:hint="eastAsia" w:ascii="仿宋_GB2312" w:hAnsi="仿宋_GB2312" w:eastAsia="仿宋_GB2312" w:cs="仿宋_GB2312"/>
          <w:b/>
          <w:bCs/>
          <w:color w:val="333333"/>
          <w:kern w:val="0"/>
          <w:sz w:val="32"/>
          <w:szCs w:val="32"/>
          <w:highlight w:val="none"/>
          <w:shd w:val="clear" w:color="auto" w:fill="FFFFFF"/>
          <w:lang w:eastAsia="zh-CN"/>
        </w:rPr>
        <w:t>。</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13.</w:t>
      </w:r>
      <w:r>
        <w:rPr>
          <w:rFonts w:hint="eastAsia" w:ascii="仿宋_GB2312" w:hAnsi="仿宋_GB2312" w:eastAsia="仿宋_GB2312" w:cs="仿宋_GB2312"/>
          <w:b/>
          <w:bCs/>
          <w:color w:val="333333"/>
          <w:kern w:val="0"/>
          <w:sz w:val="32"/>
          <w:szCs w:val="32"/>
          <w:highlight w:val="none"/>
          <w:shd w:val="clear" w:color="auto" w:fill="FFFFFF"/>
        </w:rPr>
        <w:t>农林水支出（类）农村综合改革（款）农村综合改革示范试点补助（项）：</w:t>
      </w:r>
      <w:r>
        <w:rPr>
          <w:rFonts w:hint="eastAsia" w:ascii="仿宋_GB2312" w:hAnsi="仿宋_GB2312" w:eastAsia="仿宋_GB2312" w:cs="仿宋_GB2312"/>
          <w:color w:val="333333"/>
          <w:kern w:val="0"/>
          <w:sz w:val="32"/>
          <w:szCs w:val="32"/>
          <w:highlight w:val="none"/>
          <w:shd w:val="clear" w:color="auto" w:fill="FFFFFF"/>
        </w:rPr>
        <w:t>反映各级政府对农村综合改革示范试点、新型农业社会服务体系建设等补助支出。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1</w:t>
      </w:r>
      <w:r>
        <w:rPr>
          <w:rFonts w:hint="eastAsia" w:ascii="仿宋_GB2312" w:hAnsi="仿宋_GB2312" w:eastAsia="仿宋_GB2312" w:cs="仿宋_GB2312"/>
          <w:b/>
          <w:bCs/>
          <w:color w:val="333333"/>
          <w:kern w:val="0"/>
          <w:sz w:val="32"/>
          <w:szCs w:val="32"/>
          <w:highlight w:val="none"/>
          <w:shd w:val="clear" w:color="auto" w:fill="FFFFFF"/>
          <w:lang w:val="en-US" w:eastAsia="zh-CN"/>
        </w:rPr>
        <w:t>4</w:t>
      </w:r>
      <w:r>
        <w:rPr>
          <w:rFonts w:hint="eastAsia" w:ascii="仿宋_GB2312" w:hAnsi="仿宋_GB2312" w:eastAsia="仿宋_GB2312" w:cs="仿宋_GB2312"/>
          <w:b/>
          <w:bCs/>
          <w:color w:val="333333"/>
          <w:kern w:val="0"/>
          <w:sz w:val="32"/>
          <w:szCs w:val="32"/>
          <w:highlight w:val="none"/>
          <w:shd w:val="clear" w:color="auto" w:fill="FFFFFF"/>
        </w:rPr>
        <w:t>.住房保障（类）住房改革（款）住房公积金（项）：</w:t>
      </w:r>
      <w:r>
        <w:rPr>
          <w:rFonts w:hint="eastAsia" w:ascii="仿宋_GB2312" w:hAnsi="仿宋_GB2312" w:eastAsia="仿宋_GB2312" w:cs="仿宋_GB2312"/>
          <w:color w:val="333333"/>
          <w:kern w:val="0"/>
          <w:sz w:val="32"/>
          <w:szCs w:val="32"/>
          <w:highlight w:val="none"/>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center"/>
        <w:rPr>
          <w:rFonts w:hint="eastAsia" w:ascii="黑体" w:hAnsi="黑体" w:eastAsia="黑体" w:cs="宋体"/>
          <w:color w:val="333333"/>
          <w:kern w:val="0"/>
          <w:sz w:val="36"/>
          <w:szCs w:val="36"/>
          <w:highlight w:val="none"/>
        </w:rPr>
      </w:pPr>
    </w:p>
    <w:p>
      <w:pPr>
        <w:widowControl/>
        <w:spacing w:line="600" w:lineRule="exact"/>
        <w:jc w:val="center"/>
        <w:rPr>
          <w:rFonts w:ascii="黑体" w:hAnsi="黑体" w:eastAsia="黑体" w:cs="宋体"/>
          <w:color w:val="333333"/>
          <w:kern w:val="0"/>
          <w:sz w:val="36"/>
          <w:szCs w:val="36"/>
          <w:highlight w:val="none"/>
        </w:rPr>
      </w:pPr>
      <w:r>
        <w:rPr>
          <w:rFonts w:hint="eastAsia" w:ascii="黑体" w:hAnsi="黑体" w:eastAsia="黑体" w:cs="宋体"/>
          <w:color w:val="333333"/>
          <w:kern w:val="0"/>
          <w:sz w:val="36"/>
          <w:szCs w:val="36"/>
          <w:highlight w:val="none"/>
        </w:rPr>
        <w:t>第四部分 2022年龙城区</w:t>
      </w:r>
      <w:r>
        <w:rPr>
          <w:rFonts w:hint="eastAsia" w:ascii="黑体" w:hAnsi="黑体" w:eastAsia="黑体" w:cs="宋体"/>
          <w:color w:val="333333"/>
          <w:kern w:val="0"/>
          <w:sz w:val="36"/>
          <w:szCs w:val="36"/>
          <w:highlight w:val="none"/>
          <w:lang w:val="en-US" w:eastAsia="zh-CN"/>
        </w:rPr>
        <w:t>边杖子镇人民政府</w:t>
      </w:r>
      <w:r>
        <w:rPr>
          <w:rFonts w:hint="eastAsia" w:ascii="黑体" w:hAnsi="黑体" w:eastAsia="黑体" w:cs="宋体"/>
          <w:color w:val="333333"/>
          <w:kern w:val="0"/>
          <w:sz w:val="36"/>
          <w:szCs w:val="36"/>
          <w:highlight w:val="none"/>
        </w:rPr>
        <w:t>预算批复表</w:t>
      </w:r>
    </w:p>
    <w:p>
      <w:pPr>
        <w:widowControl/>
        <w:spacing w:line="600" w:lineRule="exact"/>
        <w:jc w:val="left"/>
        <w:rPr>
          <w:rFonts w:ascii="仿宋_GB2312" w:hAnsi="宋体" w:eastAsia="仿宋_GB2312" w:cs="宋体"/>
          <w:color w:val="333333"/>
          <w:kern w:val="0"/>
          <w:sz w:val="36"/>
          <w:szCs w:val="36"/>
          <w:highlight w:val="none"/>
          <w:shd w:val="clear" w:color="auto" w:fill="FFFFFF"/>
        </w:rPr>
      </w:pPr>
    </w:p>
    <w:p>
      <w:pPr>
        <w:widowControl/>
        <w:spacing w:line="600" w:lineRule="exact"/>
        <w:jc w:val="left"/>
        <w:rPr>
          <w:rFonts w:ascii="仿宋_GB2312" w:hAnsi="宋体" w:eastAsia="仿宋_GB2312" w:cs="宋体"/>
          <w:kern w:val="0"/>
          <w:sz w:val="36"/>
          <w:szCs w:val="36"/>
          <w:highlight w:val="none"/>
        </w:rPr>
      </w:pPr>
      <w:r>
        <w:rPr>
          <w:rFonts w:hint="eastAsia" w:ascii="仿宋_GB2312" w:hAnsi="宋体" w:eastAsia="仿宋_GB2312" w:cs="宋体"/>
          <w:color w:val="333333"/>
          <w:kern w:val="0"/>
          <w:sz w:val="32"/>
          <w:szCs w:val="32"/>
          <w:highlight w:val="none"/>
          <w:shd w:val="clear" w:color="auto" w:fill="FFFFFF"/>
        </w:rPr>
        <w:t>详见附表：</w:t>
      </w:r>
      <w:r>
        <w:rPr>
          <w:rFonts w:hint="eastAsia" w:ascii="仿宋_GB2312" w:hAnsi="宋体" w:eastAsia="仿宋_GB2312" w:cs="宋体"/>
          <w:color w:val="333333"/>
          <w:kern w:val="0"/>
          <w:sz w:val="32"/>
          <w:szCs w:val="32"/>
          <w:highlight w:val="none"/>
        </w:rPr>
        <w:t>2022年龙城区</w:t>
      </w:r>
      <w:r>
        <w:rPr>
          <w:rFonts w:hint="eastAsia" w:ascii="仿宋_GB2312" w:hAnsi="宋体" w:eastAsia="仿宋_GB2312" w:cs="宋体"/>
          <w:color w:val="333333"/>
          <w:kern w:val="0"/>
          <w:sz w:val="32"/>
          <w:szCs w:val="32"/>
          <w:highlight w:val="none"/>
          <w:lang w:val="en-US" w:eastAsia="zh-CN"/>
        </w:rPr>
        <w:t>边杖子镇人民政府</w:t>
      </w:r>
      <w:r>
        <w:rPr>
          <w:rFonts w:hint="eastAsia" w:ascii="仿宋_GB2312" w:hAnsi="宋体" w:eastAsia="仿宋_GB2312" w:cs="宋体"/>
          <w:color w:val="333333"/>
          <w:kern w:val="0"/>
          <w:sz w:val="32"/>
          <w:szCs w:val="32"/>
          <w:highlight w:val="none"/>
        </w:rPr>
        <w:t>预算批复表</w:t>
      </w:r>
    </w:p>
    <w:p>
      <w:pPr>
        <w:spacing w:line="600" w:lineRule="exact"/>
        <w:jc w:val="left"/>
        <w:rPr>
          <w:rFonts w:ascii="仿宋_GB2312" w:eastAsia="仿宋_GB2312"/>
          <w:sz w:val="36"/>
          <w:szCs w:val="36"/>
          <w:highlight w:val="none"/>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5B86"/>
    <w:multiLevelType w:val="singleLevel"/>
    <w:tmpl w:val="2BBA5B86"/>
    <w:lvl w:ilvl="0" w:tentative="0">
      <w:start w:val="1"/>
      <w:numFmt w:val="chineseCounting"/>
      <w:suff w:val="nothing"/>
      <w:lvlText w:val="（%1）"/>
      <w:lvlJc w:val="left"/>
      <w:rPr>
        <w:rFonts w:hint="eastAsia"/>
      </w:rPr>
    </w:lvl>
  </w:abstractNum>
  <w:abstractNum w:abstractNumId="1">
    <w:nsid w:val="65DDBB29"/>
    <w:multiLevelType w:val="singleLevel"/>
    <w:tmpl w:val="65DDBB29"/>
    <w:lvl w:ilvl="0" w:tentative="0">
      <w:start w:val="1"/>
      <w:numFmt w:val="chineseCounting"/>
      <w:suff w:val="nothing"/>
      <w:lvlText w:val="%1、"/>
      <w:lvlJc w:val="left"/>
      <w:pPr>
        <w:ind w:left="1062"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5091E"/>
    <w:rsid w:val="00090925"/>
    <w:rsid w:val="00092E0A"/>
    <w:rsid w:val="000C571E"/>
    <w:rsid w:val="000E2768"/>
    <w:rsid w:val="000F5006"/>
    <w:rsid w:val="001174ED"/>
    <w:rsid w:val="001346CD"/>
    <w:rsid w:val="00164EE2"/>
    <w:rsid w:val="0018065A"/>
    <w:rsid w:val="00185E91"/>
    <w:rsid w:val="001B61B1"/>
    <w:rsid w:val="0021024E"/>
    <w:rsid w:val="00213E50"/>
    <w:rsid w:val="00220C5F"/>
    <w:rsid w:val="00225BC5"/>
    <w:rsid w:val="0023397A"/>
    <w:rsid w:val="00234682"/>
    <w:rsid w:val="002732A0"/>
    <w:rsid w:val="00276547"/>
    <w:rsid w:val="002B4F24"/>
    <w:rsid w:val="003163EE"/>
    <w:rsid w:val="00355960"/>
    <w:rsid w:val="00383A7E"/>
    <w:rsid w:val="003C4405"/>
    <w:rsid w:val="003D2678"/>
    <w:rsid w:val="00431D1D"/>
    <w:rsid w:val="00432CF0"/>
    <w:rsid w:val="004348F9"/>
    <w:rsid w:val="00445E2C"/>
    <w:rsid w:val="004B6C5D"/>
    <w:rsid w:val="004C674C"/>
    <w:rsid w:val="004D7509"/>
    <w:rsid w:val="00527D20"/>
    <w:rsid w:val="0054696D"/>
    <w:rsid w:val="00547E1A"/>
    <w:rsid w:val="005553D6"/>
    <w:rsid w:val="00557F0D"/>
    <w:rsid w:val="00562378"/>
    <w:rsid w:val="005F025F"/>
    <w:rsid w:val="006572C8"/>
    <w:rsid w:val="00671530"/>
    <w:rsid w:val="00686E27"/>
    <w:rsid w:val="006C5DB9"/>
    <w:rsid w:val="006D318D"/>
    <w:rsid w:val="007233F3"/>
    <w:rsid w:val="007314F8"/>
    <w:rsid w:val="00737963"/>
    <w:rsid w:val="00773D18"/>
    <w:rsid w:val="0077615C"/>
    <w:rsid w:val="00796FF7"/>
    <w:rsid w:val="007C744B"/>
    <w:rsid w:val="00800800"/>
    <w:rsid w:val="00872639"/>
    <w:rsid w:val="008735FF"/>
    <w:rsid w:val="008A1426"/>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B42E8"/>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76805"/>
    <w:rsid w:val="00F80D8D"/>
    <w:rsid w:val="00F81352"/>
    <w:rsid w:val="00FC7F22"/>
    <w:rsid w:val="00FF0E8C"/>
    <w:rsid w:val="00FF3ABD"/>
    <w:rsid w:val="00FF49C2"/>
    <w:rsid w:val="00FF61DC"/>
    <w:rsid w:val="033055FD"/>
    <w:rsid w:val="05103E72"/>
    <w:rsid w:val="05645DD5"/>
    <w:rsid w:val="05C17C62"/>
    <w:rsid w:val="07097292"/>
    <w:rsid w:val="070C28DE"/>
    <w:rsid w:val="08325BF5"/>
    <w:rsid w:val="087E60BF"/>
    <w:rsid w:val="09BA57B4"/>
    <w:rsid w:val="0A8D5FB1"/>
    <w:rsid w:val="0B3D6730"/>
    <w:rsid w:val="0D94472C"/>
    <w:rsid w:val="0E9708AA"/>
    <w:rsid w:val="0FF03899"/>
    <w:rsid w:val="103C5741"/>
    <w:rsid w:val="11807AF5"/>
    <w:rsid w:val="12566092"/>
    <w:rsid w:val="13135046"/>
    <w:rsid w:val="1368197B"/>
    <w:rsid w:val="137777FF"/>
    <w:rsid w:val="139C0402"/>
    <w:rsid w:val="13E1581F"/>
    <w:rsid w:val="142C45C0"/>
    <w:rsid w:val="14455090"/>
    <w:rsid w:val="14B95E54"/>
    <w:rsid w:val="14DA394E"/>
    <w:rsid w:val="17610A8D"/>
    <w:rsid w:val="179E3A27"/>
    <w:rsid w:val="184F69FD"/>
    <w:rsid w:val="18AB1F57"/>
    <w:rsid w:val="18D22D8E"/>
    <w:rsid w:val="19243C36"/>
    <w:rsid w:val="196F567B"/>
    <w:rsid w:val="1A0F6516"/>
    <w:rsid w:val="1BA479D2"/>
    <w:rsid w:val="1D11562F"/>
    <w:rsid w:val="1D224EDA"/>
    <w:rsid w:val="1E0C089B"/>
    <w:rsid w:val="1E2527AC"/>
    <w:rsid w:val="1E294391"/>
    <w:rsid w:val="1EC41FC5"/>
    <w:rsid w:val="1FC41B50"/>
    <w:rsid w:val="226062AE"/>
    <w:rsid w:val="22FE53FA"/>
    <w:rsid w:val="23446E27"/>
    <w:rsid w:val="23461B93"/>
    <w:rsid w:val="26EF3937"/>
    <w:rsid w:val="288F53F1"/>
    <w:rsid w:val="299971E9"/>
    <w:rsid w:val="2A027E45"/>
    <w:rsid w:val="2A693A71"/>
    <w:rsid w:val="2BC20957"/>
    <w:rsid w:val="2D276A64"/>
    <w:rsid w:val="2F0D41EE"/>
    <w:rsid w:val="2F822762"/>
    <w:rsid w:val="2FB1612E"/>
    <w:rsid w:val="318A2BFA"/>
    <w:rsid w:val="322841C1"/>
    <w:rsid w:val="34E44E77"/>
    <w:rsid w:val="36E76DB5"/>
    <w:rsid w:val="3861218A"/>
    <w:rsid w:val="3AC677EF"/>
    <w:rsid w:val="3AED2D67"/>
    <w:rsid w:val="3C6077A7"/>
    <w:rsid w:val="3C824F42"/>
    <w:rsid w:val="3CE94C4E"/>
    <w:rsid w:val="42E83C24"/>
    <w:rsid w:val="43631F42"/>
    <w:rsid w:val="46603AD2"/>
    <w:rsid w:val="48222B78"/>
    <w:rsid w:val="488B752C"/>
    <w:rsid w:val="48CE66CB"/>
    <w:rsid w:val="496E6505"/>
    <w:rsid w:val="49AB2A4A"/>
    <w:rsid w:val="4ABF34BD"/>
    <w:rsid w:val="4B154342"/>
    <w:rsid w:val="4B5B7436"/>
    <w:rsid w:val="4BD9235C"/>
    <w:rsid w:val="4BEA4AB6"/>
    <w:rsid w:val="4D063625"/>
    <w:rsid w:val="4E254957"/>
    <w:rsid w:val="4E9E092B"/>
    <w:rsid w:val="4F2F493F"/>
    <w:rsid w:val="4F351F9F"/>
    <w:rsid w:val="504D545B"/>
    <w:rsid w:val="51880C7C"/>
    <w:rsid w:val="51CC3074"/>
    <w:rsid w:val="52A732DA"/>
    <w:rsid w:val="549E4143"/>
    <w:rsid w:val="56CD2EE2"/>
    <w:rsid w:val="583E3F7E"/>
    <w:rsid w:val="5897305A"/>
    <w:rsid w:val="589E7B8F"/>
    <w:rsid w:val="58D17568"/>
    <w:rsid w:val="59030A18"/>
    <w:rsid w:val="590B5B1F"/>
    <w:rsid w:val="59A0270B"/>
    <w:rsid w:val="5A016260"/>
    <w:rsid w:val="5CB51984"/>
    <w:rsid w:val="5D0A5491"/>
    <w:rsid w:val="5F912B47"/>
    <w:rsid w:val="604B01CA"/>
    <w:rsid w:val="641A130C"/>
    <w:rsid w:val="64513B25"/>
    <w:rsid w:val="64EE0533"/>
    <w:rsid w:val="65C63716"/>
    <w:rsid w:val="673B7F17"/>
    <w:rsid w:val="685F19E3"/>
    <w:rsid w:val="6AC33DB7"/>
    <w:rsid w:val="6ADA35A3"/>
    <w:rsid w:val="6E5B298D"/>
    <w:rsid w:val="6E971106"/>
    <w:rsid w:val="701F4FF2"/>
    <w:rsid w:val="70EA16EF"/>
    <w:rsid w:val="71992518"/>
    <w:rsid w:val="723B31C2"/>
    <w:rsid w:val="73460A66"/>
    <w:rsid w:val="73B250BD"/>
    <w:rsid w:val="74523834"/>
    <w:rsid w:val="75A5137D"/>
    <w:rsid w:val="75FD0644"/>
    <w:rsid w:val="76844CA7"/>
    <w:rsid w:val="76CC799B"/>
    <w:rsid w:val="76D9490D"/>
    <w:rsid w:val="79615874"/>
    <w:rsid w:val="7A9B5495"/>
    <w:rsid w:val="7B6860CE"/>
    <w:rsid w:val="7CFC5A20"/>
    <w:rsid w:val="7D320889"/>
    <w:rsid w:val="7DBB4142"/>
    <w:rsid w:val="7E743DE6"/>
    <w:rsid w:val="7FC1639D"/>
    <w:rsid w:val="7FDC2D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标题 1 Char"/>
    <w:basedOn w:val="10"/>
    <w:link w:val="2"/>
    <w:qFormat/>
    <w:uiPriority w:val="9"/>
    <w:rPr>
      <w:rFonts w:ascii="宋体" w:hAnsi="宋体" w:eastAsia="宋体" w:cs="宋体"/>
      <w:b/>
      <w:bCs/>
      <w:kern w:val="36"/>
      <w:sz w:val="48"/>
      <w:szCs w:val="48"/>
    </w:rPr>
  </w:style>
  <w:style w:type="character" w:customStyle="1" w:styleId="14">
    <w:name w:val="标题 2 Char"/>
    <w:basedOn w:val="10"/>
    <w:link w:val="3"/>
    <w:qFormat/>
    <w:uiPriority w:val="9"/>
    <w:rPr>
      <w:rFonts w:ascii="宋体" w:hAnsi="宋体" w:eastAsia="宋体" w:cs="宋体"/>
      <w:b/>
      <w:bCs/>
      <w:kern w:val="0"/>
      <w:sz w:val="36"/>
      <w:szCs w:val="36"/>
    </w:rPr>
  </w:style>
  <w:style w:type="character" w:customStyle="1" w:styleId="15">
    <w:name w:val="页眉 Char"/>
    <w:basedOn w:val="10"/>
    <w:link w:val="6"/>
    <w:semiHidden/>
    <w:qFormat/>
    <w:uiPriority w:val="99"/>
    <w:rPr>
      <w:sz w:val="18"/>
      <w:szCs w:val="18"/>
    </w:rPr>
  </w:style>
  <w:style w:type="character" w:customStyle="1" w:styleId="16">
    <w:name w:val="页脚 Char"/>
    <w:basedOn w:val="10"/>
    <w:link w:val="5"/>
    <w:semiHidden/>
    <w:qFormat/>
    <w:uiPriority w:val="99"/>
    <w:rPr>
      <w:sz w:val="18"/>
      <w:szCs w:val="18"/>
    </w:rPr>
  </w:style>
  <w:style w:type="character" w:customStyle="1" w:styleId="17">
    <w:name w:val="批注框文本 Char"/>
    <w:basedOn w:val="10"/>
    <w:link w:val="4"/>
    <w:semiHidden/>
    <w:qFormat/>
    <w:uiPriority w:val="99"/>
    <w:rPr>
      <w:rFonts w:asciiTheme="minorHAnsi" w:hAnsiTheme="minorHAnsi" w:eastAsiaTheme="minorEastAsia" w:cstheme="minorBidi"/>
      <w:kern w:val="2"/>
      <w:sz w:val="18"/>
      <w:szCs w:val="18"/>
    </w:rPr>
  </w:style>
  <w:style w:type="paragraph" w:styleId="1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0F1F8-A3B1-42AE-8295-606CBCD040C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641</Words>
  <Characters>3660</Characters>
  <Lines>30</Lines>
  <Paragraphs>8</Paragraphs>
  <TotalTime>8</TotalTime>
  <ScaleCrop>false</ScaleCrop>
  <LinksUpToDate>false</LinksUpToDate>
  <CharactersWithSpaces>4293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徐中彦</cp:lastModifiedBy>
  <cp:lastPrinted>2022-01-13T01:34:23Z</cp:lastPrinted>
  <dcterms:modified xsi:type="dcterms:W3CDTF">2022-01-13T01:47:23Z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0A46C5CB5A25427DA26057A03F87D632</vt:lpwstr>
  </property>
</Properties>
</file>