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龙城区召都巴镇部门预算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2022年龙城区召都巴镇部门预算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w:t>
      </w:r>
      <w:r>
        <w:rPr>
          <w:rFonts w:hint="eastAsia" w:ascii="宋体" w:hAnsi="宋体" w:eastAsia="宋体" w:cs="宋体"/>
          <w:bCs/>
          <w:color w:val="333333"/>
          <w:kern w:val="0"/>
          <w:sz w:val="32"/>
          <w:szCs w:val="32"/>
          <w:shd w:val="clear" w:color="auto" w:fill="FFFFFF"/>
        </w:rPr>
        <w:t>城区召都巴镇</w:t>
      </w:r>
      <w:r>
        <w:rPr>
          <w:rFonts w:hint="eastAsia" w:ascii="黑体" w:hAnsi="黑体" w:eastAsia="黑体" w:cs="宋体"/>
          <w:bCs/>
          <w:color w:val="333333"/>
          <w:kern w:val="0"/>
          <w:sz w:val="32"/>
          <w:szCs w:val="32"/>
          <w:shd w:val="clear" w:color="auto" w:fill="FFFFFF"/>
        </w:rPr>
        <w:t>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龙城区召都巴镇2022年部门预算情况说明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2022年龙城区召都巴镇部门预算批复表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龙城区召都巴镇概况</w:t>
      </w:r>
    </w:p>
    <w:p>
      <w:pPr>
        <w:widowControl/>
        <w:spacing w:line="600" w:lineRule="exact"/>
        <w:jc w:val="center"/>
        <w:rPr>
          <w:rFonts w:ascii="宋体" w:hAnsi="宋体" w:eastAsia="宋体" w:cs="宋体"/>
          <w:color w:val="333333"/>
          <w:kern w:val="0"/>
          <w:sz w:val="32"/>
          <w:szCs w:val="32"/>
        </w:rPr>
      </w:pP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1062" w:leftChars="0" w:right="0" w:firstLine="0" w:firstLineChars="0"/>
        <w:rPr>
          <w:rFonts w:ascii="楷体_GB2312" w:hAnsi="楷体_GB2312" w:eastAsia="楷体_GB2312" w:cs="楷体_GB2312"/>
          <w:b/>
          <w:color w:val="333333"/>
          <w:sz w:val="32"/>
          <w:szCs w:val="32"/>
          <w:highlight w:val="none"/>
          <w:shd w:val="clear" w:color="auto" w:fill="FFFFFF"/>
        </w:rPr>
      </w:pPr>
      <w:r>
        <w:rPr>
          <w:rFonts w:ascii="楷体_GB2312" w:hAnsi="楷体_GB2312" w:eastAsia="楷体_GB2312" w:cs="楷体_GB2312"/>
          <w:b/>
          <w:color w:val="333333"/>
          <w:sz w:val="32"/>
          <w:szCs w:val="32"/>
          <w:highlight w:val="none"/>
          <w:shd w:val="clear" w:color="auto" w:fill="FFFFFF"/>
        </w:rPr>
        <w:t>主要职责</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ightChars="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hint="eastAsia" w:ascii="仿宋_GB2312" w:hAnsi="仿宋" w:eastAsia="仿宋_GB2312" w:cs="仿宋"/>
          <w:color w:val="333333"/>
          <w:kern w:val="0"/>
          <w:sz w:val="32"/>
          <w:szCs w:val="32"/>
          <w:highlight w:val="none"/>
          <w:shd w:val="clear" w:color="auto" w:fill="FFFFFF"/>
          <w:lang w:val="en-US" w:eastAsia="zh-CN" w:bidi="ar-SA"/>
        </w:rPr>
        <w:t>执行本级人民代表大会决议以及上级国家行政机关的决定和命令；</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leftChars="0" w:right="0" w:rightChars="0" w:firstLine="640" w:firstLineChars="200"/>
        <w:rPr>
          <w:rFonts w:hint="default" w:ascii="仿宋_GB2312" w:hAnsi="仿宋" w:eastAsia="仿宋_GB2312" w:cs="仿宋"/>
          <w:color w:val="333333"/>
          <w:kern w:val="0"/>
          <w:sz w:val="32"/>
          <w:szCs w:val="32"/>
          <w:highlight w:val="none"/>
          <w:shd w:val="clear" w:color="auto" w:fill="FFFFFF"/>
          <w:lang w:val="en-US" w:eastAsia="zh-CN" w:bidi="ar-SA"/>
        </w:rPr>
      </w:pPr>
      <w:r>
        <w:rPr>
          <w:rFonts w:hint="default" w:ascii="仿宋_GB2312" w:hAnsi="仿宋" w:eastAsia="仿宋_GB2312" w:cs="仿宋"/>
          <w:color w:val="333333"/>
          <w:kern w:val="0"/>
          <w:sz w:val="32"/>
          <w:szCs w:val="32"/>
          <w:highlight w:val="none"/>
          <w:shd w:val="clear" w:color="auto" w:fill="FFFFFF"/>
          <w:lang w:val="en-US" w:eastAsia="zh-CN" w:bidi="ar-SA"/>
        </w:rPr>
        <w:t>执行全</w:t>
      </w:r>
      <w:r>
        <w:rPr>
          <w:rFonts w:hint="eastAsia" w:ascii="仿宋_GB2312" w:hAnsi="仿宋" w:eastAsia="仿宋_GB2312" w:cs="仿宋"/>
          <w:color w:val="333333"/>
          <w:kern w:val="0"/>
          <w:sz w:val="32"/>
          <w:szCs w:val="32"/>
          <w:highlight w:val="none"/>
          <w:shd w:val="clear" w:color="auto" w:fill="FFFFFF"/>
          <w:lang w:val="en-US" w:eastAsia="zh-CN" w:bidi="ar-SA"/>
        </w:rPr>
        <w:t>镇</w:t>
      </w:r>
      <w:r>
        <w:rPr>
          <w:rFonts w:hint="default" w:ascii="仿宋_GB2312" w:hAnsi="仿宋" w:eastAsia="仿宋_GB2312" w:cs="仿宋"/>
          <w:color w:val="333333"/>
          <w:kern w:val="0"/>
          <w:sz w:val="32"/>
          <w:szCs w:val="32"/>
          <w:highlight w:val="none"/>
          <w:shd w:val="clear" w:color="auto" w:fill="FFFFFF"/>
          <w:lang w:val="en-US" w:eastAsia="zh-CN" w:bidi="ar-SA"/>
        </w:rPr>
        <w:t>的社会和经济发展计划、预算，管理本</w:t>
      </w:r>
      <w:r>
        <w:rPr>
          <w:rFonts w:hint="eastAsia" w:ascii="仿宋_GB2312" w:hAnsi="仿宋" w:eastAsia="仿宋_GB2312" w:cs="仿宋"/>
          <w:color w:val="333333"/>
          <w:kern w:val="0"/>
          <w:sz w:val="32"/>
          <w:szCs w:val="32"/>
          <w:highlight w:val="none"/>
          <w:shd w:val="clear" w:color="auto" w:fill="FFFFFF"/>
          <w:lang w:val="en-US" w:eastAsia="zh-CN" w:bidi="ar-SA"/>
        </w:rPr>
        <w:t>镇</w:t>
      </w:r>
      <w:r>
        <w:rPr>
          <w:rFonts w:hint="default" w:ascii="仿宋_GB2312" w:hAnsi="仿宋" w:eastAsia="仿宋_GB2312" w:cs="仿宋"/>
          <w:color w:val="333333"/>
          <w:kern w:val="0"/>
          <w:sz w:val="32"/>
          <w:szCs w:val="32"/>
          <w:highlight w:val="none"/>
          <w:shd w:val="clear" w:color="auto" w:fill="FFFFFF"/>
          <w:lang w:val="en-US" w:eastAsia="zh-CN" w:bidi="ar-SA"/>
        </w:rPr>
        <w:t>内的经济、教育、科技、文化、卫生、体育事业和财政、民政、治安、人民调解、安全生产监督管理、移民开发、计划生育等行政工作；</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ightChars="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三</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保护社会主义的全民所有财产和劳动群众集体所有财产，保护公民私人所有的合法财产，维护社会秩序，保障公民的人身权利、民主权利和其他权利；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四</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保护各种经济组织的合法权益；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五</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贯彻执行党和国家的民族宗教政策，保障少数民族的权利和尊重少数民族的风俗习惯，尊重民族宗教信仰；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六</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保障宪法和法律赋予妇女的男女平等、婚姻自由等各项权利；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640" w:firstLineChars="200"/>
        <w:rPr>
          <w:rFonts w:hint="eastAsia" w:ascii="仿宋_GB2312" w:hAnsi="仿宋" w:eastAsia="仿宋_GB2312" w:cs="仿宋"/>
          <w:color w:val="333333"/>
          <w:kern w:val="0"/>
          <w:sz w:val="32"/>
          <w:szCs w:val="32"/>
          <w:highlight w:val="none"/>
          <w:shd w:val="clear" w:color="auto" w:fill="FFFFFF"/>
          <w:lang w:val="en-US" w:eastAsia="zh-CN" w:bidi="ar-SA"/>
        </w:rPr>
      </w:pPr>
      <w:r>
        <w:rPr>
          <w:rFonts w:ascii="仿宋_GB2312" w:hAnsi="仿宋_GB2312" w:eastAsia="仿宋_GB2312" w:cs="仿宋_GB2312"/>
          <w:color w:val="333333"/>
          <w:sz w:val="32"/>
          <w:szCs w:val="32"/>
          <w:highlight w:val="none"/>
          <w:shd w:val="clear" w:color="auto" w:fill="FFFFFF"/>
        </w:rPr>
        <w:t>（</w:t>
      </w:r>
      <w:r>
        <w:rPr>
          <w:rFonts w:hint="eastAsia" w:ascii="仿宋_GB2312" w:hAnsi="仿宋_GB2312" w:eastAsia="仿宋_GB2312" w:cs="仿宋_GB2312"/>
          <w:color w:val="333333"/>
          <w:sz w:val="32"/>
          <w:szCs w:val="32"/>
          <w:highlight w:val="none"/>
          <w:shd w:val="clear" w:color="auto" w:fill="FFFFFF"/>
          <w:lang w:val="en-US" w:eastAsia="zh-CN"/>
        </w:rPr>
        <w:t>七</w:t>
      </w:r>
      <w:r>
        <w:rPr>
          <w:rFonts w:ascii="仿宋_GB2312" w:hAnsi="仿宋_GB2312" w:eastAsia="仿宋_GB2312" w:cs="仿宋_GB2312"/>
          <w:color w:val="333333"/>
          <w:sz w:val="32"/>
          <w:szCs w:val="32"/>
          <w:highlight w:val="none"/>
          <w:shd w:val="clear" w:color="auto" w:fill="FFFFFF"/>
        </w:rPr>
        <w:t>）</w:t>
      </w:r>
      <w:r>
        <w:rPr>
          <w:rFonts w:hint="default" w:ascii="仿宋_GB2312" w:hAnsi="仿宋" w:eastAsia="仿宋_GB2312" w:cs="仿宋"/>
          <w:color w:val="333333"/>
          <w:kern w:val="0"/>
          <w:sz w:val="32"/>
          <w:szCs w:val="32"/>
          <w:highlight w:val="none"/>
          <w:shd w:val="clear" w:color="auto" w:fill="FFFFFF"/>
          <w:lang w:val="en-US" w:eastAsia="zh-CN" w:bidi="ar-SA"/>
        </w:rPr>
        <w:t>办理上级人民政府交办的其他事项。</w:t>
      </w:r>
      <w:bookmarkStart w:id="0" w:name="191384-202216-3"/>
      <w:bookmarkEnd w:id="0"/>
      <w:r>
        <w:rPr>
          <w:rFonts w:hint="eastAsia" w:ascii="仿宋_GB2312" w:hAnsi="仿宋" w:eastAsia="仿宋_GB2312" w:cs="仿宋"/>
          <w:color w:val="333333"/>
          <w:kern w:val="0"/>
          <w:sz w:val="32"/>
          <w:szCs w:val="32"/>
          <w:highlight w:val="none"/>
          <w:shd w:val="clear" w:color="auto" w:fill="FFFFFF"/>
          <w:lang w:val="en-US" w:eastAsia="zh-CN" w:bidi="ar-SA"/>
        </w:rPr>
        <w:fldChar w:fldCharType="begin"/>
      </w:r>
      <w:r>
        <w:rPr>
          <w:rFonts w:hint="eastAsia" w:ascii="仿宋_GB2312" w:hAnsi="仿宋" w:eastAsia="仿宋_GB2312" w:cs="仿宋"/>
          <w:color w:val="333333"/>
          <w:kern w:val="0"/>
          <w:sz w:val="32"/>
          <w:szCs w:val="32"/>
          <w:highlight w:val="none"/>
          <w:shd w:val="clear" w:color="auto" w:fill="FFFFFF"/>
          <w:lang w:val="en-US" w:eastAsia="zh-CN" w:bidi="ar-SA"/>
        </w:rPr>
        <w:instrText xml:space="preserve"> HYPERLINK "https://baike.so.com/create/edit/?eid=191384&amp;sid=202216&amp;secid=3" </w:instrText>
      </w:r>
      <w:r>
        <w:rPr>
          <w:rFonts w:hint="eastAsia" w:ascii="仿宋_GB2312" w:hAnsi="仿宋" w:eastAsia="仿宋_GB2312" w:cs="仿宋"/>
          <w:color w:val="333333"/>
          <w:kern w:val="0"/>
          <w:sz w:val="32"/>
          <w:szCs w:val="32"/>
          <w:highlight w:val="none"/>
          <w:shd w:val="clear" w:color="auto" w:fill="FFFFFF"/>
          <w:lang w:val="en-US" w:eastAsia="zh-CN" w:bidi="ar-SA"/>
        </w:rPr>
        <w:fldChar w:fldCharType="separate"/>
      </w:r>
      <w:r>
        <w:rPr>
          <w:rFonts w:hint="eastAsia" w:ascii="仿宋_GB2312" w:hAnsi="仿宋" w:eastAsia="仿宋_GB2312" w:cs="仿宋"/>
          <w:color w:val="333333"/>
          <w:kern w:val="0"/>
          <w:sz w:val="32"/>
          <w:szCs w:val="32"/>
          <w:highlight w:val="none"/>
          <w:shd w:val="clear" w:color="auto" w:fill="FFFFFF"/>
          <w:lang w:val="en-US" w:eastAsia="zh-CN" w:bidi="ar-SA"/>
        </w:rPr>
        <w:fldChar w:fldCharType="end"/>
      </w:r>
    </w:p>
    <w:p>
      <w:pPr>
        <w:rPr>
          <w:sz w:val="32"/>
          <w:szCs w:val="32"/>
        </w:rPr>
      </w:pPr>
    </w:p>
    <w:p>
      <w:pPr>
        <w:widowControl/>
        <w:spacing w:line="560" w:lineRule="exact"/>
        <w:ind w:firstLine="964" w:firstLineChars="300"/>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1、龙城区召都巴镇本级</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2、朝阳市第十八中学</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bookmarkStart w:id="1" w:name="_GoBack"/>
      <w:bookmarkEnd w:id="1"/>
      <w:r>
        <w:rPr>
          <w:rFonts w:hint="eastAsia" w:ascii="仿宋_GB2312" w:hAnsi="宋体" w:eastAsia="仿宋_GB2312" w:cs="宋体"/>
          <w:bCs/>
          <w:color w:val="333333"/>
          <w:kern w:val="0"/>
          <w:sz w:val="32"/>
          <w:szCs w:val="32"/>
          <w:shd w:val="clear" w:color="auto" w:fill="FFFFFF"/>
        </w:rPr>
        <w:t>3、朝阳市龙城区召都巴镇中心小学</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龙城区召都巴镇2022年部门预算情况说明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（一）收入预算2433.31万元，包括：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1.一般公共预算拨款收入2433.31万元；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（二）支出预算2433.31万元，包括：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1.基本支出2254.97万元；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2.项目支出178.34万元。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在支出预算2433.31万元中，债务支出0万元，政府采购支出0万元，政府购买服务支出0万元。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年增加390.31万元。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96.14万元。主要包括办公费10.8万元、邮电费2万元、差旅费1万元、电费6万元、公务用车运行维护费7万元、取暖费6万元、维护费5万元、劳务费21.48万元、工会经费16.4万元、其他交通费19.62万元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7万元，与上年持平。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公务用车运行费7万元，与上年持平。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3个，实际编制部门（单位）整体绩效目标共3个，编制部门（单位）整体绩效目标覆盖率（实际编制绩效目标的数量/应编制绩效目标的数量）为100%。应编制绩效目标的特定目标类项目共2个，实际编制绩效目标的特定目标类项目共 2个,涉及资金178.34万元，编制特定目标的项目覆盖率（实际编制绩效目标的数量/应编制绩效目标的数量）为100%。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5.一般公共服务（类）政府办公厅（室）及相关机构事务（款）行政运行（项）：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6.教育支出（类）普通教育（款）小学教育（项）：</w:t>
      </w:r>
      <w:r>
        <w:rPr>
          <w:rFonts w:hint="eastAsia" w:ascii="仿宋_GB2312" w:hAnsi="仿宋_GB2312" w:eastAsia="仿宋_GB2312" w:cs="仿宋_GB2312"/>
          <w:color w:val="333333"/>
          <w:kern w:val="0"/>
          <w:sz w:val="32"/>
          <w:szCs w:val="32"/>
          <w:shd w:val="clear" w:color="auto" w:fill="FFFFFF"/>
        </w:rPr>
        <w:t>（反映各部门举办的小学教育支出。政府各部门对社会组织等举办的小学的资助，如捐赠、补贴等，也在本科目中反映。）</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7.教育支出（类）普通教育（款）初中教育（项）：</w:t>
      </w:r>
      <w:r>
        <w:rPr>
          <w:rFonts w:hint="eastAsia" w:ascii="仿宋_GB2312" w:hAnsi="仿宋_GB2312" w:eastAsia="仿宋_GB2312" w:cs="仿宋_GB2312"/>
          <w:color w:val="333333"/>
          <w:kern w:val="0"/>
          <w:sz w:val="32"/>
          <w:szCs w:val="32"/>
          <w:shd w:val="clear" w:color="auto" w:fill="FFFFFF"/>
        </w:rPr>
        <w:t>（反映各部门举办的初中教育支出。政府各部门对社会组织等举办的小学的资助，如捐赠、补贴等，也在本科目中反映。）</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8.社会保障和就业（类）行政事业单位离退休（款）归口管理的行政单位离退休（项）：</w:t>
      </w:r>
      <w:r>
        <w:rPr>
          <w:rFonts w:hint="eastAsia" w:ascii="仿宋_GB2312" w:hAnsi="仿宋_GB2312" w:eastAsia="仿宋_GB2312" w:cs="仿宋_GB2312"/>
          <w:color w:val="333333"/>
          <w:kern w:val="0"/>
          <w:sz w:val="32"/>
          <w:szCs w:val="32"/>
          <w:shd w:val="clear" w:color="auto" w:fill="FFFFFF"/>
        </w:rPr>
        <w:t xml:space="preserve">（反映行政单位（包括实行公务员管理的事业单位）开支的离退休经费）     </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9.社会保障和就业（类）行政事业单位离退休（款）事业单位离退休（项）：</w:t>
      </w:r>
      <w:r>
        <w:rPr>
          <w:rFonts w:hint="eastAsia" w:ascii="仿宋_GB2312" w:hAnsi="仿宋_GB2312" w:eastAsia="仿宋_GB2312" w:cs="仿宋_GB2312"/>
          <w:color w:val="333333"/>
          <w:kern w:val="0"/>
          <w:sz w:val="32"/>
          <w:szCs w:val="32"/>
          <w:shd w:val="clear" w:color="auto" w:fill="FFFFFF"/>
        </w:rPr>
        <w:t>（反映事业单位开支的离退休经费）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10.社会保障和就业（类）行政事业单位离退休（款）机关事业单位基本养老保险缴费支出（项）：</w:t>
      </w: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11.社会保障和就业（类）行政事业单位离退休（款）机关事业单位职业年金缴费支出（项）：</w:t>
      </w:r>
      <w:r>
        <w:rPr>
          <w:rFonts w:hint="eastAsia" w:ascii="仿宋_GB2312" w:hAnsi="仿宋_GB2312" w:eastAsia="仿宋_GB2312" w:cs="仿宋_GB2312"/>
          <w:color w:val="333333"/>
          <w:kern w:val="0"/>
          <w:sz w:val="32"/>
          <w:szCs w:val="32"/>
          <w:shd w:val="clear" w:color="auto" w:fill="FFFFFF"/>
        </w:rPr>
        <w:t>（反映机关事业单位实施养老保险制度由单位实际缴纳的职业年金支出）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12.卫生健康（类）行政事业单位医疗（款）行政单位医疗（项）：</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13.卫生健康（类）行政事业单位医疗（款）事业单位医疗（项）：</w:t>
      </w:r>
      <w:r>
        <w:rPr>
          <w:rFonts w:hint="eastAsia" w:ascii="仿宋_GB2312" w:hAnsi="仿宋_GB2312" w:eastAsia="仿宋_GB2312" w:cs="仿宋_GB2312"/>
          <w:color w:val="333333"/>
          <w:kern w:val="0"/>
          <w:sz w:val="32"/>
          <w:szCs w:val="32"/>
          <w:shd w:val="clear" w:color="auto" w:fill="FFFFFF"/>
        </w:rPr>
        <w:t>（反映财政部门安排的事业单位基本医疗保险缴费经费，未参加医疗保险的事业单位的公费医疗经费，按国家规定享受离休人员的医疗经费）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14.农林水（类）农村综合改革（款）对村民委员会和村党支部的补助（项）：</w:t>
      </w:r>
      <w:r>
        <w:rPr>
          <w:rFonts w:hint="eastAsia" w:ascii="仿宋_GB2312" w:hAnsi="仿宋_GB2312" w:eastAsia="仿宋_GB2312" w:cs="仿宋_GB2312"/>
          <w:color w:val="333333"/>
          <w:kern w:val="0"/>
          <w:sz w:val="32"/>
          <w:szCs w:val="32"/>
          <w:shd w:val="clear" w:color="auto" w:fill="FFFFFF"/>
        </w:rPr>
        <w:t>（反映各级财政对村民委员会和村党支部的补助支出，以及支持建立县级基本财力保障机制安排的村级组织运转奖补资金）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15.农林水（类）农村综合改革（款）农村综合改革示范试点补助（项）：</w:t>
      </w:r>
      <w:r>
        <w:rPr>
          <w:rFonts w:hint="eastAsia" w:ascii="仿宋_GB2312" w:hAnsi="仿宋_GB2312" w:eastAsia="仿宋_GB2312" w:cs="仿宋_GB2312"/>
          <w:color w:val="333333"/>
          <w:kern w:val="0"/>
          <w:sz w:val="32"/>
          <w:szCs w:val="32"/>
          <w:shd w:val="clear" w:color="auto" w:fill="FFFFFF"/>
        </w:rPr>
        <w:t>（反映各级财政对农村综合改革示范试点、新型农业社会化服务体系建设等补助支出）</w:t>
      </w:r>
    </w:p>
    <w:p>
      <w:pPr>
        <w:spacing w:line="620" w:lineRule="exact"/>
        <w:ind w:firstLine="640" w:firstLineChars="200"/>
        <w:jc w:val="left"/>
        <w:rPr>
          <w:rFonts w:ascii="仿宋_GB2312" w:hAnsi="仿宋_GB2312" w:eastAsia="仿宋_GB2312" w:cs="仿宋_GB2312"/>
          <w:color w:val="333333"/>
          <w:kern w:val="0"/>
          <w:sz w:val="32"/>
          <w:szCs w:val="32"/>
          <w:shd w:val="clear" w:color="auto" w:fill="FFFFFF"/>
        </w:rPr>
      </w:pPr>
    </w:p>
    <w:p>
      <w:pPr>
        <w:spacing w:line="620" w:lineRule="exact"/>
        <w:ind w:firstLine="640" w:firstLineChars="200"/>
        <w:jc w:val="left"/>
        <w:rPr>
          <w:rFonts w:ascii="仿宋_GB2312" w:hAnsi="仿宋_GB2312" w:eastAsia="仿宋_GB2312" w:cs="仿宋_GB2312"/>
          <w:color w:val="333333"/>
          <w:kern w:val="0"/>
          <w:sz w:val="32"/>
          <w:szCs w:val="32"/>
          <w:shd w:val="clear" w:color="auto" w:fill="FFFFFF"/>
        </w:rPr>
      </w:pPr>
    </w:p>
    <w:p>
      <w:pPr>
        <w:spacing w:line="620" w:lineRule="exact"/>
        <w:ind w:firstLine="643" w:firstLineChars="200"/>
        <w:jc w:val="left"/>
        <w:rPr>
          <w:rFonts w:ascii="仿宋_GB2312" w:hAnsi="仿宋_GB2312" w:eastAsia="仿宋_GB2312" w:cs="仿宋_GB2312"/>
          <w:b/>
          <w:bCs/>
          <w:color w:val="333333"/>
          <w:kern w:val="0"/>
          <w:sz w:val="32"/>
          <w:szCs w:val="32"/>
          <w:shd w:val="clear" w:color="auto" w:fill="FFFFFF"/>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16.住房保障（类）住房改革（款）住房公积金（项）：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w:t>
      </w:r>
      <w:r>
        <w:rPr>
          <w:rFonts w:hint="eastAsia" w:ascii="黑体" w:hAnsi="黑体" w:eastAsia="黑体" w:cs="宋体"/>
          <w:color w:val="333333"/>
          <w:kern w:val="0"/>
          <w:sz w:val="36"/>
          <w:szCs w:val="36"/>
          <w:highlight w:val="none"/>
        </w:rPr>
        <w:t>龙城区</w:t>
      </w:r>
      <w:r>
        <w:rPr>
          <w:rFonts w:hint="eastAsia" w:ascii="黑体" w:hAnsi="黑体" w:eastAsia="黑体" w:cs="宋体"/>
          <w:color w:val="333333"/>
          <w:kern w:val="0"/>
          <w:sz w:val="36"/>
          <w:szCs w:val="36"/>
          <w:highlight w:val="none"/>
          <w:lang w:val="en-US" w:eastAsia="zh-CN"/>
        </w:rPr>
        <w:t>召都巴镇</w:t>
      </w:r>
      <w:r>
        <w:rPr>
          <w:rFonts w:hint="eastAsia" w:ascii="黑体" w:hAnsi="黑体" w:eastAsia="黑体" w:cs="宋体"/>
          <w:color w:val="333333"/>
          <w:kern w:val="0"/>
          <w:sz w:val="36"/>
          <w:szCs w:val="36"/>
          <w:highlight w:val="none"/>
        </w:rPr>
        <w:t>部门</w:t>
      </w:r>
      <w:r>
        <w:rPr>
          <w:rFonts w:hint="eastAsia" w:ascii="黑体" w:hAnsi="黑体" w:eastAsia="黑体" w:cs="宋体"/>
          <w:color w:val="333333"/>
          <w:kern w:val="0"/>
          <w:sz w:val="36"/>
          <w:szCs w:val="36"/>
        </w:rPr>
        <w:t>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w:t>
      </w:r>
      <w:r>
        <w:rPr>
          <w:rFonts w:hint="eastAsia" w:ascii="仿宋_GB2312" w:hAnsi="宋体" w:eastAsia="仿宋_GB2312" w:cs="宋体"/>
          <w:color w:val="333333"/>
          <w:kern w:val="0"/>
          <w:sz w:val="32"/>
          <w:szCs w:val="32"/>
          <w:highlight w:val="none"/>
        </w:rPr>
        <w:t>区</w:t>
      </w:r>
      <w:r>
        <w:rPr>
          <w:rFonts w:hint="eastAsia" w:ascii="仿宋_GB2312" w:hAnsi="宋体" w:eastAsia="仿宋_GB2312" w:cs="宋体"/>
          <w:color w:val="333333"/>
          <w:kern w:val="0"/>
          <w:sz w:val="32"/>
          <w:szCs w:val="32"/>
          <w:highlight w:val="none"/>
          <w:lang w:val="en-US" w:eastAsia="zh-CN"/>
        </w:rPr>
        <w:t>召都巴镇</w:t>
      </w:r>
      <w:r>
        <w:rPr>
          <w:rFonts w:hint="eastAsia" w:ascii="仿宋_GB2312" w:hAnsi="宋体" w:eastAsia="仿宋_GB2312" w:cs="宋体"/>
          <w:color w:val="333333"/>
          <w:kern w:val="0"/>
          <w:sz w:val="32"/>
          <w:szCs w:val="32"/>
        </w:rPr>
        <w:t>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A5B86"/>
    <w:multiLevelType w:val="singleLevel"/>
    <w:tmpl w:val="2BBA5B86"/>
    <w:lvl w:ilvl="0" w:tentative="0">
      <w:start w:val="1"/>
      <w:numFmt w:val="chineseCounting"/>
      <w:suff w:val="nothing"/>
      <w:lvlText w:val="（%1）"/>
      <w:lvlJc w:val="left"/>
      <w:rPr>
        <w:rFonts w:hint="eastAsia"/>
      </w:rPr>
    </w:lvl>
  </w:abstractNum>
  <w:abstractNum w:abstractNumId="1">
    <w:nsid w:val="65DDBB29"/>
    <w:multiLevelType w:val="singleLevel"/>
    <w:tmpl w:val="65DDBB29"/>
    <w:lvl w:ilvl="0" w:tentative="0">
      <w:start w:val="1"/>
      <w:numFmt w:val="chineseCounting"/>
      <w:suff w:val="nothing"/>
      <w:lvlText w:val="%1、"/>
      <w:lvlJc w:val="left"/>
      <w:pPr>
        <w:ind w:left="1062"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A4E03"/>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A7EDA"/>
    <w:rsid w:val="002B4F24"/>
    <w:rsid w:val="002E4F38"/>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51E77"/>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5645DD5"/>
    <w:rsid w:val="09073B05"/>
    <w:rsid w:val="0B9E7266"/>
    <w:rsid w:val="0FF03899"/>
    <w:rsid w:val="11963E18"/>
    <w:rsid w:val="13CA7A8D"/>
    <w:rsid w:val="16322361"/>
    <w:rsid w:val="197C38F4"/>
    <w:rsid w:val="1B965141"/>
    <w:rsid w:val="1D11562F"/>
    <w:rsid w:val="22605370"/>
    <w:rsid w:val="23446E27"/>
    <w:rsid w:val="2D542766"/>
    <w:rsid w:val="2E045F3A"/>
    <w:rsid w:val="35FE3BB6"/>
    <w:rsid w:val="3C6077A7"/>
    <w:rsid w:val="3D96419F"/>
    <w:rsid w:val="3ECB6600"/>
    <w:rsid w:val="4445276E"/>
    <w:rsid w:val="449270B1"/>
    <w:rsid w:val="4ABA3F7E"/>
    <w:rsid w:val="4B083509"/>
    <w:rsid w:val="54EF75C1"/>
    <w:rsid w:val="56F72230"/>
    <w:rsid w:val="585B665C"/>
    <w:rsid w:val="604B01CA"/>
    <w:rsid w:val="62147D91"/>
    <w:rsid w:val="65C63716"/>
    <w:rsid w:val="6E5B298D"/>
    <w:rsid w:val="701F4FF2"/>
    <w:rsid w:val="723B31C2"/>
    <w:rsid w:val="775D17E4"/>
    <w:rsid w:val="79615874"/>
    <w:rsid w:val="7D0C307E"/>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443</Words>
  <Characters>2527</Characters>
  <Lines>21</Lines>
  <Paragraphs>5</Paragraphs>
  <TotalTime>2</TotalTime>
  <ScaleCrop>false</ScaleCrop>
  <LinksUpToDate>false</LinksUpToDate>
  <CharactersWithSpaces>2965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2022-01-06T02:11:00Z</cp:lastPrinted>
  <dcterms:modified xsi:type="dcterms:W3CDTF">2022-01-12T01:21:56Z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