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41"/>
      <w:bookmarkStart w:id="1" w:name="bookmark39"/>
      <w:bookmarkStart w:id="2" w:name="bookmark4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  <w:bookmarkStart w:id="4" w:name="_GoBack"/>
      <w:bookmarkEnd w:id="4"/>
    </w:p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高新区新供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工业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用地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zh-CN" w:eastAsia="zh-CN" w:bidi="zh-CN"/>
        </w:rPr>
        <w:t>“标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准地”控制性标准</w:t>
      </w:r>
      <w:bookmarkEnd w:id="0"/>
    </w:p>
    <w:p>
      <w:pPr>
        <w:pStyle w:val="4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3" w:name="bookmark42"/>
      <w:r>
        <w:rPr>
          <w:rFonts w:hint="eastAsia" w:asciiTheme="majorEastAsia" w:hAnsiTheme="majorEastAsia" w:eastAsiaTheme="majorEastAsia" w:cstheme="majorEastAsia"/>
          <w:sz w:val="44"/>
          <w:szCs w:val="44"/>
        </w:rPr>
        <w:t>（能耗指标）</w:t>
      </w:r>
      <w:bookmarkEnd w:id="1"/>
      <w:bookmarkEnd w:id="2"/>
      <w:bookmarkEnd w:id="3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《辽宁省能耗限额指导目录（2015年本）》（以下简称《目录》）作为我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目前节能监察机构依法监督检查的执行标准，相关用能单位可依此进行对标管理。《目录》中包括了 12个行业 的262种重点耗能产品（工序）的能耗指标；其中，强制性限额的有132种，详见《辽宁省重点行业重点产品（工序）能耗限额》。《目录》随国家有关产业政策适时调整。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18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3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备注：本指标由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龙城区</w:t>
      </w:r>
      <w:r>
        <w:rPr>
          <w:rFonts w:hint="eastAsia" w:ascii="仿宋" w:hAnsi="仿宋" w:eastAsia="仿宋" w:cs="仿宋"/>
          <w:sz w:val="32"/>
          <w:szCs w:val="32"/>
        </w:rPr>
        <w:t>工业和信息化局提供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587" w:right="1417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15C84"/>
    <w:rsid w:val="0D615C84"/>
    <w:rsid w:val="419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280" w:line="706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2023-10-09T02:55:00Z</dcterms:created>
  <dc:creator>Administrator</dc:creator>
  <cp:lastModifiedBy>Administrator</cp:lastModifiedBy>
  <dcterms:modified xsi:type="dcterms:W3CDTF">2023-10-09T03:19:38Z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