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FF0000"/>
          <w:sz w:val="72"/>
        </w:rPr>
      </w:pPr>
    </w:p>
    <w:p>
      <w:pPr>
        <w:rPr>
          <w:rFonts w:ascii="仿宋" w:hAnsi="仿宋" w:eastAsia="仿宋" w:cs="仿宋"/>
          <w:sz w:val="72"/>
        </w:rPr>
      </w:pPr>
    </w:p>
    <w:p>
      <w:pPr>
        <w:adjustRightInd w:val="0"/>
        <w:snapToGrid w:val="0"/>
        <w:spacing w:line="360" w:lineRule="auto"/>
        <w:jc w:val="center"/>
        <w:rPr>
          <w:rFonts w:ascii="仿宋" w:hAnsi="仿宋" w:eastAsia="仿宋" w:cs="仿宋"/>
          <w:b/>
          <w:bCs/>
          <w:sz w:val="48"/>
          <w:szCs w:val="48"/>
        </w:rPr>
      </w:pPr>
    </w:p>
    <w:p>
      <w:pPr>
        <w:adjustRightInd w:val="0"/>
        <w:snapToGrid w:val="0"/>
        <w:spacing w:line="360" w:lineRule="auto"/>
        <w:jc w:val="center"/>
        <w:rPr>
          <w:rFonts w:ascii="仿宋" w:hAnsi="仿宋" w:eastAsia="仿宋" w:cs="仿宋"/>
          <w:b/>
          <w:bCs/>
          <w:sz w:val="48"/>
          <w:szCs w:val="48"/>
        </w:rPr>
      </w:pPr>
      <w:r>
        <w:rPr>
          <w:rFonts w:hint="eastAsia" w:ascii="仿宋" w:hAnsi="仿宋" w:eastAsia="仿宋" w:cs="仿宋"/>
          <w:b/>
          <w:bCs/>
          <w:sz w:val="48"/>
          <w:szCs w:val="48"/>
        </w:rPr>
        <w:t>朝阳市龙城区水环境综合整治与生态产业开发EOD项目市场测试</w:t>
      </w:r>
    </w:p>
    <w:p>
      <w:pPr>
        <w:jc w:val="center"/>
        <w:rPr>
          <w:rFonts w:ascii="仿宋" w:hAnsi="仿宋" w:eastAsia="仿宋" w:cs="仿宋"/>
          <w:sz w:val="72"/>
        </w:rPr>
      </w:pPr>
    </w:p>
    <w:p>
      <w:pPr>
        <w:jc w:val="center"/>
        <w:rPr>
          <w:rFonts w:ascii="仿宋" w:hAnsi="仿宋" w:eastAsia="仿宋" w:cs="仿宋"/>
          <w:sz w:val="72"/>
        </w:rPr>
      </w:pPr>
    </w:p>
    <w:p>
      <w:pPr>
        <w:jc w:val="center"/>
        <w:rPr>
          <w:rFonts w:ascii="仿宋" w:hAnsi="仿宋" w:eastAsia="仿宋" w:cs="仿宋"/>
          <w:sz w:val="72"/>
        </w:rPr>
      </w:pPr>
    </w:p>
    <w:p>
      <w:pPr>
        <w:jc w:val="center"/>
        <w:rPr>
          <w:rFonts w:ascii="仿宋" w:hAnsi="仿宋" w:eastAsia="仿宋" w:cs="仿宋"/>
          <w:sz w:val="72"/>
        </w:rPr>
      </w:pPr>
    </w:p>
    <w:p>
      <w:pPr>
        <w:jc w:val="center"/>
        <w:rPr>
          <w:rFonts w:ascii="仿宋" w:hAnsi="仿宋" w:eastAsia="仿宋" w:cs="仿宋"/>
          <w:bCs/>
          <w:sz w:val="36"/>
          <w:szCs w:val="36"/>
        </w:rPr>
      </w:pPr>
      <w:r>
        <w:rPr>
          <w:rFonts w:hint="eastAsia" w:ascii="仿宋" w:hAnsi="仿宋" w:eastAsia="仿宋" w:cs="仿宋"/>
          <w:bCs/>
          <w:sz w:val="36"/>
          <w:szCs w:val="36"/>
        </w:rPr>
        <w:t>朝阳市龙城区人民政府</w:t>
      </w:r>
    </w:p>
    <w:p>
      <w:pPr>
        <w:jc w:val="center"/>
        <w:rPr>
          <w:rFonts w:ascii="仿宋" w:hAnsi="仿宋" w:eastAsia="仿宋" w:cs="仿宋"/>
          <w:bCs/>
          <w:sz w:val="36"/>
          <w:szCs w:val="36"/>
        </w:rPr>
      </w:pPr>
      <w:r>
        <w:rPr>
          <w:rFonts w:hint="eastAsia" w:ascii="仿宋" w:hAnsi="仿宋" w:eastAsia="仿宋" w:cs="仿宋"/>
          <w:bCs/>
          <w:sz w:val="36"/>
          <w:szCs w:val="36"/>
        </w:rPr>
        <w:t>二〇二四年四月</w:t>
      </w:r>
    </w:p>
    <w:p>
      <w:pPr>
        <w:rPr>
          <w:rFonts w:ascii="仿宋" w:hAnsi="仿宋" w:eastAsia="仿宋" w:cs="仿宋"/>
          <w:b/>
          <w:color w:val="FF0000"/>
          <w:sz w:val="36"/>
          <w:szCs w:val="36"/>
        </w:rPr>
        <w:sectPr>
          <w:headerReference r:id="rId3" w:type="default"/>
          <w:pgSz w:w="11906" w:h="16838"/>
          <w:pgMar w:top="1440" w:right="1644" w:bottom="1440" w:left="1644" w:header="851" w:footer="992" w:gutter="0"/>
          <w:pgNumType w:start="1"/>
          <w:cols w:space="425" w:num="1"/>
          <w:docGrid w:type="lines" w:linePitch="312" w:charSpace="0"/>
        </w:sectPr>
      </w:pPr>
    </w:p>
    <w:p>
      <w:pPr>
        <w:spacing w:after="112" w:line="619" w:lineRule="exact"/>
        <w:jc w:val="center"/>
        <w:outlineLvl w:val="0"/>
        <w:rPr>
          <w:rFonts w:ascii="仿宋" w:hAnsi="仿宋" w:eastAsia="仿宋" w:cs="仿宋"/>
          <w:b/>
          <w:sz w:val="32"/>
          <w:szCs w:val="32"/>
        </w:rPr>
      </w:pPr>
      <w:r>
        <w:rPr>
          <w:rFonts w:hint="eastAsia" w:ascii="仿宋" w:hAnsi="仿宋" w:eastAsia="仿宋" w:cs="仿宋"/>
          <w:b/>
          <w:sz w:val="32"/>
          <w:szCs w:val="32"/>
        </w:rPr>
        <w:t>一、说明</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致潜在意向市场主体：</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朝阳市龙城区人民政府（以下简称“区政府”）决定采用生态环境导向的开发模式（EOD模式）实施“朝阳市龙城区水环境综合整治与生态产业开发EOD项目”（以下简称“朝阳EOD项目”），依据《生态环境导向的开发（EOD）项目实施导则（试行）》（环办科财〔2023〕22号）要求，为进一步加快EOD项目的实施进度，明确潜在意向市场主体投资合作意向，了解潜在意向市场主体合作条件，保证项目可以获得充分响应，特对潜在意向市场主体合作意向及条件进行征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声明：</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1、本次调查并非正式采购程序的组成部分，不作为政府方的任何承诺。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2、本次调查仅作为政府决策的参考，调查提供的方案信息仍可能进一步修改，对各方均不具有约束力。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3、无论潜在意向市场主体是否参加征集，在后续环节将得到同等的对待。</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请潜在融资机构在2024年4月</w:t>
      </w:r>
      <w:r>
        <w:rPr>
          <w:rFonts w:hint="eastAsia" w:ascii="仿宋" w:hAnsi="仿宋" w:eastAsia="仿宋" w:cs="仿宋"/>
          <w:sz w:val="28"/>
          <w:szCs w:val="28"/>
          <w:lang w:val="en-US" w:eastAsia="zh-CN"/>
        </w:rPr>
        <w:t>19</w:t>
      </w:r>
      <w:r>
        <w:rPr>
          <w:rFonts w:hint="eastAsia" w:ascii="仿宋" w:hAnsi="仿宋" w:eastAsia="仿宋" w:cs="仿宋"/>
          <w:sz w:val="28"/>
          <w:szCs w:val="28"/>
        </w:rPr>
        <w:t>日</w:t>
      </w:r>
      <w:r>
        <w:rPr>
          <w:rFonts w:hint="eastAsia" w:ascii="仿宋" w:hAnsi="仿宋" w:eastAsia="仿宋" w:cs="仿宋"/>
          <w:sz w:val="28"/>
          <w:szCs w:val="28"/>
          <w:lang w:val="en-US" w:eastAsia="zh-CN"/>
        </w:rPr>
        <w:t>9</w:t>
      </w:r>
      <w:r>
        <w:rPr>
          <w:rFonts w:hint="eastAsia" w:ascii="仿宋" w:hAnsi="仿宋" w:eastAsia="仿宋" w:cs="仿宋"/>
          <w:sz w:val="28"/>
          <w:szCs w:val="28"/>
        </w:rPr>
        <w:t>时前以PDF格式将加盖公章的相关反馈文件发送至下列指定邮箱：</w:t>
      </w:r>
    </w:p>
    <w:p>
      <w:pPr>
        <w:adjustRightInd w:val="0"/>
        <w:snapToGrid w:val="0"/>
        <w:spacing w:line="360" w:lineRule="auto"/>
        <w:ind w:firstLine="560" w:firstLineChars="200"/>
        <w:rPr>
          <w:rFonts w:hint="eastAsia" w:ascii="仿宋" w:hAnsi="仿宋" w:eastAsia="仿宋" w:cs="仿宋"/>
          <w:sz w:val="28"/>
          <w:szCs w:val="28"/>
        </w:rPr>
      </w:pPr>
      <w:bookmarkStart w:id="0" w:name="_GoBack"/>
      <w:r>
        <w:rPr>
          <w:rFonts w:hint="eastAsia" w:ascii="仿宋" w:hAnsi="仿宋" w:eastAsia="仿宋" w:cs="仿宋"/>
          <w:sz w:val="28"/>
          <w:szCs w:val="28"/>
        </w:rPr>
        <w:t>联系方式：0421-3898803</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联系邮箱：longchenghuanbao@163.com</w:t>
      </w:r>
    </w:p>
    <w:bookmarkEnd w:id="0"/>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反馈信息须标明单位名称、联系人、联系方式等基本信息。</w:t>
      </w:r>
    </w:p>
    <w:p>
      <w:pPr>
        <w:adjustRightInd w:val="0"/>
        <w:snapToGrid w:val="0"/>
        <w:spacing w:line="360" w:lineRule="auto"/>
        <w:ind w:firstLine="562" w:firstLineChars="200"/>
        <w:rPr>
          <w:rFonts w:ascii="仿宋" w:hAnsi="仿宋" w:eastAsia="仿宋" w:cs="仿宋"/>
          <w:b/>
          <w:color w:val="FF0000"/>
          <w:sz w:val="28"/>
          <w:szCs w:val="28"/>
        </w:rPr>
      </w:pPr>
    </w:p>
    <w:p>
      <w:pPr>
        <w:widowControl/>
        <w:jc w:val="left"/>
        <w:rPr>
          <w:rFonts w:ascii="仿宋" w:hAnsi="仿宋" w:eastAsia="仿宋" w:cs="仿宋"/>
          <w:color w:val="FF0000"/>
          <w:sz w:val="28"/>
          <w:szCs w:val="28"/>
        </w:rPr>
      </w:pPr>
      <w:r>
        <w:rPr>
          <w:rFonts w:hint="eastAsia" w:ascii="仿宋" w:hAnsi="仿宋" w:eastAsia="仿宋" w:cs="仿宋"/>
          <w:color w:val="FF0000"/>
          <w:sz w:val="28"/>
          <w:szCs w:val="28"/>
        </w:rPr>
        <w:br w:type="page"/>
      </w:r>
    </w:p>
    <w:p>
      <w:pPr>
        <w:spacing w:after="112" w:line="619" w:lineRule="exact"/>
        <w:jc w:val="center"/>
        <w:outlineLvl w:val="0"/>
        <w:rPr>
          <w:rFonts w:ascii="仿宋" w:hAnsi="仿宋" w:eastAsia="仿宋" w:cs="仿宋"/>
          <w:b/>
          <w:sz w:val="32"/>
          <w:szCs w:val="32"/>
        </w:rPr>
      </w:pPr>
      <w:r>
        <w:rPr>
          <w:rFonts w:hint="eastAsia" w:ascii="仿宋" w:hAnsi="仿宋" w:eastAsia="仿宋" w:cs="仿宋"/>
          <w:b/>
          <w:sz w:val="32"/>
          <w:szCs w:val="32"/>
        </w:rPr>
        <w:t>二、项目简介</w:t>
      </w:r>
    </w:p>
    <w:p>
      <w:pPr>
        <w:tabs>
          <w:tab w:val="left" w:pos="1418"/>
        </w:tabs>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1、项目建设地点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本项目位于朝阳市龙城区。</w:t>
      </w:r>
    </w:p>
    <w:p>
      <w:pPr>
        <w:tabs>
          <w:tab w:val="left" w:pos="1418"/>
        </w:tabs>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2、项目建设内容及总投资规模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本项目总投资约20.78亿元（暂定），其中工程费14.92亿元，工程建设其他费（包含土地费）3.37亿元，预备费1.46亿元，建设期利息0.92亿元，流动资金0.10亿元。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项目主要建设内容由生态治理项目及生态产业类项目两部分组成：</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（1）生态治理项目包含：</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1）环城河水环境综合治理项目，投资约3.95亿元（暂定）；</w:t>
      </w: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本项目分为水泉沟水库环境综合治理、环城河沿河水生态环境治理两大区域。其中，水泉沟水库面积约9万m</w:t>
      </w:r>
      <w:r>
        <w:rPr>
          <w:rFonts w:ascii="仿宋" w:hAnsi="仿宋" w:eastAsia="仿宋" w:cs="仿宋"/>
          <w:sz w:val="28"/>
          <w:szCs w:val="28"/>
          <w:vertAlign w:val="superscript"/>
        </w:rPr>
        <w:t>2</w:t>
      </w:r>
      <w:r>
        <w:rPr>
          <w:rFonts w:ascii="仿宋" w:hAnsi="仿宋" w:eastAsia="仿宋" w:cs="仿宋"/>
          <w:sz w:val="28"/>
          <w:szCs w:val="28"/>
        </w:rPr>
        <w:t>；环城河治理段从关东非遗传承小镇至十家子河入河口，总长约8.6km。</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①</w:t>
      </w:r>
      <w:r>
        <w:rPr>
          <w:rFonts w:ascii="仿宋" w:hAnsi="仿宋" w:eastAsia="仿宋" w:cs="仿宋"/>
          <w:sz w:val="28"/>
          <w:szCs w:val="28"/>
        </w:rPr>
        <w:t>水体及河滨缓冲带生态修复：河道疏浚工程范围为环城河水泉沟水库至十家子河段，垃圾清运6.2万m</w:t>
      </w:r>
      <w:r>
        <w:rPr>
          <w:rFonts w:ascii="仿宋" w:hAnsi="仿宋" w:eastAsia="仿宋" w:cs="仿宋"/>
          <w:sz w:val="28"/>
          <w:szCs w:val="28"/>
          <w:vertAlign w:val="superscript"/>
        </w:rPr>
        <w:t>2</w:t>
      </w:r>
      <w:r>
        <w:rPr>
          <w:rFonts w:ascii="仿宋" w:hAnsi="仿宋" w:eastAsia="仿宋" w:cs="仿宋"/>
          <w:sz w:val="28"/>
          <w:szCs w:val="28"/>
        </w:rPr>
        <w:t>；环城河生态修复工程总面积49.83万m</w:t>
      </w:r>
      <w:r>
        <w:rPr>
          <w:rFonts w:ascii="仿宋" w:hAnsi="仿宋" w:eastAsia="仿宋" w:cs="仿宋"/>
          <w:sz w:val="28"/>
          <w:szCs w:val="28"/>
          <w:vertAlign w:val="superscript"/>
        </w:rPr>
        <w:t>2</w:t>
      </w:r>
      <w:r>
        <w:rPr>
          <w:rFonts w:ascii="仿宋" w:hAnsi="仿宋" w:eastAsia="仿宋" w:cs="仿宋"/>
          <w:sz w:val="28"/>
          <w:szCs w:val="28"/>
        </w:rPr>
        <w:t>，其中水体面积5.23万m</w:t>
      </w:r>
      <w:r>
        <w:rPr>
          <w:rFonts w:ascii="仿宋" w:hAnsi="仿宋" w:eastAsia="仿宋" w:cs="仿宋"/>
          <w:sz w:val="28"/>
          <w:szCs w:val="28"/>
          <w:vertAlign w:val="superscript"/>
        </w:rPr>
        <w:t>2</w:t>
      </w:r>
      <w:r>
        <w:rPr>
          <w:rFonts w:ascii="仿宋" w:hAnsi="仿宋" w:eastAsia="仿宋" w:cs="仿宋"/>
          <w:sz w:val="28"/>
          <w:szCs w:val="28"/>
        </w:rPr>
        <w:t>，陆地生态修复及绿廊面积44.6万m</w:t>
      </w:r>
      <w:r>
        <w:rPr>
          <w:rFonts w:ascii="仿宋" w:hAnsi="仿宋" w:eastAsia="仿宋" w:cs="仿宋"/>
          <w:sz w:val="28"/>
          <w:szCs w:val="28"/>
          <w:vertAlign w:val="superscript"/>
        </w:rPr>
        <w:t>2</w:t>
      </w:r>
      <w:r>
        <w:rPr>
          <w:rFonts w:ascii="仿宋" w:hAnsi="仿宋" w:eastAsia="仿宋" w:cs="仿宋"/>
          <w:sz w:val="28"/>
          <w:szCs w:val="28"/>
        </w:rPr>
        <w:t>；沿河堤防治理范围由上游文明路至下游西部截洪沟与十家子河入口处，治理长度4522m。</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②</w:t>
      </w:r>
      <w:r>
        <w:rPr>
          <w:rFonts w:ascii="仿宋" w:hAnsi="仿宋" w:eastAsia="仿宋" w:cs="仿宋"/>
          <w:sz w:val="28"/>
          <w:szCs w:val="28"/>
        </w:rPr>
        <w:t>生态基流保障工程：根据朝阳市中心城区污水处理中水回用主干管网工程设计铺设水泉沟区——下河首村，管道总长3.27km。环城河水体防渗工程7.36万m</w:t>
      </w:r>
      <w:r>
        <w:rPr>
          <w:rFonts w:ascii="仿宋" w:hAnsi="仿宋" w:eastAsia="仿宋" w:cs="仿宋"/>
          <w:sz w:val="28"/>
          <w:szCs w:val="28"/>
          <w:vertAlign w:val="superscript"/>
        </w:rPr>
        <w:t>2</w:t>
      </w:r>
      <w:r>
        <w:rPr>
          <w:rFonts w:ascii="仿宋" w:hAnsi="仿宋" w:eastAsia="仿宋" w:cs="仿宋"/>
          <w:sz w:val="28"/>
          <w:szCs w:val="28"/>
        </w:rPr>
        <w:t>，库区湖盆防渗面积9万m</w:t>
      </w:r>
      <w:r>
        <w:rPr>
          <w:rFonts w:ascii="仿宋" w:hAnsi="仿宋" w:eastAsia="仿宋" w:cs="仿宋"/>
          <w:sz w:val="28"/>
          <w:szCs w:val="28"/>
          <w:vertAlign w:val="superscript"/>
        </w:rPr>
        <w:t>2</w:t>
      </w:r>
      <w:r>
        <w:rPr>
          <w:rFonts w:ascii="仿宋" w:hAnsi="仿宋" w:eastAsia="仿宋" w:cs="仿宋"/>
          <w:sz w:val="28"/>
          <w:szCs w:val="28"/>
        </w:rPr>
        <w:t>，并完善库岸绿化防护带。</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③</w:t>
      </w:r>
      <w:r>
        <w:rPr>
          <w:rFonts w:ascii="仿宋" w:hAnsi="仿宋" w:eastAsia="仿宋" w:cs="仿宋"/>
          <w:sz w:val="28"/>
          <w:szCs w:val="28"/>
        </w:rPr>
        <w:t>外源污染控制工程：配套沿河道路（龙安大街西街、龙安大街东街）建设雨水、市政给水、排水管线，其中新建雨水管线3634 m，新建污水管5412.6 m，新建给水管3917 m，拆除已丧失功能的排渣管线3600m。</w:t>
      </w: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（2）生态产业类项目包括：</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1）中华花鸟源文化创意旅游综合体项目，投资约5.66亿元（暂定）；</w:t>
      </w: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项目建设内容主要包括：中华花鸟源文化创意综合体（A区陆乐园区），其中包含白垩纪小镇、史前寻梦主题乐园、石破惊天陆地乐园、游客服务中心；中华花鸟源文化创意综合体（B区水乐园区），其中包含花鸟源主题水上乐园、花鸟秘境主题乐园、亘古之恋留影乐园；房车营地及新能源补给站建设项目（配套）等。</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2）职业教育产教融合综合体项目，投资约6.73亿元（暂定）；</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项目占地面积93亩，容积率2.0，建筑总面积12,2727㎡。新建两大工程，其中教学及创产服务建设（东区）工程，建筑主体总面积67233㎡，配套工程67233㎡；校区服务及生活建设（西区）工程，建筑主体总面积5</w:t>
      </w:r>
      <w:r>
        <w:rPr>
          <w:rFonts w:ascii="仿宋" w:hAnsi="仿宋" w:eastAsia="仿宋" w:cs="仿宋"/>
          <w:sz w:val="28"/>
          <w:szCs w:val="28"/>
        </w:rPr>
        <w:t>5494</w:t>
      </w:r>
      <w:r>
        <w:rPr>
          <w:rFonts w:hint="eastAsia" w:ascii="仿宋" w:hAnsi="仿宋" w:eastAsia="仿宋" w:cs="仿宋"/>
          <w:sz w:val="28"/>
          <w:szCs w:val="28"/>
        </w:rPr>
        <w:t>㎡，配套工程5</w:t>
      </w:r>
      <w:r>
        <w:rPr>
          <w:rFonts w:ascii="仿宋" w:hAnsi="仿宋" w:eastAsia="仿宋" w:cs="仿宋"/>
          <w:sz w:val="28"/>
          <w:szCs w:val="28"/>
        </w:rPr>
        <w:t>5494</w:t>
      </w:r>
      <w:r>
        <w:rPr>
          <w:rFonts w:hint="eastAsia" w:ascii="仿宋" w:hAnsi="仿宋" w:eastAsia="仿宋" w:cs="仿宋"/>
          <w:sz w:val="28"/>
          <w:szCs w:val="28"/>
        </w:rPr>
        <w:t>㎡；人防工程2016.99㎡。</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本项目建设内容主要包括：职教办公楼、服务业教育楼、共享教育楼、公共运动场馆、职教综合服务楼、互联网图书馆、会议中心、创业孵化中心、食堂、高级公寓、学生宿舍、创意商街、过街天桥等。</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3）龙韵朝阳城休闲旅游项目，投资约4.45亿元（暂定）。</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占地面积95.5亩，容积率1.5，建筑总面积42487.5㎡。新建两大工程，项目室内部分42.5亩，朝阳宫宴8000㎡，龙韵笙歌4000㎡；其中室内街区30457.5㎡。项目室外部分53亩，梦回龙韵占地8亩，龙韵乐园占地22.5亩，停车场部分占地22.5亩。</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项目建设内容主要包括：室内项目有朝阳宫宴、龙韵滋味小吃街、龙韵觅踪演绎街区、灵动龙韵潮玩街区、龙韵之光旅拍街区、龙韵笙歌大型秀场、室外项目有梦回龙韵主题街区、龙韵乐园、停车场。</w:t>
      </w: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备注：以上建设内容及项目总投资并非最终数据，仅供参考使用。</w:t>
      </w:r>
    </w:p>
    <w:p>
      <w:pPr>
        <w:adjustRightInd w:val="0"/>
        <w:snapToGrid w:val="0"/>
        <w:spacing w:line="360" w:lineRule="auto"/>
        <w:ind w:firstLine="560" w:firstLineChars="200"/>
        <w:rPr>
          <w:rFonts w:ascii="仿宋" w:hAnsi="仿宋" w:eastAsia="仿宋" w:cs="仿宋"/>
          <w:color w:val="FF0000"/>
          <w:sz w:val="28"/>
          <w:szCs w:val="28"/>
        </w:rPr>
      </w:pPr>
      <w:r>
        <w:rPr>
          <w:rFonts w:hint="eastAsia" w:ascii="仿宋" w:hAnsi="仿宋" w:eastAsia="仿宋" w:cs="仿宋"/>
          <w:color w:val="FF0000"/>
          <w:sz w:val="28"/>
          <w:szCs w:val="28"/>
        </w:rPr>
        <w:br w:type="page"/>
      </w:r>
    </w:p>
    <w:p>
      <w:pPr>
        <w:spacing w:after="112" w:line="619" w:lineRule="exact"/>
        <w:jc w:val="center"/>
        <w:outlineLvl w:val="0"/>
        <w:rPr>
          <w:rFonts w:ascii="仿宋" w:hAnsi="仿宋" w:eastAsia="仿宋" w:cs="仿宋"/>
          <w:b/>
          <w:sz w:val="32"/>
          <w:szCs w:val="32"/>
        </w:rPr>
      </w:pPr>
      <w:r>
        <w:rPr>
          <w:rFonts w:hint="eastAsia" w:ascii="仿宋" w:hAnsi="仿宋" w:eastAsia="仿宋" w:cs="仿宋"/>
          <w:b/>
          <w:sz w:val="32"/>
          <w:szCs w:val="32"/>
        </w:rPr>
        <w:t>三、市场测试内容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按照《生态环境导向的开发（EOD）项目实施导则（试行）》（环办科财〔2023〕22号）要求，</w:t>
      </w:r>
      <w:r>
        <w:rPr>
          <w:rFonts w:ascii="仿宋" w:hAnsi="仿宋" w:eastAsia="仿宋" w:cs="仿宋"/>
          <w:sz w:val="28"/>
          <w:szCs w:val="28"/>
        </w:rPr>
        <w:t>市场主体可单独或组成联合体参与项目竞争</w:t>
      </w:r>
      <w:r>
        <w:rPr>
          <w:rFonts w:hint="eastAsia" w:ascii="仿宋" w:hAnsi="仿宋" w:eastAsia="仿宋" w:cs="仿宋"/>
          <w:sz w:val="28"/>
          <w:szCs w:val="28"/>
        </w:rPr>
        <w:t>，</w:t>
      </w:r>
      <w:r>
        <w:rPr>
          <w:rFonts w:ascii="仿宋" w:hAnsi="仿宋" w:eastAsia="仿宋" w:cs="仿宋"/>
          <w:sz w:val="28"/>
          <w:szCs w:val="28"/>
        </w:rPr>
        <w:t>以联合体形式参与的应成立EOD项目公司。市场主体或其成立的EOD项目公司作为项目实施主体，须具备项目投资建设与运维经营能力，经营范围包括相关生态环境治理和产业经营内容</w:t>
      </w:r>
      <w:r>
        <w:rPr>
          <w:rFonts w:hint="eastAsia" w:ascii="仿宋" w:hAnsi="仿宋" w:eastAsia="仿宋" w:cs="仿宋"/>
          <w:sz w:val="28"/>
          <w:szCs w:val="28"/>
        </w:rPr>
        <w:t>。</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因本次项目投资规模大、收益较高等特点，现就下列事项向潜在意向市场主体广泛征集相关意向、意见和建议，潜在意向市场主体所提供的相关内容将为本项目的推进提供参考，具体内容如下：</w:t>
      </w:r>
    </w:p>
    <w:p>
      <w:pPr>
        <w:adjustRightInd w:val="0"/>
        <w:snapToGrid w:val="0"/>
        <w:spacing w:line="360" w:lineRule="auto"/>
        <w:rPr>
          <w:rFonts w:ascii="仿宋" w:hAnsi="仿宋" w:eastAsia="仿宋" w:cs="仿宋"/>
          <w:sz w:val="28"/>
          <w:szCs w:val="28"/>
        </w:rPr>
      </w:pPr>
      <w:r>
        <w:rPr>
          <w:rFonts w:hint="eastAsia" w:ascii="仿宋" w:hAnsi="仿宋" w:eastAsia="仿宋" w:cs="仿宋"/>
          <w:b/>
          <w:bCs/>
          <w:sz w:val="28"/>
          <w:szCs w:val="28"/>
        </w:rPr>
        <w:t>（一）潜在意向市场主体企业性质（可多选）</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□施工企业   □勘察设计类企业   □造价咨询企业   □金融机构</w:t>
      </w:r>
    </w:p>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□投融资企业 □监理企业         □产业运营企业   □其他</w:t>
      </w:r>
    </w:p>
    <w:p>
      <w:pPr>
        <w:adjustRightInd w:val="0"/>
        <w:snapToGrid w:val="0"/>
        <w:spacing w:line="360" w:lineRule="auto"/>
        <w:rPr>
          <w:rFonts w:ascii="仿宋" w:hAnsi="仿宋" w:eastAsia="仿宋" w:cs="仿宋"/>
          <w:sz w:val="28"/>
          <w:szCs w:val="28"/>
        </w:rPr>
      </w:pPr>
      <w:r>
        <w:rPr>
          <w:rFonts w:hint="eastAsia" w:ascii="仿宋" w:hAnsi="仿宋" w:eastAsia="仿宋" w:cs="仿宋"/>
          <w:b/>
          <w:bCs/>
          <w:sz w:val="28"/>
          <w:szCs w:val="28"/>
        </w:rPr>
        <w:t>（二）可提供合作内容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根据已谋划的项目建设内容，拟考虑以何种方式完成全部项目建设及运营维护工作，或采用何种方式组成联合体进行合作？</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rPr>
          <w:rFonts w:ascii="仿宋" w:hAnsi="仿宋" w:eastAsia="仿宋" w:cs="仿宋"/>
          <w:b/>
          <w:sz w:val="28"/>
          <w:szCs w:val="28"/>
        </w:rPr>
      </w:pPr>
      <w:r>
        <w:rPr>
          <w:rFonts w:hint="eastAsia" w:ascii="仿宋" w:hAnsi="仿宋" w:eastAsia="仿宋" w:cs="仿宋"/>
          <w:b/>
          <w:sz w:val="28"/>
          <w:szCs w:val="28"/>
        </w:rPr>
        <w:t>（三）产业的导入</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（1）本项目涉及的产业能否导入或以联合体方式如何导入？</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（2）除本项目设定的产业外，是否可将其他产业导入本地区内？</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
          <w:sz w:val="28"/>
          <w:szCs w:val="28"/>
        </w:rPr>
        <w:t>（四）融资相关（潜在市场主体填写）</w:t>
      </w: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实施主体推进项目资金筹措</w:t>
      </w:r>
      <w:r>
        <w:rPr>
          <w:rFonts w:hint="eastAsia" w:ascii="仿宋" w:hAnsi="仿宋" w:eastAsia="仿宋" w:cs="仿宋"/>
          <w:sz w:val="28"/>
          <w:szCs w:val="28"/>
        </w:rPr>
        <w:t>，</w:t>
      </w:r>
      <w:r>
        <w:rPr>
          <w:rFonts w:ascii="仿宋" w:hAnsi="仿宋" w:eastAsia="仿宋" w:cs="仿宋"/>
          <w:sz w:val="28"/>
          <w:szCs w:val="28"/>
        </w:rPr>
        <w:t>按相关要求保障项目资本金及时筹措到位。加强与金融机构接洽，推进项目融资</w:t>
      </w:r>
      <w:r>
        <w:rPr>
          <w:rFonts w:hint="eastAsia" w:ascii="仿宋" w:hAnsi="仿宋" w:eastAsia="仿宋" w:cs="仿宋"/>
          <w:sz w:val="28"/>
          <w:szCs w:val="28"/>
        </w:rPr>
        <w:t>，</w:t>
      </w:r>
      <w:r>
        <w:rPr>
          <w:rFonts w:ascii="仿宋" w:hAnsi="仿宋" w:eastAsia="仿宋" w:cs="仿宋"/>
          <w:sz w:val="28"/>
          <w:szCs w:val="28"/>
        </w:rPr>
        <w:t>不在金融机构支持范围内的项目内容，项目实施主体应自筹资金推进实施。</w:t>
      </w:r>
    </w:p>
    <w:p>
      <w:pPr>
        <w:autoSpaceDE w:val="0"/>
        <w:autoSpaceDN w:val="0"/>
        <w:adjustRightInd w:val="0"/>
        <w:snapToGrid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Cs/>
          <w:sz w:val="28"/>
          <w:szCs w:val="28"/>
        </w:rPr>
        <w:t>根据本项目总投资20.78亿元的20%计算，项目资本金为4.16亿元，是否考虑提高项目资本金额度；如未来成立项目公司，项目公司注册资本金是否与项目资本金保持一致</w:t>
      </w:r>
      <w:r>
        <w:rPr>
          <w:rFonts w:hint="eastAsia" w:ascii="仿宋" w:hAnsi="仿宋" w:eastAsia="仿宋" w:cs="仿宋"/>
          <w:sz w:val="28"/>
          <w:szCs w:val="28"/>
        </w:rPr>
        <w:t>？</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（2）如组成联合体，各联合体成员持股比例预计为多少？</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（3）拟合作金融机构有哪些？</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）拟合作金融机构融资支持领域是否涵盖本项目全面建设内容？</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beforeLines="100" w:afterLines="100" w:line="360" w:lineRule="auto"/>
        <w:ind w:firstLine="576"/>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w:t>
      </w:r>
      <w:r>
        <w:rPr>
          <w:rFonts w:ascii="仿宋" w:hAnsi="仿宋" w:eastAsia="仿宋" w:cs="仿宋"/>
          <w:sz w:val="28"/>
          <w:szCs w:val="28"/>
        </w:rPr>
        <w:t>不在金融机构支持范围内的项目内容，实施主体</w:t>
      </w:r>
      <w:r>
        <w:rPr>
          <w:rFonts w:hint="eastAsia" w:ascii="仿宋" w:hAnsi="仿宋" w:eastAsia="仿宋" w:cs="仿宋"/>
          <w:sz w:val="28"/>
          <w:szCs w:val="28"/>
        </w:rPr>
        <w:t>是否能够</w:t>
      </w:r>
      <w:r>
        <w:rPr>
          <w:rFonts w:hint="eastAsia" w:ascii="仿宋" w:hAnsi="仿宋" w:eastAsia="仿宋" w:cs="仿宋"/>
          <w:sz w:val="28"/>
          <w:szCs w:val="28"/>
          <w:lang w:eastAsia="zh-CN"/>
        </w:rPr>
        <w:t>使用</w:t>
      </w:r>
      <w:r>
        <w:rPr>
          <w:rFonts w:ascii="仿宋" w:hAnsi="仿宋" w:eastAsia="仿宋" w:cs="仿宋"/>
          <w:sz w:val="28"/>
          <w:szCs w:val="28"/>
        </w:rPr>
        <w:t>自筹资金推进实施</w:t>
      </w:r>
      <w:r>
        <w:rPr>
          <w:rFonts w:hint="eastAsia" w:ascii="仿宋" w:hAnsi="仿宋" w:eastAsia="仿宋" w:cs="仿宋"/>
          <w:sz w:val="28"/>
          <w:szCs w:val="28"/>
        </w:rPr>
        <w:t>？</w:t>
      </w:r>
    </w:p>
    <w:p>
      <w:pPr>
        <w:adjustRightInd w:val="0"/>
        <w:snapToGrid w:val="0"/>
        <w:spacing w:beforeLines="100" w:afterLines="100" w:line="360" w:lineRule="auto"/>
        <w:ind w:firstLine="576"/>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）是否能够为本项目提供融资担保，是否能申请信用贷款？</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7</w:t>
      </w:r>
      <w:r>
        <w:rPr>
          <w:rFonts w:hint="eastAsia" w:ascii="仿宋" w:hAnsi="仿宋" w:eastAsia="仿宋" w:cs="仿宋"/>
          <w:sz w:val="28"/>
          <w:szCs w:val="28"/>
        </w:rPr>
        <w:t>）拟合作金融机构的授信额度约多少？</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w:t>
      </w:r>
      <w:r>
        <w:rPr>
          <w:rFonts w:hint="eastAsia" w:ascii="仿宋" w:hAnsi="仿宋" w:eastAsia="仿宋" w:cs="仿宋"/>
          <w:sz w:val="28"/>
          <w:szCs w:val="28"/>
        </w:rPr>
        <w:t>）拟合作金融机构融资利率是多少？</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9</w:t>
      </w:r>
      <w:r>
        <w:rPr>
          <w:rFonts w:hint="eastAsia" w:ascii="仿宋" w:hAnsi="仿宋" w:eastAsia="仿宋" w:cs="仿宋"/>
          <w:sz w:val="28"/>
          <w:szCs w:val="28"/>
        </w:rPr>
        <w:t>）项目合作期为23年（其中建设期3年，运营期20年），拟考虑融资年限为多久，是否对项目合作期限有其他考虑？</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10</w:t>
      </w:r>
      <w:r>
        <w:rPr>
          <w:rFonts w:hint="eastAsia" w:ascii="仿宋" w:hAnsi="仿宋" w:eastAsia="仿宋" w:cs="仿宋"/>
          <w:sz w:val="28"/>
          <w:szCs w:val="28"/>
        </w:rPr>
        <w:t>）合作期届满后，潜在意向市场主体希望的退出机制是什么？</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
          <w:sz w:val="28"/>
          <w:szCs w:val="28"/>
        </w:rPr>
        <w:t>（五）融资支持（金融机构填写）</w:t>
      </w: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金融机构按照依法依规、独立审贷、市场化运作和风险可控的原则，统筹考虑社会经济和生态环境效益，在尽职调查、审查审批、贷款投放等方面优化流程、提升效率，对符合条件 的项目给予相应政策支持。</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（1）项目谋划内容是否符合金融机构支持领域？</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）能够提供的最大金融支持额度为多少？</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）金融机构融资利率为多少？</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）是否需要实施主体提供担保，能否采用信用贷款？</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）是否能够提供其他优惠贷款条件？</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
          <w:sz w:val="28"/>
          <w:szCs w:val="28"/>
        </w:rPr>
        <w:t>（六）项目运营及产品销售</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项目包含三个产业项目，分别是鸟化石景区，主营业务包含门票、衍生品、研学培训、餐饮收入、停车场收入等；不夜城，主营业务包含展会收入、乐园门票、停车场收入、剧场收入等；职教中心，主要内容包括师生生活区、课程培训区等。</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鸟化石景区，满负荷运营全年可接待100万人。水陆乐园按照通票考虑；衍生品开发以鸟化石、花化石为主题IP的周边产品进行文创销售；研学项目以“科教游”相融合为理念，在建筑区域内规划出可供中小学生研学使用的室内室外区域；餐饮项目多以速食、快餐为主。</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不夜城项目以精致国潮科技龙文化元素为主题，打造独属于朝阳市的不夜城项目。根据特色的场地布景，可承接室内外不同类型的展会；龙韵乐园以龙文化为主题，利用声光电等高科技，结合AR、VR等视觉体验，为游客呈现一个中国风的室内主题乐园，目标客群为中低龄儿童；朝阳秘境剧场+宫宴计划打造全国首创沉浸式餐秀，以百种饺子为主要食材，一道菜一个表演，边吃边看边入戏，收费包含演出门票及饺子宴正餐。</w:t>
      </w:r>
    </w:p>
    <w:p>
      <w:pPr>
        <w:adjustRightInd w:val="0"/>
        <w:snapToGrid w:val="0"/>
        <w:spacing w:line="360" w:lineRule="auto"/>
        <w:ind w:firstLine="560" w:firstLineChars="200"/>
      </w:pPr>
      <w:r>
        <w:rPr>
          <w:rFonts w:hint="eastAsia" w:ascii="仿宋" w:hAnsi="仿宋" w:eastAsia="仿宋" w:cs="仿宋"/>
          <w:sz w:val="28"/>
          <w:szCs w:val="28"/>
        </w:rPr>
        <w:t>职教中心分为东西两个区域。学生公寓建成后，可容纳6000名学生同时入住；教师公寓规划50间，为教师提供在购房前提供过渡性住宿公寓；柔性人才公寓规划出50套高端公寓，为企业高管及高级教职员工提供住宿便利条件；学生食堂规划出3处可供学生集中就餐的餐厅，经营项目以米饭、面条、炒菜、盒饭、汉堡等日常品类为主；教师食堂规划一处，含20个包间，可供教师提供宴请接待、同事聚餐等服务；生活配套收入包含为学生提供健身房、咖啡厅、洗浴、理发、超市等；十大技能培训每年拟培训20000人次；校企合作项目每年拟开展10项；合作办学建成后按照满负荷培养在校生6000人为目标。</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（1）针对策划产业类项目，预估各产业项目年运营收入、收费单价、负荷率等，请于下表填列？</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tbl>
      <w:tblPr>
        <w:tblStyle w:val="14"/>
        <w:tblW w:w="4998" w:type="pct"/>
        <w:tblInd w:w="0" w:type="dxa"/>
        <w:shd w:val="clear" w:color="auto" w:fill="FFFFFF" w:themeFill="background1"/>
        <w:tblLayout w:type="autofit"/>
        <w:tblCellMar>
          <w:top w:w="0" w:type="dxa"/>
          <w:left w:w="108" w:type="dxa"/>
          <w:bottom w:w="0" w:type="dxa"/>
          <w:right w:w="108" w:type="dxa"/>
        </w:tblCellMar>
      </w:tblPr>
      <w:tblGrid>
        <w:gridCol w:w="1332"/>
        <w:gridCol w:w="3989"/>
        <w:gridCol w:w="1754"/>
        <w:gridCol w:w="1755"/>
      </w:tblGrid>
      <w:tr>
        <w:trPr>
          <w:trHeight w:val="612"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snapToGrid w:val="0"/>
                <w:color w:val="000000"/>
                <w:kern w:val="0"/>
                <w:sz w:val="16"/>
                <w:szCs w:val="16"/>
              </w:rPr>
              <w:t>序号</w:t>
            </w:r>
          </w:p>
        </w:tc>
        <w:tc>
          <w:tcPr>
            <w:tcW w:w="2258" w:type="pct"/>
            <w:tcBorders>
              <w:top w:val="single" w:color="000000" w:sz="4" w:space="0"/>
              <w:left w:val="single" w:color="000000" w:sz="4" w:space="0"/>
              <w:bottom w:val="single" w:color="000000" w:sz="4" w:space="0"/>
              <w:right w:val="single" w:color="000000" w:sz="4" w:space="0"/>
              <w:tl2br w:val="single" w:color="000000" w:sz="4" w:space="0"/>
            </w:tcBorders>
            <w:shd w:val="clear" w:color="auto" w:fill="FFFFFF" w:themeFill="background1"/>
            <w:vAlign w:val="center"/>
          </w:tcPr>
          <w:p>
            <w:pPr>
              <w:widowControl/>
              <w:jc w:val="left"/>
              <w:textAlignment w:val="center"/>
              <w:rPr>
                <w:rFonts w:ascii="宋体" w:hAnsi="宋体" w:cs="宋体"/>
                <w:b/>
                <w:bCs/>
                <w:color w:val="000000"/>
                <w:sz w:val="16"/>
                <w:szCs w:val="16"/>
              </w:rPr>
            </w:pPr>
            <w:r>
              <w:rPr>
                <w:rFonts w:hint="eastAsia" w:ascii="宋体" w:hAnsi="宋体" w:cs="宋体"/>
                <w:b/>
                <w:bCs/>
                <w:snapToGrid w:val="0"/>
                <w:color w:val="000000"/>
                <w:kern w:val="0"/>
                <w:sz w:val="16"/>
                <w:szCs w:val="16"/>
              </w:rPr>
              <w:t xml:space="preserve">               年 份  </w:t>
            </w:r>
            <w:r>
              <w:rPr>
                <w:rFonts w:hint="eastAsia" w:ascii="宋体" w:hAnsi="宋体" w:cs="宋体"/>
                <w:b/>
                <w:bCs/>
                <w:snapToGrid w:val="0"/>
                <w:color w:val="000000"/>
                <w:kern w:val="0"/>
                <w:sz w:val="16"/>
                <w:szCs w:val="16"/>
              </w:rPr>
              <w:br w:type="textWrapping"/>
            </w:r>
            <w:r>
              <w:rPr>
                <w:rFonts w:hint="eastAsia" w:ascii="宋体" w:hAnsi="宋体" w:cs="宋体"/>
                <w:b/>
                <w:bCs/>
                <w:snapToGrid w:val="0"/>
                <w:color w:val="000000"/>
                <w:kern w:val="0"/>
                <w:sz w:val="16"/>
                <w:szCs w:val="16"/>
              </w:rPr>
              <w:t xml:space="preserve">   项 目   </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sz w:val="16"/>
                <w:szCs w:val="16"/>
              </w:rPr>
              <w:t>基年（第1年）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bCs/>
                <w:color w:val="000000"/>
                <w:sz w:val="16"/>
                <w:szCs w:val="16"/>
              </w:rPr>
            </w:pPr>
            <w:r>
              <w:rPr>
                <w:rFonts w:hint="eastAsia" w:ascii="宋体" w:hAnsi="宋体" w:cs="宋体"/>
                <w:b/>
                <w:bCs/>
                <w:color w:val="000000"/>
                <w:sz w:val="16"/>
                <w:szCs w:val="16"/>
              </w:rPr>
              <w:t>2</w:t>
            </w:r>
            <w:r>
              <w:rPr>
                <w:rFonts w:hint="eastAsia" w:ascii="宋体" w:hAnsi="宋体" w:cs="宋体"/>
                <w:b/>
                <w:bCs/>
                <w:color w:val="000000"/>
                <w:sz w:val="16"/>
                <w:szCs w:val="16"/>
                <w:lang w:eastAsia="zh-CN"/>
              </w:rPr>
              <w:t>—</w:t>
            </w:r>
            <w:r>
              <w:rPr>
                <w:rFonts w:hint="eastAsia" w:ascii="宋体" w:hAnsi="宋体" w:cs="宋体"/>
                <w:b/>
                <w:bCs/>
                <w:color w:val="000000"/>
                <w:sz w:val="16"/>
                <w:szCs w:val="16"/>
              </w:rPr>
              <w:t>20年</w:t>
            </w: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b/>
                <w:bCs/>
                <w:color w:val="000000"/>
                <w:sz w:val="16"/>
                <w:szCs w:val="16"/>
              </w:rPr>
            </w:pPr>
            <w:r>
              <w:rPr>
                <w:rFonts w:hint="eastAsia" w:ascii="宋体" w:hAnsi="宋体" w:cs="宋体"/>
                <w:b/>
                <w:bCs/>
                <w:snapToGrid w:val="0"/>
                <w:color w:val="000000"/>
                <w:kern w:val="0"/>
                <w:sz w:val="16"/>
                <w:szCs w:val="16"/>
              </w:rPr>
              <w:t>一</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b/>
                <w:bCs/>
                <w:color w:val="000000"/>
                <w:sz w:val="16"/>
                <w:szCs w:val="16"/>
              </w:rPr>
            </w:pPr>
            <w:r>
              <w:rPr>
                <w:rFonts w:hint="eastAsia" w:ascii="宋体" w:hAnsi="宋体" w:cs="宋体"/>
                <w:b/>
                <w:bCs/>
                <w:snapToGrid w:val="0"/>
                <w:color w:val="000000"/>
                <w:kern w:val="0"/>
                <w:sz w:val="16"/>
                <w:szCs w:val="16"/>
              </w:rPr>
              <w:t>鸟化石公园二期（水陆乐园）</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000000"/>
                <w:sz w:val="16"/>
                <w:szCs w:val="16"/>
              </w:rPr>
            </w:pPr>
            <w:r>
              <w:rPr>
                <w:rFonts w:hint="eastAsia" w:ascii="宋体" w:hAnsi="宋体" w:cs="宋体"/>
                <w:snapToGrid w:val="0"/>
                <w:color w:val="000000"/>
                <w:kern w:val="0"/>
                <w:sz w:val="16"/>
                <w:szCs w:val="16"/>
              </w:rPr>
              <w:t>1</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水乐园&amp;陆乐园</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000000"/>
                <w:sz w:val="16"/>
                <w:szCs w:val="16"/>
              </w:rPr>
            </w:pPr>
            <w:r>
              <w:rPr>
                <w:rFonts w:hint="eastAsia" w:ascii="宋体" w:hAnsi="宋体" w:cs="宋体"/>
                <w:snapToGrid w:val="0"/>
                <w:color w:val="000000"/>
                <w:kern w:val="0"/>
                <w:sz w:val="16"/>
                <w:szCs w:val="16"/>
              </w:rPr>
              <w:t>1.1</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门票（含演出）</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景区容量（人次/年）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r>
              <w:rPr>
                <w:rFonts w:hint="eastAsia" w:ascii="宋体" w:hAnsi="宋体" w:cs="宋体"/>
                <w:b/>
                <w:bCs/>
                <w:snapToGrid w:val="0"/>
                <w:color w:val="000000"/>
                <w:kern w:val="0"/>
                <w:sz w:val="16"/>
                <w:szCs w:val="16"/>
              </w:rPr>
              <w:t xml:space="preserve">1000000 </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snapToGrid w:val="0"/>
                <w:color w:val="000000"/>
                <w:kern w:val="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单价（元/人次）</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000000"/>
                <w:sz w:val="16"/>
                <w:szCs w:val="16"/>
              </w:rPr>
            </w:pPr>
            <w:r>
              <w:rPr>
                <w:rFonts w:hint="eastAsia" w:ascii="宋体" w:hAnsi="宋体" w:cs="宋体"/>
                <w:snapToGrid w:val="0"/>
                <w:color w:val="000000"/>
                <w:kern w:val="0"/>
                <w:sz w:val="16"/>
                <w:szCs w:val="16"/>
              </w:rPr>
              <w:t>1.2</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文创（二销）</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购物游客数量</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r>
              <w:rPr>
                <w:rFonts w:hint="eastAsia" w:ascii="宋体" w:hAnsi="宋体" w:cs="宋体"/>
                <w:b/>
                <w:bCs/>
                <w:snapToGrid w:val="0"/>
                <w:color w:val="000000"/>
                <w:kern w:val="0"/>
                <w:sz w:val="16"/>
                <w:szCs w:val="16"/>
              </w:rPr>
              <w:t>180000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人均消费（元/人次）</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000000"/>
                <w:sz w:val="16"/>
                <w:szCs w:val="16"/>
              </w:rPr>
            </w:pPr>
            <w:r>
              <w:rPr>
                <w:rFonts w:hint="eastAsia" w:ascii="宋体" w:hAnsi="宋体" w:cs="宋体"/>
                <w:snapToGrid w:val="0"/>
                <w:color w:val="000000"/>
                <w:kern w:val="0"/>
                <w:sz w:val="16"/>
                <w:szCs w:val="16"/>
              </w:rPr>
              <w:t>1.3</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教育（研学）</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接待能力（人次/年）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r>
              <w:rPr>
                <w:rFonts w:hint="eastAsia" w:ascii="宋体" w:hAnsi="宋体" w:cs="宋体"/>
                <w:b/>
                <w:bCs/>
                <w:snapToGrid w:val="0"/>
                <w:color w:val="000000"/>
                <w:kern w:val="0"/>
                <w:sz w:val="16"/>
                <w:szCs w:val="16"/>
              </w:rPr>
              <w:t>100000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单价（元/人次）</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000000"/>
                <w:sz w:val="16"/>
                <w:szCs w:val="16"/>
              </w:rPr>
            </w:pPr>
            <w:r>
              <w:rPr>
                <w:rFonts w:hint="eastAsia" w:ascii="宋体" w:hAnsi="宋体" w:cs="宋体"/>
                <w:snapToGrid w:val="0"/>
                <w:color w:val="000000"/>
                <w:kern w:val="0"/>
                <w:sz w:val="16"/>
                <w:szCs w:val="16"/>
              </w:rPr>
              <w:t>1.4</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餐饮</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就餐游客数量</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r>
              <w:rPr>
                <w:rFonts w:hint="eastAsia" w:ascii="宋体" w:hAnsi="宋体" w:cs="宋体"/>
                <w:b/>
                <w:bCs/>
                <w:snapToGrid w:val="0"/>
                <w:color w:val="000000"/>
                <w:kern w:val="0"/>
                <w:sz w:val="16"/>
                <w:szCs w:val="16"/>
              </w:rPr>
              <w:t>180000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人均消费（元/人次）</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000000"/>
                <w:sz w:val="16"/>
                <w:szCs w:val="16"/>
              </w:rPr>
            </w:pPr>
            <w:r>
              <w:rPr>
                <w:rFonts w:hint="eastAsia" w:ascii="宋体" w:hAnsi="宋体" w:cs="宋体"/>
                <w:snapToGrid w:val="0"/>
                <w:color w:val="000000"/>
                <w:kern w:val="0"/>
                <w:sz w:val="16"/>
                <w:szCs w:val="16"/>
              </w:rPr>
              <w:t>2</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露营基地停车场</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周转率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开放时间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color w:val="000000"/>
                <w:sz w:val="16"/>
                <w:szCs w:val="16"/>
              </w:rPr>
            </w:pPr>
            <w:r>
              <w:rPr>
                <w:rFonts w:hint="eastAsia" w:ascii="宋体" w:hAnsi="宋体" w:cs="宋体"/>
                <w:snapToGrid w:val="0"/>
                <w:color w:val="000000"/>
                <w:kern w:val="0"/>
                <w:sz w:val="16"/>
                <w:szCs w:val="16"/>
              </w:rPr>
              <w:t>车位数量</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r>
              <w:rPr>
                <w:rFonts w:hint="eastAsia" w:ascii="宋体" w:hAnsi="宋体" w:cs="宋体"/>
                <w:b/>
                <w:bCs/>
                <w:snapToGrid w:val="0"/>
                <w:color w:val="000000"/>
                <w:kern w:val="0"/>
                <w:sz w:val="16"/>
                <w:szCs w:val="16"/>
              </w:rPr>
              <w:t>800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6"/>
                <w:szCs w:val="16"/>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color w:val="00000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bottom"/>
              <w:rPr>
                <w:rFonts w:ascii="宋体" w:hAnsi="宋体" w:cs="宋体"/>
                <w:color w:val="000000"/>
                <w:sz w:val="16"/>
                <w:szCs w:val="16"/>
              </w:rPr>
            </w:pPr>
            <w:r>
              <w:rPr>
                <w:rFonts w:hint="eastAsia" w:ascii="宋体" w:hAnsi="宋体" w:cs="宋体"/>
                <w:snapToGrid w:val="0"/>
                <w:color w:val="000000"/>
                <w:kern w:val="0"/>
                <w:sz w:val="16"/>
                <w:szCs w:val="16"/>
              </w:rPr>
              <w:t>停车费单价（元/时）</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6"/>
                <w:szCs w:val="16"/>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r>
              <w:rPr>
                <w:rFonts w:hint="eastAsia" w:ascii="宋体" w:hAnsi="宋体" w:cs="宋体"/>
                <w:b/>
                <w:bCs/>
                <w:snapToGrid w:val="0"/>
                <w:color w:val="000000"/>
                <w:kern w:val="0"/>
                <w:sz w:val="18"/>
                <w:szCs w:val="18"/>
              </w:rPr>
              <w:t>二</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bottom"/>
              <w:rPr>
                <w:rFonts w:ascii="宋体" w:hAnsi="宋体" w:cs="宋体"/>
                <w:b/>
                <w:bCs/>
                <w:color w:val="000000"/>
                <w:sz w:val="18"/>
                <w:szCs w:val="18"/>
              </w:rPr>
            </w:pPr>
            <w:r>
              <w:rPr>
                <w:rFonts w:hint="eastAsia" w:ascii="宋体" w:hAnsi="宋体" w:cs="宋体"/>
                <w:b/>
                <w:bCs/>
                <w:snapToGrid w:val="0"/>
                <w:color w:val="000000"/>
                <w:kern w:val="0"/>
                <w:sz w:val="18"/>
                <w:szCs w:val="18"/>
              </w:rPr>
              <w:t>会展不夜城收入</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1</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展会收入</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摊位数量</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r>
              <w:rPr>
                <w:rFonts w:hint="eastAsia" w:ascii="宋体" w:hAnsi="宋体" w:cs="宋体"/>
                <w:b/>
                <w:bCs/>
                <w:snapToGrid w:val="0"/>
                <w:color w:val="000000"/>
                <w:kern w:val="0"/>
                <w:sz w:val="18"/>
                <w:szCs w:val="18"/>
              </w:rPr>
              <w:t>119</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租金单价（万元/年）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2</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龙韵乐园门票</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接待能力（人次/年）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r>
              <w:rPr>
                <w:rFonts w:hint="eastAsia" w:ascii="宋体" w:hAnsi="宋体" w:cs="宋体"/>
                <w:b/>
                <w:bCs/>
                <w:snapToGrid w:val="0"/>
                <w:color w:val="000000"/>
                <w:kern w:val="0"/>
                <w:sz w:val="18"/>
                <w:szCs w:val="18"/>
              </w:rPr>
              <w:t>1000000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单价（元/人次）</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3</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会展不夜城停车场</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周转率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r>
      <w:tr>
        <w:trPr>
          <w:trHeight w:val="38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开放时间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r>
              <w:rPr>
                <w:rFonts w:hint="eastAsia" w:ascii="宋体" w:hAnsi="宋体" w:cs="宋体"/>
                <w:b/>
                <w:bCs/>
                <w:snapToGrid w:val="0"/>
                <w:color w:val="000000"/>
                <w:kern w:val="0"/>
                <w:sz w:val="18"/>
                <w:szCs w:val="18"/>
              </w:rPr>
              <w:t>10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车位数量</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r>
              <w:rPr>
                <w:rFonts w:hint="eastAsia" w:ascii="宋体" w:hAnsi="宋体" w:cs="宋体"/>
                <w:b/>
                <w:bCs/>
                <w:snapToGrid w:val="0"/>
                <w:color w:val="000000"/>
                <w:kern w:val="0"/>
                <w:sz w:val="18"/>
                <w:szCs w:val="18"/>
              </w:rPr>
              <w:t>1000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停车费单价（元/时）</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4</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朝阳秘境剧场+宫宴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剧场容量（人次/年）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r>
              <w:rPr>
                <w:rFonts w:hint="eastAsia" w:ascii="宋体" w:hAnsi="宋体" w:cs="宋体"/>
                <w:b/>
                <w:bCs/>
                <w:snapToGrid w:val="0"/>
                <w:color w:val="000000"/>
                <w:kern w:val="0"/>
                <w:sz w:val="18"/>
                <w:szCs w:val="18"/>
              </w:rPr>
              <w:t>500000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单价（元/人次）</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r>
              <w:rPr>
                <w:rFonts w:hint="eastAsia" w:ascii="宋体" w:hAnsi="宋体" w:cs="宋体"/>
                <w:b/>
                <w:bCs/>
                <w:snapToGrid w:val="0"/>
                <w:color w:val="000000"/>
                <w:kern w:val="0"/>
                <w:sz w:val="20"/>
              </w:rPr>
              <w:t>三</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bottom"/>
              <w:rPr>
                <w:rFonts w:ascii="宋体" w:hAnsi="宋体" w:cs="宋体"/>
                <w:b/>
                <w:bCs/>
                <w:color w:val="000000"/>
                <w:sz w:val="20"/>
              </w:rPr>
            </w:pPr>
            <w:r>
              <w:rPr>
                <w:rFonts w:hint="eastAsia" w:ascii="宋体" w:hAnsi="宋体" w:cs="宋体"/>
                <w:b/>
                <w:bCs/>
                <w:snapToGrid w:val="0"/>
                <w:color w:val="000000"/>
                <w:kern w:val="0"/>
                <w:sz w:val="20"/>
              </w:rPr>
              <w:t>职教中心收入</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1</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学生公寓</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容量（人）</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r>
              <w:rPr>
                <w:rFonts w:hint="eastAsia" w:ascii="宋体" w:hAnsi="宋体" w:cs="宋体"/>
                <w:b/>
                <w:bCs/>
                <w:snapToGrid w:val="0"/>
                <w:color w:val="000000"/>
                <w:kern w:val="0"/>
                <w:sz w:val="18"/>
                <w:szCs w:val="18"/>
              </w:rPr>
              <w:t>6000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单价（元/年/人）</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2</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教师公寓（专家公寓）</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数量（间）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r>
              <w:rPr>
                <w:rFonts w:hint="eastAsia" w:ascii="宋体" w:hAnsi="宋体" w:cs="宋体"/>
                <w:b/>
                <w:bCs/>
                <w:snapToGrid w:val="0"/>
                <w:color w:val="000000"/>
                <w:kern w:val="0"/>
                <w:sz w:val="18"/>
                <w:szCs w:val="18"/>
              </w:rPr>
              <w:t>50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单价（元/人/月）</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3</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柔性人才公寓</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数量（间）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r>
              <w:rPr>
                <w:rFonts w:hint="eastAsia" w:ascii="宋体" w:hAnsi="宋体" w:cs="宋体"/>
                <w:b/>
                <w:bCs/>
                <w:snapToGrid w:val="0"/>
                <w:color w:val="000000"/>
                <w:kern w:val="0"/>
                <w:sz w:val="18"/>
                <w:szCs w:val="18"/>
              </w:rPr>
              <w:t>50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单价（元/人/月）</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4</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学生食堂收入</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容量（人）</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r>
              <w:rPr>
                <w:rFonts w:hint="eastAsia" w:ascii="宋体" w:hAnsi="宋体" w:cs="宋体"/>
                <w:b/>
                <w:bCs/>
                <w:snapToGrid w:val="0"/>
                <w:color w:val="000000"/>
                <w:kern w:val="0"/>
                <w:sz w:val="18"/>
                <w:szCs w:val="18"/>
              </w:rPr>
              <w:t>6000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单价（元/人/日）</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5</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教师食堂收入</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数量（间）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r>
              <w:rPr>
                <w:rFonts w:hint="eastAsia" w:ascii="宋体" w:hAnsi="宋体" w:cs="宋体"/>
                <w:b/>
                <w:bCs/>
                <w:snapToGrid w:val="0"/>
                <w:color w:val="000000"/>
                <w:kern w:val="0"/>
                <w:sz w:val="18"/>
                <w:szCs w:val="18"/>
              </w:rPr>
              <w:t>20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单价（元/间/日）</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6</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洗澡健身等其他配套收入</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数量（间）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r>
              <w:rPr>
                <w:rFonts w:hint="eastAsia" w:ascii="宋体" w:hAnsi="宋体" w:cs="宋体"/>
                <w:b/>
                <w:bCs/>
                <w:snapToGrid w:val="0"/>
                <w:color w:val="000000"/>
                <w:kern w:val="0"/>
                <w:sz w:val="18"/>
                <w:szCs w:val="18"/>
              </w:rPr>
              <w:t>6000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单价（元/人/月）</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7</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十大类专业技能培训收入</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课堂容量（人）</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r>
              <w:rPr>
                <w:rFonts w:hint="eastAsia" w:ascii="宋体" w:hAnsi="宋体" w:cs="宋体"/>
                <w:b/>
                <w:bCs/>
                <w:snapToGrid w:val="0"/>
                <w:color w:val="000000"/>
                <w:kern w:val="0"/>
                <w:sz w:val="18"/>
                <w:szCs w:val="18"/>
              </w:rPr>
              <w:t>20000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单价（元/人/年）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8</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校企合作培训收入</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数量（项）</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r>
              <w:rPr>
                <w:rFonts w:hint="eastAsia" w:ascii="宋体" w:hAnsi="宋体" w:cs="宋体"/>
                <w:b/>
                <w:bCs/>
                <w:snapToGrid w:val="0"/>
                <w:color w:val="000000"/>
                <w:kern w:val="0"/>
                <w:sz w:val="18"/>
                <w:szCs w:val="18"/>
              </w:rPr>
              <w:t>10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单价（元/项/年）</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9</w:t>
            </w: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合作办学收入</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bottom"/>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负荷率</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容量（人）</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r>
              <w:rPr>
                <w:rFonts w:hint="eastAsia" w:ascii="宋体" w:hAnsi="宋体" w:cs="宋体"/>
                <w:b/>
                <w:bCs/>
                <w:snapToGrid w:val="0"/>
                <w:color w:val="000000"/>
                <w:kern w:val="0"/>
                <w:sz w:val="18"/>
                <w:szCs w:val="18"/>
              </w:rPr>
              <w:t>6000</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snapToGrid w:val="0"/>
                <w:color w:val="000000"/>
                <w:kern w:val="0"/>
                <w:sz w:val="18"/>
                <w:szCs w:val="18"/>
              </w:rPr>
            </w:pPr>
          </w:p>
        </w:tc>
      </w:tr>
      <w:tr>
        <w:trPr>
          <w:trHeight w:val="320" w:hRule="atLeast"/>
        </w:trPr>
        <w:tc>
          <w:tcPr>
            <w:tcW w:w="75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widowControl/>
              <w:jc w:val="center"/>
              <w:textAlignment w:val="center"/>
              <w:rPr>
                <w:rFonts w:ascii="宋体" w:hAnsi="宋体" w:cs="宋体"/>
                <w:snapToGrid w:val="0"/>
                <w:color w:val="000000"/>
                <w:kern w:val="0"/>
                <w:sz w:val="16"/>
                <w:szCs w:val="16"/>
              </w:rPr>
            </w:pPr>
          </w:p>
        </w:tc>
        <w:tc>
          <w:tcPr>
            <w:tcW w:w="2258" w:type="pc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widowControl/>
              <w:jc w:val="left"/>
              <w:textAlignment w:val="center"/>
              <w:rPr>
                <w:rFonts w:ascii="宋体" w:hAnsi="宋体" w:cs="宋体"/>
                <w:snapToGrid w:val="0"/>
                <w:color w:val="000000"/>
                <w:kern w:val="0"/>
                <w:sz w:val="16"/>
                <w:szCs w:val="16"/>
              </w:rPr>
            </w:pPr>
            <w:r>
              <w:rPr>
                <w:rFonts w:hint="eastAsia" w:ascii="宋体" w:hAnsi="宋体" w:cs="宋体"/>
                <w:snapToGrid w:val="0"/>
                <w:color w:val="000000"/>
                <w:kern w:val="0"/>
                <w:sz w:val="16"/>
                <w:szCs w:val="16"/>
              </w:rPr>
              <w:t>单价（元/年/人）</w:t>
            </w: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c>
          <w:tcPr>
            <w:tcW w:w="99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bottom"/>
          </w:tcPr>
          <w:p>
            <w:pPr>
              <w:jc w:val="center"/>
              <w:rPr>
                <w:rFonts w:ascii="宋体" w:hAnsi="宋体" w:cs="宋体"/>
                <w:b/>
                <w:bCs/>
                <w:color w:val="000000"/>
                <w:sz w:val="20"/>
              </w:rPr>
            </w:pPr>
          </w:p>
        </w:tc>
      </w:tr>
    </w:tbl>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）针对项目运营内容，合作期内运营成本如何考虑？</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）预计项目年负荷率及增长幅度如何？</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）市场主体有何运营优势、引流策略、销售渠道等？</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
          <w:sz w:val="28"/>
          <w:szCs w:val="28"/>
        </w:rPr>
        <w:t>（七）项目收益率</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中标后，意向达到的项目收益率为多少？</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line="360" w:lineRule="auto"/>
        <w:ind w:left="420"/>
        <w:rPr>
          <w:rFonts w:ascii="仿宋" w:hAnsi="仿宋" w:eastAsia="仿宋" w:cs="仿宋"/>
          <w:b/>
          <w:sz w:val="28"/>
          <w:szCs w:val="28"/>
        </w:rPr>
      </w:pPr>
      <w:r>
        <w:rPr>
          <w:rFonts w:hint="eastAsia" w:ascii="仿宋" w:hAnsi="仿宋" w:eastAsia="仿宋" w:cs="仿宋"/>
          <w:b/>
          <w:sz w:val="28"/>
          <w:szCs w:val="28"/>
        </w:rPr>
        <w:t>（八）优惠条件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潜在意向市场主体还可给予本地区的优惠或支持条件。</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pStyle w:val="35"/>
        <w:adjustRightInd w:val="0"/>
        <w:snapToGrid w:val="0"/>
        <w:spacing w:beforeLines="100" w:afterLines="100" w:line="360" w:lineRule="auto"/>
        <w:ind w:left="420" w:firstLine="0" w:firstLineChars="0"/>
        <w:rPr>
          <w:rFonts w:ascii="仿宋" w:hAnsi="仿宋" w:eastAsia="仿宋" w:cs="仿宋"/>
          <w:b/>
          <w:bCs/>
          <w:sz w:val="28"/>
          <w:szCs w:val="28"/>
        </w:rPr>
      </w:pPr>
      <w:r>
        <w:rPr>
          <w:rFonts w:hint="eastAsia" w:ascii="仿宋" w:hAnsi="仿宋" w:eastAsia="仿宋" w:cs="仿宋"/>
          <w:b/>
          <w:bCs/>
          <w:sz w:val="28"/>
          <w:szCs w:val="28"/>
        </w:rPr>
        <w:t>（九）合理化建议或意见</w:t>
      </w:r>
    </w:p>
    <w:p>
      <w:pPr>
        <w:pStyle w:val="35"/>
        <w:adjustRightInd w:val="0"/>
        <w:snapToGrid w:val="0"/>
        <w:spacing w:beforeLines="100" w:afterLines="100" w:line="360" w:lineRule="auto"/>
        <w:ind w:left="420" w:firstLine="0" w:firstLineChars="0"/>
        <w:rPr>
          <w:rFonts w:ascii="仿宋" w:hAnsi="仿宋" w:eastAsia="仿宋" w:cs="仿宋"/>
          <w:b/>
          <w:bCs/>
          <w:sz w:val="28"/>
          <w:szCs w:val="28"/>
        </w:rPr>
      </w:pPr>
      <w:r>
        <w:rPr>
          <w:rFonts w:ascii="仿宋" w:hAnsi="仿宋" w:eastAsia="仿宋" w:cs="仿宋"/>
          <w:sz w:val="28"/>
          <w:szCs w:val="28"/>
        </w:rPr>
        <w:t>潜在</w:t>
      </w:r>
      <w:r>
        <w:rPr>
          <w:rFonts w:hint="eastAsia" w:ascii="仿宋" w:hAnsi="仿宋" w:eastAsia="仿宋" w:cs="仿宋"/>
          <w:sz w:val="28"/>
          <w:szCs w:val="28"/>
        </w:rPr>
        <w:t>意向市场主体对本项目的其他合理化建议或意见。</w:t>
      </w:r>
    </w:p>
    <w:p>
      <w:pPr>
        <w:adjustRightInd w:val="0"/>
        <w:snapToGrid w:val="0"/>
        <w:spacing w:beforeLines="100" w:afterLines="100" w:line="360" w:lineRule="auto"/>
        <w:ind w:firstLine="560" w:firstLineChars="200"/>
        <w:rPr>
          <w:rFonts w:ascii="仿宋" w:hAnsi="仿宋" w:eastAsia="仿宋" w:cs="仿宋"/>
          <w:bCs/>
          <w:sz w:val="28"/>
          <w:szCs w:val="28"/>
          <w:u w:val="single"/>
        </w:rPr>
      </w:pPr>
      <w:r>
        <w:rPr>
          <w:rFonts w:hint="eastAsia" w:ascii="仿宋" w:hAnsi="仿宋" w:eastAsia="仿宋" w:cs="仿宋"/>
          <w:bCs/>
          <w:sz w:val="28"/>
          <w:szCs w:val="28"/>
        </w:rPr>
        <w:t>相关意向、意见和建议</w:t>
      </w:r>
      <w:r>
        <w:rPr>
          <w:rFonts w:hint="eastAsia" w:ascii="仿宋" w:hAnsi="仿宋" w:eastAsia="仿宋" w:cs="仿宋"/>
          <w:bCs/>
          <w:sz w:val="28"/>
          <w:szCs w:val="28"/>
          <w:u w:val="single"/>
        </w:rPr>
        <w:t xml:space="preserve">                                     。</w:t>
      </w:r>
    </w:p>
    <w:p>
      <w:pPr>
        <w:adjustRightInd w:val="0"/>
        <w:snapToGrid w:val="0"/>
        <w:spacing w:beforeLines="100" w:afterLines="100" w:line="360" w:lineRule="auto"/>
        <w:ind w:firstLine="562" w:firstLineChars="200"/>
        <w:rPr>
          <w:rFonts w:ascii="仿宋" w:hAnsi="仿宋" w:eastAsia="仿宋" w:cs="仿宋"/>
          <w:bCs/>
          <w:sz w:val="28"/>
          <w:szCs w:val="28"/>
        </w:rPr>
      </w:pPr>
      <w:r>
        <w:rPr>
          <w:rFonts w:hint="eastAsia" w:ascii="仿宋" w:hAnsi="仿宋" w:eastAsia="仿宋" w:cs="仿宋"/>
          <w:b/>
          <w:sz w:val="28"/>
          <w:szCs w:val="28"/>
        </w:rPr>
        <w:t>本调查所有内容的意见及建议均需逐项做出回应，必要时可采用附件形式提供。以上内容回复如有缺项，将视为未实质性回应，不予接收。</w:t>
      </w:r>
    </w:p>
    <w:p>
      <w:pPr>
        <w:adjustRightInd w:val="0"/>
        <w:snapToGrid w:val="0"/>
        <w:spacing w:beforeLines="100" w:afterLines="50" w:line="360" w:lineRule="auto"/>
        <w:rPr>
          <w:rFonts w:ascii="仿宋" w:hAnsi="仿宋" w:eastAsia="仿宋" w:cs="仿宋"/>
          <w:color w:val="FF0000"/>
        </w:rPr>
      </w:pPr>
    </w:p>
    <w:sectPr>
      <w:headerReference r:id="rId4" w:type="default"/>
      <w:footerReference r:id="rId5" w:type="default"/>
      <w:pgSz w:w="11906" w:h="16838"/>
      <w:pgMar w:top="1304" w:right="1644" w:bottom="1304" w:left="1644" w:header="680"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MingLiU">
    <w:altName w:val="宋体-繁"/>
    <w:panose1 w:val="02020509000000000000"/>
    <w:charset w:val="88"/>
    <w:family w:val="modern"/>
    <w:pitch w:val="default"/>
    <w:sig w:usb0="00000000" w:usb1="00000000" w:usb2="00000016" w:usb3="00000000" w:csb0="00100001" w:csb1="00000000"/>
  </w:font>
  <w:font w:name="Georgia">
    <w:panose1 w:val="02040502050405090303"/>
    <w:charset w:val="00"/>
    <w:family w:val="roman"/>
    <w:pitch w:val="default"/>
    <w:sig w:usb0="00000287" w:usb1="00000000" w:usb2="00000000" w:usb3="00000000" w:csb0="200000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繁">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Setyc0wEAAKsDAAAOAAAAZHJz&#10;L2Uyb0RvYy54bWytU82O0zAQviPxDpbvNGmFoERNV0jVIiQEKy37AK7jNJb8pxm3SXkAeANOXLjz&#10;XH0Oxk7ahd3LHvaSzIzH38z3zXh1NVjDDgpQe1fz+azkTDnpG+12Nb/7ev1qyRlG4RphvFM1Pyrk&#10;V+uXL1Z9qNTCd940ChiBOKz6UPMuxlAVBcpOWYEzH5Sjw9aDFZFc2BUNiJ7QrSkWZfmm6D00AbxU&#10;iBTdjId8QoSnAPq21VJtvNxb5eKICsqISJSw0wH5OnfbtkrGL22LKjJTc2Ia85eKkL1N32K9EtUO&#10;ROi0nFoQT2nhAScrtKOiF6iNiILtQT+CslqCR9/GmfS2GIlkRYjFvHygzW0ngspcSGoMF9Hx+WDl&#10;58MNMN3U/HX57i1nTlia+ennj9OvP6ff39kiKdQHrCjxNtzA5CGZie7Qgk1/IsKGrOrxoqoaIpMU&#10;nC8Xy2VJgks6OzuEU9xfD4Dxg/KWJaPmQGPLaorDJ4xj6jklVXP+WhtDcVEZ91+AMMeIyrOfbqf+&#10;x46TFYftMNHY+uZI9Ok1UNXOwzfOetqFmjtafc7MR0dSp7U5G3A2tmdDOEkXaz42jOH9PlJ3uelU&#10;bKxAZJNDM8y0p31LS/Kvn7Pu39j6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l1uVLQAAAABQEA&#10;AA8AAAAAAAAAAQAgAAAAOAAAAGRycy9kb3ducmV2LnhtbFBLAQIUABQAAAAIAIdO4kBSetyc0wEA&#10;AKsDAAAOAAAAAAAAAAEAIAAAADUBAABkcnMvZTJvRG9jLnhtbFBLBQYAAAAABgAGAFkBAAB6BQAA&#10;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510"/>
      </w:tabs>
      <w:adjustRightInd w:val="0"/>
      <w:snapToGrid w:val="0"/>
      <w:jc w:val="right"/>
      <w:rPr>
        <w:rFonts w:eastAsia="黑体"/>
        <w:w w:val="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16"/>
        <w:szCs w:val="16"/>
      </w:rPr>
    </w:pPr>
    <w:r>
      <w:rPr>
        <w:rFonts w:hint="eastAsia"/>
        <w:sz w:val="16"/>
        <w:szCs w:val="16"/>
      </w:rPr>
      <w:t>市场测试</w:t>
    </w:r>
  </w:p>
  <w:p>
    <w:pPr>
      <w:tabs>
        <w:tab w:val="left" w:pos="3510"/>
      </w:tabs>
      <w:adjustRightInd w:val="0"/>
      <w:snapToGrid w:val="0"/>
      <w:jc w:val="right"/>
      <w:rPr>
        <w:rFonts w:eastAsia="黑体"/>
        <w:w w:val="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C17A0"/>
    <w:multiLevelType w:val="singleLevel"/>
    <w:tmpl w:val="2CEC17A0"/>
    <w:lvl w:ilvl="0" w:tentative="0">
      <w:start w:val="1"/>
      <w:numFmt w:val="decimal"/>
      <w:pStyle w:val="4"/>
      <w:lvlText w:val="3.1.%1"/>
      <w:lvlJc w:val="left"/>
      <w:pPr>
        <w:tabs>
          <w:tab w:val="left" w:pos="420"/>
        </w:tabs>
        <w:ind w:left="425" w:hanging="425"/>
      </w:pPr>
      <w:rPr>
        <w:rFonts w:hint="default" w:ascii="宋体" w:hAnsi="宋体" w:eastAsia="宋体" w:cs="宋体"/>
        <w:sz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ZDU0ZjdmMTkyMjBlNTg3MzczZWQ4OTk1NTU3NzIifQ=="/>
  </w:docVars>
  <w:rsids>
    <w:rsidRoot w:val="00C04A9B"/>
    <w:rsid w:val="00387D0B"/>
    <w:rsid w:val="00437665"/>
    <w:rsid w:val="00467FB4"/>
    <w:rsid w:val="004B634C"/>
    <w:rsid w:val="0053116E"/>
    <w:rsid w:val="005948F3"/>
    <w:rsid w:val="00666A5C"/>
    <w:rsid w:val="0069779F"/>
    <w:rsid w:val="00752A57"/>
    <w:rsid w:val="00795110"/>
    <w:rsid w:val="007977A3"/>
    <w:rsid w:val="00883580"/>
    <w:rsid w:val="008A4B66"/>
    <w:rsid w:val="00987BF9"/>
    <w:rsid w:val="00B045F9"/>
    <w:rsid w:val="00BC6CF1"/>
    <w:rsid w:val="00C04A9B"/>
    <w:rsid w:val="00CE523F"/>
    <w:rsid w:val="00D96376"/>
    <w:rsid w:val="0932548E"/>
    <w:rsid w:val="2C40754D"/>
    <w:rsid w:val="37AD50B5"/>
    <w:rsid w:val="3DFA8949"/>
    <w:rsid w:val="3FBFAEEC"/>
    <w:rsid w:val="5B213159"/>
    <w:rsid w:val="5EDBE5C1"/>
    <w:rsid w:val="7937750E"/>
    <w:rsid w:val="7E7F367D"/>
    <w:rsid w:val="7F373574"/>
    <w:rsid w:val="7FDF306F"/>
    <w:rsid w:val="ADFE2244"/>
    <w:rsid w:val="CEFE9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link w:val="26"/>
    <w:qFormat/>
    <w:uiPriority w:val="0"/>
    <w:pPr>
      <w:keepNext/>
      <w:tabs>
        <w:tab w:val="left" w:pos="1322"/>
      </w:tabs>
      <w:snapToGrid w:val="0"/>
      <w:spacing w:before="120" w:after="120"/>
      <w:ind w:left="1322" w:hanging="840"/>
      <w:outlineLvl w:val="1"/>
    </w:pPr>
    <w:rPr>
      <w:rFonts w:ascii="宋体"/>
      <w:b/>
      <w:snapToGrid w:val="0"/>
      <w:kern w:val="0"/>
      <w:sz w:val="32"/>
    </w:rPr>
  </w:style>
  <w:style w:type="paragraph" w:styleId="4">
    <w:name w:val="heading 3"/>
    <w:basedOn w:val="1"/>
    <w:next w:val="1"/>
    <w:qFormat/>
    <w:uiPriority w:val="9"/>
    <w:pPr>
      <w:numPr>
        <w:ilvl w:val="0"/>
        <w:numId w:val="1"/>
      </w:numPr>
      <w:spacing w:before="100" w:beforeAutospacing="1" w:after="100" w:afterAutospacing="1"/>
      <w:jc w:val="left"/>
      <w:outlineLvl w:val="2"/>
    </w:pPr>
    <w:rPr>
      <w:rFonts w:hint="eastAsia" w:ascii="宋体" w:hAnsi="宋体" w:cs="宋体"/>
      <w:b/>
      <w:kern w:val="0"/>
      <w:sz w:val="28"/>
      <w:szCs w:val="27"/>
    </w:rPr>
  </w:style>
  <w:style w:type="paragraph" w:styleId="5">
    <w:name w:val="heading 4"/>
    <w:basedOn w:val="1"/>
    <w:next w:val="1"/>
    <w:link w:val="36"/>
    <w:qFormat/>
    <w:uiPriority w:val="9"/>
    <w:pPr>
      <w:keepNext/>
      <w:keepLines/>
      <w:spacing w:line="360" w:lineRule="auto"/>
      <w:ind w:firstLine="560" w:firstLineChars="200"/>
      <w:outlineLvl w:val="3"/>
    </w:pPr>
    <w:rPr>
      <w:rFonts w:ascii="Arial" w:hAnsi="Arial"/>
      <w:bCs/>
      <w:szCs w:val="28"/>
    </w:rPr>
  </w:style>
  <w:style w:type="character" w:default="1" w:styleId="22">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firstLineChars="200"/>
    </w:pPr>
  </w:style>
  <w:style w:type="paragraph" w:styleId="6">
    <w:name w:val="Document Map"/>
    <w:basedOn w:val="1"/>
    <w:link w:val="40"/>
    <w:qFormat/>
    <w:uiPriority w:val="99"/>
    <w:rPr>
      <w:rFonts w:ascii="宋体"/>
      <w:sz w:val="18"/>
      <w:szCs w:val="18"/>
    </w:rPr>
  </w:style>
  <w:style w:type="paragraph" w:styleId="7">
    <w:name w:val="annotation text"/>
    <w:basedOn w:val="1"/>
    <w:link w:val="32"/>
    <w:qFormat/>
    <w:uiPriority w:val="99"/>
    <w:pPr>
      <w:jc w:val="left"/>
    </w:pPr>
  </w:style>
  <w:style w:type="paragraph" w:styleId="8">
    <w:name w:val="Body Text"/>
    <w:basedOn w:val="1"/>
    <w:link w:val="44"/>
    <w:unhideWhenUsed/>
    <w:qFormat/>
    <w:uiPriority w:val="99"/>
    <w:pPr>
      <w:adjustRightInd w:val="0"/>
      <w:snapToGrid w:val="0"/>
      <w:spacing w:line="360" w:lineRule="auto"/>
      <w:ind w:firstLine="1044" w:firstLineChars="200"/>
    </w:pPr>
    <w:rPr>
      <w:sz w:val="24"/>
      <w:szCs w:val="24"/>
    </w:rPr>
  </w:style>
  <w:style w:type="paragraph" w:styleId="9">
    <w:name w:val="Balloon Text"/>
    <w:basedOn w:val="1"/>
    <w:link w:val="34"/>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rFonts w:ascii="Calibri" w:hAnsi="Calibri" w:cs="宋体"/>
      <w:sz w:val="18"/>
      <w:szCs w:val="18"/>
    </w:rPr>
  </w:style>
  <w:style w:type="paragraph" w:styleId="11">
    <w:name w:val="header"/>
    <w:basedOn w:val="1"/>
    <w:link w:val="27"/>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7"/>
    <w:next w:val="7"/>
    <w:link w:val="33"/>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6">
    <w:name w:val="Medium Grid 3 Accent 1"/>
    <w:basedOn w:val="1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7">
    <w:name w:val="Medium Grid 3 Accent 2"/>
    <w:basedOn w:val="1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8">
    <w:name w:val="Medium Grid 3 Accent 3"/>
    <w:basedOn w:val="1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9">
    <w:name w:val="Medium Grid 3 Accent 4"/>
    <w:basedOn w:val="1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20">
    <w:name w:val="Medium Grid 3 Accent 5"/>
    <w:basedOn w:val="1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21">
    <w:name w:val="Medium Grid 3 Accent 6"/>
    <w:basedOn w:val="1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23">
    <w:name w:val="Hyperlink"/>
    <w:basedOn w:val="22"/>
    <w:qFormat/>
    <w:uiPriority w:val="0"/>
    <w:rPr>
      <w:color w:val="0066CC"/>
      <w:u w:val="single"/>
    </w:rPr>
  </w:style>
  <w:style w:type="character" w:styleId="24">
    <w:name w:val="annotation reference"/>
    <w:basedOn w:val="22"/>
    <w:qFormat/>
    <w:uiPriority w:val="99"/>
    <w:rPr>
      <w:sz w:val="21"/>
      <w:szCs w:val="21"/>
    </w:rPr>
  </w:style>
  <w:style w:type="table" w:customStyle="1" w:styleId="25">
    <w:name w:val="中等深浅网格 31"/>
    <w:basedOn w:val="1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cPr>
        <w:tcBorders>
          <w:top w:val="nil"/>
          <w:left w:val="single" w:color="CCE8CF" w:sz="24" w:space="0"/>
          <w:bottom w:val="nil"/>
          <w:right w:val="nil"/>
          <w:insideH w:val="nil"/>
          <w:insideV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character" w:customStyle="1" w:styleId="26">
    <w:name w:val="标题 2 Char"/>
    <w:basedOn w:val="22"/>
    <w:link w:val="2"/>
    <w:qFormat/>
    <w:uiPriority w:val="0"/>
    <w:rPr>
      <w:rFonts w:ascii="宋体" w:hAnsi="Times New Roman" w:eastAsia="宋体" w:cs="Times New Roman"/>
      <w:b/>
      <w:snapToGrid w:val="0"/>
      <w:kern w:val="0"/>
      <w:sz w:val="32"/>
      <w:szCs w:val="20"/>
    </w:rPr>
  </w:style>
  <w:style w:type="character" w:customStyle="1" w:styleId="27">
    <w:name w:val="页眉 Char"/>
    <w:basedOn w:val="22"/>
    <w:link w:val="11"/>
    <w:qFormat/>
    <w:uiPriority w:val="99"/>
    <w:rPr>
      <w:sz w:val="18"/>
      <w:szCs w:val="18"/>
    </w:rPr>
  </w:style>
  <w:style w:type="character" w:customStyle="1" w:styleId="28">
    <w:name w:val="页脚 Char"/>
    <w:basedOn w:val="22"/>
    <w:link w:val="10"/>
    <w:qFormat/>
    <w:uiPriority w:val="99"/>
    <w:rPr>
      <w:sz w:val="18"/>
      <w:szCs w:val="18"/>
    </w:rPr>
  </w:style>
  <w:style w:type="character" w:customStyle="1" w:styleId="29">
    <w:name w:val="正文文本 (2)"/>
    <w:basedOn w:val="22"/>
    <w:qFormat/>
    <w:uiPriority w:val="0"/>
    <w:rPr>
      <w:rFonts w:ascii="MingLiU" w:hAnsi="MingLiU" w:eastAsia="MingLiU" w:cs="MingLiU"/>
      <w:color w:val="000000"/>
      <w:spacing w:val="0"/>
      <w:w w:val="100"/>
      <w:position w:val="0"/>
      <w:sz w:val="26"/>
      <w:szCs w:val="26"/>
      <w:u w:val="single"/>
      <w:lang w:val="zh-TW" w:eastAsia="zh-TW" w:bidi="zh-TW"/>
    </w:rPr>
  </w:style>
  <w:style w:type="character" w:customStyle="1" w:styleId="30">
    <w:name w:val="正文文本 (2) + Georgia"/>
    <w:basedOn w:val="22"/>
    <w:qFormat/>
    <w:uiPriority w:val="0"/>
    <w:rPr>
      <w:rFonts w:ascii="Georgia" w:hAnsi="Georgia" w:eastAsia="Georgia" w:cs="Georgia"/>
      <w:color w:val="000000"/>
      <w:spacing w:val="0"/>
      <w:w w:val="100"/>
      <w:position w:val="0"/>
      <w:sz w:val="26"/>
      <w:szCs w:val="26"/>
      <w:u w:val="none"/>
      <w:lang w:val="en-US" w:eastAsia="en-US" w:bidi="en-US"/>
    </w:rPr>
  </w:style>
  <w:style w:type="paragraph" w:customStyle="1" w:styleId="31">
    <w:name w:val="列出段落1"/>
    <w:basedOn w:val="1"/>
    <w:qFormat/>
    <w:uiPriority w:val="34"/>
    <w:pPr>
      <w:ind w:firstLine="420" w:firstLineChars="200"/>
    </w:pPr>
    <w:rPr>
      <w:rFonts w:ascii="Calibri" w:hAnsi="Calibri" w:cs="宋体"/>
      <w:szCs w:val="22"/>
    </w:rPr>
  </w:style>
  <w:style w:type="character" w:customStyle="1" w:styleId="32">
    <w:name w:val="批注文字 Char"/>
    <w:basedOn w:val="22"/>
    <w:link w:val="7"/>
    <w:qFormat/>
    <w:uiPriority w:val="99"/>
    <w:rPr>
      <w:rFonts w:ascii="Times New Roman" w:hAnsi="Times New Roman" w:eastAsia="宋体" w:cs="Times New Roman"/>
      <w:kern w:val="2"/>
      <w:sz w:val="21"/>
    </w:rPr>
  </w:style>
  <w:style w:type="character" w:customStyle="1" w:styleId="33">
    <w:name w:val="批注主题 Char"/>
    <w:basedOn w:val="32"/>
    <w:link w:val="13"/>
    <w:qFormat/>
    <w:uiPriority w:val="99"/>
    <w:rPr>
      <w:rFonts w:ascii="Times New Roman" w:hAnsi="Times New Roman" w:eastAsia="宋体" w:cs="Times New Roman"/>
      <w:b/>
      <w:bCs/>
      <w:kern w:val="2"/>
      <w:sz w:val="21"/>
    </w:rPr>
  </w:style>
  <w:style w:type="character" w:customStyle="1" w:styleId="34">
    <w:name w:val="批注框文本 Char"/>
    <w:basedOn w:val="22"/>
    <w:link w:val="9"/>
    <w:qFormat/>
    <w:uiPriority w:val="99"/>
    <w:rPr>
      <w:rFonts w:ascii="Times New Roman" w:hAnsi="Times New Roman" w:eastAsia="宋体" w:cs="Times New Roman"/>
      <w:kern w:val="2"/>
      <w:sz w:val="18"/>
      <w:szCs w:val="18"/>
    </w:rPr>
  </w:style>
  <w:style w:type="paragraph" w:styleId="35">
    <w:name w:val="List Paragraph"/>
    <w:basedOn w:val="1"/>
    <w:qFormat/>
    <w:uiPriority w:val="99"/>
    <w:pPr>
      <w:ind w:firstLine="420" w:firstLineChars="200"/>
    </w:pPr>
  </w:style>
  <w:style w:type="character" w:customStyle="1" w:styleId="36">
    <w:name w:val="标题 4 Char"/>
    <w:basedOn w:val="22"/>
    <w:link w:val="5"/>
    <w:qFormat/>
    <w:uiPriority w:val="0"/>
    <w:rPr>
      <w:rFonts w:ascii="Arial" w:hAnsi="Arial"/>
      <w:bCs/>
      <w:szCs w:val="28"/>
    </w:rPr>
  </w:style>
  <w:style w:type="paragraph" w:customStyle="1" w:styleId="37">
    <w:name w:val="样式 宋体 行距: 1.5 倍行距 首行缩进:  2 字符"/>
    <w:basedOn w:val="1"/>
    <w:qFormat/>
    <w:uiPriority w:val="0"/>
    <w:pPr>
      <w:spacing w:line="360" w:lineRule="auto"/>
      <w:ind w:firstLine="560" w:firstLineChars="200"/>
    </w:pPr>
    <w:rPr>
      <w:rFonts w:cs="宋体"/>
    </w:rPr>
  </w:style>
  <w:style w:type="paragraph" w:customStyle="1" w:styleId="38">
    <w:name w:val="样式 行距: 1.5 倍行距 首行缩进:  2 字符"/>
    <w:basedOn w:val="1"/>
    <w:qFormat/>
    <w:uiPriority w:val="0"/>
    <w:pPr>
      <w:spacing w:line="360" w:lineRule="auto"/>
      <w:ind w:firstLine="560" w:firstLineChars="200"/>
    </w:pPr>
    <w:rPr>
      <w:rFonts w:cs="宋体"/>
    </w:rPr>
  </w:style>
  <w:style w:type="character" w:customStyle="1" w:styleId="39">
    <w:name w:val="样式 宋体"/>
    <w:qFormat/>
    <w:uiPriority w:val="0"/>
    <w:rPr>
      <w:rFonts w:ascii="Times New Roman" w:hAnsi="Times New Roman"/>
    </w:rPr>
  </w:style>
  <w:style w:type="character" w:customStyle="1" w:styleId="40">
    <w:name w:val="文档结构图 Char"/>
    <w:basedOn w:val="22"/>
    <w:link w:val="6"/>
    <w:qFormat/>
    <w:uiPriority w:val="99"/>
    <w:rPr>
      <w:rFonts w:ascii="宋体"/>
      <w:kern w:val="2"/>
      <w:sz w:val="18"/>
      <w:szCs w:val="18"/>
    </w:rPr>
  </w:style>
  <w:style w:type="paragraph" w:customStyle="1" w:styleId="41">
    <w:name w:val="图表文字"/>
    <w:basedOn w:val="1"/>
    <w:qFormat/>
    <w:uiPriority w:val="0"/>
    <w:pPr>
      <w:adjustRightInd w:val="0"/>
      <w:snapToGrid w:val="0"/>
    </w:pPr>
    <w:rPr>
      <w:rFonts w:eastAsia="仿宋_GB2312"/>
      <w:sz w:val="24"/>
      <w:szCs w:val="24"/>
    </w:rPr>
  </w:style>
  <w:style w:type="paragraph" w:customStyle="1" w:styleId="42">
    <w:name w:val="正文1"/>
    <w:uiPriority w:val="0"/>
    <w:pPr>
      <w:jc w:val="both"/>
    </w:pPr>
    <w:rPr>
      <w:rFonts w:ascii="Times New Roman" w:hAnsi="Times New Roman" w:eastAsia="宋体" w:cs="Times New Roman"/>
      <w:kern w:val="2"/>
      <w:sz w:val="21"/>
      <w:szCs w:val="21"/>
      <w:lang w:val="en-US" w:eastAsia="zh-CN" w:bidi="ar-SA"/>
    </w:rPr>
  </w:style>
  <w:style w:type="paragraph" w:customStyle="1" w:styleId="43">
    <w:name w:val="Normal"/>
    <w:uiPriority w:val="0"/>
    <w:pPr>
      <w:jc w:val="both"/>
    </w:pPr>
    <w:rPr>
      <w:rFonts w:ascii="Times New Roman" w:hAnsi="Times New Roman" w:eastAsia="宋体" w:cs="Times New Roman"/>
      <w:kern w:val="2"/>
      <w:sz w:val="21"/>
      <w:szCs w:val="21"/>
      <w:lang w:val="en-US" w:eastAsia="zh-CN" w:bidi="ar-SA"/>
    </w:rPr>
  </w:style>
  <w:style w:type="character" w:customStyle="1" w:styleId="44">
    <w:name w:val="正文文本 Char"/>
    <w:basedOn w:val="22"/>
    <w:link w:val="8"/>
    <w:qFormat/>
    <w:uiPriority w:val="99"/>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935</Words>
  <Characters>5336</Characters>
  <Lines>44</Lines>
  <Paragraphs>12</Paragraphs>
  <TotalTime>72</TotalTime>
  <ScaleCrop>false</ScaleCrop>
  <LinksUpToDate>false</LinksUpToDate>
  <CharactersWithSpaces>6259</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2024-01-19T10:15:00Z</dcterms:created>
  <dc:creator>admin</dc:creator>
  <cp:lastModifiedBy>lixue</cp:lastModifiedBy>
  <cp:lastPrinted>2018-01-27T07:28:00Z</cp:lastPrinted>
  <dcterms:modified xsi:type="dcterms:W3CDTF">2024-04-07T15:53:08Z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F792F538306A4A67980367D7A010466B_13</vt:lpwstr>
  </property>
</Properties>
</file>