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A3836">
      <w:pPr>
        <w:pStyle w:val="2"/>
        <w:jc w:val="left"/>
        <w:rPr>
          <w:rFonts w:ascii="方正公文小标宋" w:eastAsia="方正公文小标宋"/>
          <w:b w:val="0"/>
          <w:sz w:val="84"/>
          <w:szCs w:val="84"/>
          <w:lang w:eastAsia="zh-CN"/>
        </w:rPr>
      </w:pPr>
    </w:p>
    <w:p w14:paraId="5C62EB28">
      <w:pPr>
        <w:pStyle w:val="2"/>
        <w:jc w:val="left"/>
        <w:rPr>
          <w:rFonts w:ascii="方正公文小标宋" w:eastAsia="方正公文小标宋"/>
          <w:b w:val="0"/>
          <w:sz w:val="84"/>
          <w:szCs w:val="84"/>
          <w:lang w:eastAsia="zh-CN"/>
        </w:rPr>
      </w:pPr>
    </w:p>
    <w:p w14:paraId="358E797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辽宁省朝阳市北票市冠山街道</w:t>
      </w:r>
    </w:p>
    <w:p w14:paraId="7B58445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DFF92B5">
      <w:pPr>
        <w:rPr>
          <w:rFonts w:ascii="方正公文小标宋" w:eastAsia="方正公文小标宋"/>
          <w:sz w:val="84"/>
          <w:szCs w:val="84"/>
          <w:lang w:eastAsia="zh-CN"/>
        </w:rPr>
      </w:pPr>
    </w:p>
    <w:p w14:paraId="2A1E8701">
      <w:pPr>
        <w:rPr>
          <w:rFonts w:ascii="方正公文小标宋" w:eastAsia="方正公文小标宋"/>
          <w:sz w:val="84"/>
          <w:szCs w:val="84"/>
          <w:lang w:eastAsia="zh-CN"/>
        </w:rPr>
      </w:pPr>
    </w:p>
    <w:p w14:paraId="7EF0CAC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193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4347A19">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snapToGrid w:val="0"/>
              <w:color w:val="000000"/>
              <w:kern w:val="0"/>
              <w:sz w:val="44"/>
              <w:szCs w:val="44"/>
              <w:lang w:val="en-US" w:eastAsia="zh-CN" w:bidi="ar-SA"/>
            </w:rPr>
          </w:pPr>
          <w:r>
            <w:rPr>
              <w:rFonts w:hint="eastAsia" w:ascii="Times New Roman" w:hAnsi="Times New Roman" w:eastAsia="方正公文小标宋" w:cs="Times New Roman"/>
              <w:snapToGrid w:val="0"/>
              <w:color w:val="000000"/>
              <w:kern w:val="0"/>
              <w:sz w:val="44"/>
              <w:szCs w:val="44"/>
              <w:lang w:val="en-US" w:eastAsia="zh-CN" w:bidi="ar-SA"/>
            </w:rPr>
            <w:t>目录</w:t>
          </w:r>
        </w:p>
        <w:p w14:paraId="3E31CADA">
          <w:pPr>
            <w:pStyle w:val="7"/>
            <w:numPr>
              <w:ilvl w:val="0"/>
              <w:numId w:val="0"/>
            </w:numPr>
            <w:tabs>
              <w:tab w:val="right" w:leader="dot" w:pos="14001"/>
            </w:tabs>
            <w:ind w:leftChars="0"/>
            <w:rPr>
              <w:sz w:val="32"/>
              <w:szCs w:val="32"/>
            </w:rPr>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color w:val="auto"/>
              <w:spacing w:val="7"/>
              <w:sz w:val="32"/>
              <w:szCs w:val="32"/>
              <w:lang w:eastAsia="zh-CN"/>
            </w:rPr>
            <w:instrText xml:space="preserve">TOC \o "1-1" \h \u </w:instrText>
          </w:r>
          <w:r>
            <w:rPr>
              <w:rFonts w:ascii="Times New Roman" w:hAnsi="Times New Roman" w:eastAsia="方正小标宋_GBK" w:cs="Times New Roman"/>
              <w:color w:val="auto"/>
              <w:spacing w:val="7"/>
              <w:sz w:val="32"/>
              <w:szCs w:val="32"/>
              <w:lang w:eastAsia="zh-CN"/>
            </w:rPr>
            <w:fldChar w:fldCharType="separate"/>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spacing w:val="7"/>
              <w:sz w:val="32"/>
              <w:szCs w:val="32"/>
              <w:lang w:eastAsia="zh-CN"/>
            </w:rPr>
            <w:instrText xml:space="preserve"> HYPERLINK \l _Toc5541 </w:instrText>
          </w:r>
          <w:r>
            <w:rPr>
              <w:rFonts w:ascii="Times New Roman" w:hAnsi="Times New Roman" w:eastAsia="方正小标宋_GBK" w:cs="Times New Roman"/>
              <w:spacing w:val="7"/>
              <w:sz w:val="32"/>
              <w:szCs w:val="32"/>
              <w:lang w:eastAsia="zh-CN"/>
            </w:rPr>
            <w:fldChar w:fldCharType="separate"/>
          </w:r>
          <w:r>
            <w:rPr>
              <w:rFonts w:ascii="Times New Roman" w:hAnsi="Times New Roman" w:eastAsia="方正公文小标宋" w:cs="Times New Roman"/>
              <w:sz w:val="32"/>
              <w:szCs w:val="32"/>
              <w:lang w:eastAsia="zh-CN"/>
            </w:rPr>
            <w:t>基本</w:t>
          </w:r>
          <w:r>
            <w:rPr>
              <w:rFonts w:hint="eastAsia" w:ascii="Times New Roman" w:hAnsi="Times New Roman" w:eastAsia="方正公文小标宋" w:cs="Times New Roman"/>
              <w:sz w:val="32"/>
              <w:szCs w:val="32"/>
              <w:lang w:eastAsia="zh-CN"/>
            </w:rPr>
            <w:t>履职</w:t>
          </w:r>
          <w:r>
            <w:rPr>
              <w:rFonts w:ascii="Times New Roman" w:hAnsi="Times New Roman" w:eastAsia="方正公文小标宋" w:cs="Times New Roman"/>
              <w:sz w:val="32"/>
              <w:szCs w:val="32"/>
              <w:lang w:eastAsia="zh-CN"/>
            </w:rPr>
            <w:t>事项清单</w:t>
          </w:r>
          <w:r>
            <w:rPr>
              <w:sz w:val="32"/>
              <w:szCs w:val="32"/>
            </w:rPr>
            <w:tab/>
          </w:r>
          <w:r>
            <w:rPr>
              <w:sz w:val="32"/>
              <w:szCs w:val="32"/>
            </w:rPr>
            <w:fldChar w:fldCharType="begin"/>
          </w:r>
          <w:r>
            <w:rPr>
              <w:sz w:val="32"/>
              <w:szCs w:val="32"/>
            </w:rPr>
            <w:instrText xml:space="preserve"> PAGEREF _Toc5541 \h </w:instrText>
          </w:r>
          <w:r>
            <w:rPr>
              <w:sz w:val="32"/>
              <w:szCs w:val="32"/>
            </w:rPr>
            <w:fldChar w:fldCharType="separate"/>
          </w:r>
          <w:r>
            <w:rPr>
              <w:sz w:val="32"/>
              <w:szCs w:val="32"/>
            </w:rPr>
            <w:t>1</w:t>
          </w:r>
          <w:r>
            <w:rPr>
              <w:sz w:val="32"/>
              <w:szCs w:val="32"/>
            </w:rPr>
            <w:fldChar w:fldCharType="end"/>
          </w:r>
          <w:r>
            <w:rPr>
              <w:rFonts w:ascii="Times New Roman" w:hAnsi="Times New Roman" w:eastAsia="方正小标宋_GBK" w:cs="Times New Roman"/>
              <w:color w:val="auto"/>
              <w:spacing w:val="7"/>
              <w:sz w:val="32"/>
              <w:szCs w:val="32"/>
              <w:lang w:eastAsia="zh-CN"/>
            </w:rPr>
            <w:fldChar w:fldCharType="end"/>
          </w:r>
        </w:p>
        <w:p w14:paraId="7898BE33">
          <w:pPr>
            <w:pStyle w:val="7"/>
            <w:numPr>
              <w:ilvl w:val="0"/>
              <w:numId w:val="0"/>
            </w:numPr>
            <w:tabs>
              <w:tab w:val="right" w:leader="dot" w:pos="14001"/>
            </w:tabs>
            <w:ind w:leftChars="0"/>
            <w:rPr>
              <w:sz w:val="32"/>
              <w:szCs w:val="32"/>
            </w:rPr>
          </w:pPr>
          <w:r>
            <w:rPr>
              <w:rFonts w:hint="eastAsia" w:eastAsia="方正小标宋_GBK" w:cs="Times New Roman"/>
              <w:color w:val="auto"/>
              <w:spacing w:val="7"/>
              <w:sz w:val="32"/>
              <w:szCs w:val="32"/>
              <w:lang w:val="en-US" w:eastAsia="zh-CN"/>
            </w:rPr>
            <w:t>2.</w:t>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spacing w:val="7"/>
              <w:sz w:val="32"/>
              <w:szCs w:val="32"/>
              <w:lang w:eastAsia="zh-CN"/>
            </w:rPr>
            <w:instrText xml:space="preserve"> HYPERLINK \l _Toc8595 </w:instrText>
          </w:r>
          <w:r>
            <w:rPr>
              <w:rFonts w:ascii="Times New Roman" w:hAnsi="Times New Roman" w:eastAsia="方正小标宋_GBK" w:cs="Times New Roman"/>
              <w:spacing w:val="7"/>
              <w:sz w:val="32"/>
              <w:szCs w:val="32"/>
              <w:lang w:eastAsia="zh-CN"/>
            </w:rPr>
            <w:fldChar w:fldCharType="separate"/>
          </w:r>
          <w:r>
            <w:rPr>
              <w:rFonts w:ascii="Times New Roman" w:hAnsi="Times New Roman" w:eastAsia="方正公文小标宋" w:cs="Times New Roman"/>
              <w:sz w:val="32"/>
              <w:szCs w:val="32"/>
              <w:lang w:eastAsia="zh-CN"/>
            </w:rPr>
            <w:t>配合</w:t>
          </w:r>
          <w:r>
            <w:rPr>
              <w:rFonts w:hint="eastAsia" w:ascii="Times New Roman" w:hAnsi="Times New Roman" w:eastAsia="方正公文小标宋" w:cs="Times New Roman"/>
              <w:sz w:val="32"/>
              <w:szCs w:val="32"/>
              <w:lang w:eastAsia="zh-CN"/>
            </w:rPr>
            <w:t>履职事项</w:t>
          </w:r>
          <w:r>
            <w:rPr>
              <w:rFonts w:ascii="Times New Roman" w:hAnsi="Times New Roman" w:eastAsia="方正公文小标宋" w:cs="Times New Roman"/>
              <w:sz w:val="32"/>
              <w:szCs w:val="32"/>
              <w:lang w:eastAsia="zh-CN"/>
            </w:rPr>
            <w:t>清单</w:t>
          </w:r>
          <w:r>
            <w:rPr>
              <w:sz w:val="32"/>
              <w:szCs w:val="32"/>
            </w:rPr>
            <w:tab/>
          </w:r>
          <w:r>
            <w:rPr>
              <w:sz w:val="32"/>
              <w:szCs w:val="32"/>
            </w:rPr>
            <w:fldChar w:fldCharType="begin"/>
          </w:r>
          <w:r>
            <w:rPr>
              <w:sz w:val="32"/>
              <w:szCs w:val="32"/>
            </w:rPr>
            <w:instrText xml:space="preserve"> PAGEREF _Toc8595 \h </w:instrText>
          </w:r>
          <w:r>
            <w:rPr>
              <w:sz w:val="32"/>
              <w:szCs w:val="32"/>
            </w:rPr>
            <w:fldChar w:fldCharType="separate"/>
          </w:r>
          <w:r>
            <w:rPr>
              <w:sz w:val="32"/>
              <w:szCs w:val="32"/>
            </w:rPr>
            <w:t>10</w:t>
          </w:r>
          <w:r>
            <w:rPr>
              <w:sz w:val="32"/>
              <w:szCs w:val="32"/>
            </w:rPr>
            <w:fldChar w:fldCharType="end"/>
          </w:r>
          <w:r>
            <w:rPr>
              <w:rFonts w:ascii="Times New Roman" w:hAnsi="Times New Roman" w:eastAsia="方正小标宋_GBK" w:cs="Times New Roman"/>
              <w:color w:val="auto"/>
              <w:spacing w:val="7"/>
              <w:sz w:val="32"/>
              <w:szCs w:val="32"/>
              <w:lang w:eastAsia="zh-CN"/>
            </w:rPr>
            <w:fldChar w:fldCharType="end"/>
          </w:r>
        </w:p>
        <w:p w14:paraId="5F8DF32D">
          <w:pPr>
            <w:pStyle w:val="7"/>
            <w:numPr>
              <w:ilvl w:val="0"/>
              <w:numId w:val="0"/>
            </w:numPr>
            <w:tabs>
              <w:tab w:val="right" w:leader="dot" w:pos="14001"/>
            </w:tabs>
            <w:ind w:leftChars="0"/>
            <w:rPr>
              <w:sz w:val="32"/>
              <w:szCs w:val="32"/>
            </w:rPr>
          </w:pPr>
          <w:r>
            <w:rPr>
              <w:rFonts w:hint="eastAsia" w:eastAsia="方正小标宋_GBK" w:cs="Times New Roman"/>
              <w:color w:val="auto"/>
              <w:spacing w:val="7"/>
              <w:sz w:val="32"/>
              <w:szCs w:val="32"/>
              <w:lang w:val="en-US" w:eastAsia="zh-CN"/>
            </w:rPr>
            <w:t>3.</w:t>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spacing w:val="7"/>
              <w:sz w:val="32"/>
              <w:szCs w:val="32"/>
              <w:lang w:eastAsia="zh-CN"/>
            </w:rPr>
            <w:instrText xml:space="preserve"> HYPERLINK \l _Toc23481 </w:instrText>
          </w:r>
          <w:r>
            <w:rPr>
              <w:rFonts w:ascii="Times New Roman" w:hAnsi="Times New Roman" w:eastAsia="方正小标宋_GBK" w:cs="Times New Roman"/>
              <w:spacing w:val="7"/>
              <w:sz w:val="32"/>
              <w:szCs w:val="32"/>
              <w:lang w:eastAsia="zh-CN"/>
            </w:rPr>
            <w:fldChar w:fldCharType="separate"/>
          </w:r>
          <w:r>
            <w:rPr>
              <w:rFonts w:hint="eastAsia" w:ascii="Times New Roman" w:hAnsi="Times New Roman" w:eastAsia="方正公文小标宋" w:cs="Times New Roman"/>
              <w:sz w:val="32"/>
              <w:szCs w:val="32"/>
              <w:lang w:eastAsia="zh-CN"/>
            </w:rPr>
            <w:t>上级部门收回事项清单</w:t>
          </w:r>
          <w:r>
            <w:rPr>
              <w:sz w:val="32"/>
              <w:szCs w:val="32"/>
            </w:rPr>
            <w:tab/>
          </w:r>
          <w:r>
            <w:rPr>
              <w:sz w:val="32"/>
              <w:szCs w:val="32"/>
            </w:rPr>
            <w:fldChar w:fldCharType="begin"/>
          </w:r>
          <w:r>
            <w:rPr>
              <w:sz w:val="32"/>
              <w:szCs w:val="32"/>
            </w:rPr>
            <w:instrText xml:space="preserve"> PAGEREF _Toc23481 \h </w:instrText>
          </w:r>
          <w:r>
            <w:rPr>
              <w:sz w:val="32"/>
              <w:szCs w:val="32"/>
            </w:rPr>
            <w:fldChar w:fldCharType="separate"/>
          </w:r>
          <w:r>
            <w:rPr>
              <w:sz w:val="32"/>
              <w:szCs w:val="32"/>
            </w:rPr>
            <w:t>3</w:t>
          </w:r>
          <w:r>
            <w:rPr>
              <w:rFonts w:hint="eastAsia"/>
              <w:sz w:val="32"/>
              <w:szCs w:val="32"/>
              <w:lang w:val="en-US" w:eastAsia="zh-CN"/>
            </w:rPr>
            <w:t>9</w:t>
          </w:r>
          <w:r>
            <w:rPr>
              <w:sz w:val="32"/>
              <w:szCs w:val="32"/>
            </w:rPr>
            <w:fldChar w:fldCharType="end"/>
          </w:r>
          <w:r>
            <w:rPr>
              <w:rFonts w:ascii="Times New Roman" w:hAnsi="Times New Roman" w:eastAsia="方正小标宋_GBK" w:cs="Times New Roman"/>
              <w:color w:val="auto"/>
              <w:spacing w:val="7"/>
              <w:sz w:val="32"/>
              <w:szCs w:val="32"/>
              <w:lang w:eastAsia="zh-CN"/>
            </w:rPr>
            <w:fldChar w:fldCharType="end"/>
          </w:r>
        </w:p>
        <w:p w14:paraId="21AEC5F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 w:val="32"/>
              <w:szCs w:val="32"/>
              <w:lang w:eastAsia="zh-CN"/>
            </w:rPr>
            <w:fldChar w:fldCharType="end"/>
          </w:r>
        </w:p>
      </w:sdtContent>
    </w:sdt>
    <w:p w14:paraId="112153BF">
      <w:pPr>
        <w:rPr>
          <w:lang w:eastAsia="zh-CN"/>
        </w:rPr>
      </w:pPr>
    </w:p>
    <w:p w14:paraId="5ADCE41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B8211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5541"/>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444D8E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22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A0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DCECA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092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8325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2A79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B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9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865A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工委自身建设，落实理论学习中心组学习制度，跟进学习党的创新理论，加强领导班子建设，贯彻民主集中制，建立健全并执行“三重一大”事项集体决策机制，履行抓基层党建“一岗双责”责任，严格执行党的组织生活制度</w:t>
            </w:r>
          </w:p>
        </w:tc>
      </w:tr>
      <w:tr w14:paraId="2DDD6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A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社区、“两企三新”等党组织建设，负责基层党组织的成立、撤销、调整和换届工作，开展软弱涣散党组织排查整顿，推动党支部标准化规范化建设，规范开展党的组织生活，履行“四议两公开”监督程序，规范党建工作经费使用管理，培育提升基层党建品牌</w:t>
            </w:r>
          </w:p>
        </w:tc>
      </w:tr>
      <w:tr w14:paraId="22030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B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居民委员会、居务监督委员会组织建设，指导做好居民委员会换届和补选工作，开展对居民委员会成员的任期和离任经济责任审计工作，负责居民委员会设立、撤销、范围调整的提议，支持保障依法开展自治活动</w:t>
            </w:r>
          </w:p>
        </w:tc>
      </w:tr>
      <w:tr w14:paraId="50FE7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6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落实党建引领基层治理工作，夯实基层党组织体系建设，做好基层党群阵地建设，探索发展社区经济新路径</w:t>
            </w:r>
          </w:p>
        </w:tc>
      </w:tr>
      <w:tr w14:paraId="01C69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2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3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D757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组织召开党代表会议，做好县级党代表选举和县级以上党代表候选人推荐工作，推动“两代表一委员”工作室建设，支持保障党代表充分履职</w:t>
            </w:r>
          </w:p>
        </w:tc>
      </w:tr>
      <w:tr w14:paraId="7AE3F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负责街道机关干部教育、培训、选拔、考核、管理和监督工作，抓好年轻干部储备、管理和培养</w:t>
            </w:r>
          </w:p>
        </w:tc>
      </w:tr>
      <w:tr w14:paraId="26673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A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负责社区干部的教育、培训、选拔、考核、管理和监督工作，做好社区干部学历提升工作，加强社区后备人才队伍管理</w:t>
            </w:r>
          </w:p>
        </w:tc>
      </w:tr>
      <w:tr w14:paraId="0C8CD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5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9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FD9A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2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2D23A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E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街道、社区两级监督体系建设，按权限分类处置信访举报和问题线索，对违纪违法党员和监察对象做出处理，开展回访教育，受理控告和申诉，落实“阳光三务”工作</w:t>
            </w:r>
          </w:p>
        </w:tc>
      </w:tr>
      <w:tr w14:paraId="1971F4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1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F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BADE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3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7E79F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D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53872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F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推动街道人大工委职责落实，联系辖区内的人大代表，组织人大代表开展活动，反映人大代表和群众的建议、批评和意见，依法做好监督、人大代表选举工作，推动人大代表之家（联络站、联系点）建设</w:t>
            </w:r>
          </w:p>
        </w:tc>
      </w:tr>
      <w:tr w14:paraId="0678C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6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81C1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4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9AC9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5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DBDF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5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9EE5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3A932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F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负责指导推进社区“党建+520”“红色领航365”等“一社区一品牌”</w:t>
            </w:r>
          </w:p>
        </w:tc>
      </w:tr>
      <w:tr w14:paraId="19F3AC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8CA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6907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制定实施经济社会发展规划和产业发展规划，优化产业布局，推进产业转型升级，促进二产、三产融合发展，推动重点产业集群发展，鼓励多种生产经营模式发展特色产业</w:t>
            </w:r>
          </w:p>
        </w:tc>
      </w:tr>
      <w:tr w14:paraId="59CE6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F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9F3C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1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C43B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90D0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3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7F43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6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2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387A9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2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A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F77F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0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摸排闲置厂房、楼宇、土地等资源，开展国有资产的配置、使用等管理工作，盘活闲置国有资产</w:t>
            </w:r>
          </w:p>
        </w:tc>
      </w:tr>
      <w:tr w14:paraId="28A58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B8C3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依法管理、开展统计工作，承担本地经济运行数据统计、分析、上报工作，实施统计调查，做好经济、人口等重大国情国力普查及抽样调查工作</w:t>
            </w:r>
          </w:p>
        </w:tc>
      </w:tr>
      <w:tr w14:paraId="3A0CF6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0AC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5B156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F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8D69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5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37B10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4EEB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7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4E000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推进便民服务站建设，落实帮办代办机制，依法依规出具各类证明材料</w:t>
            </w:r>
          </w:p>
        </w:tc>
      </w:tr>
      <w:tr w14:paraId="00EEA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6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00F9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3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3C736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A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指导社区制定、修订居民公约，并依法依规进行备案</w:t>
            </w:r>
          </w:p>
        </w:tc>
      </w:tr>
      <w:tr w14:paraId="4ABB2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A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73FA4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F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23594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3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2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FA17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07E2F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A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15D2C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3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计划生育家庭特别扶助对象申请的初审、上报、管理工作，做好独生子女父母退休补助费申报等工作，补领、换领独生子女父母光荣证，开展计划生育各类补贴的信息采集、数据上报工作</w:t>
            </w:r>
          </w:p>
        </w:tc>
      </w:tr>
      <w:tr w14:paraId="77E3B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0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D1EB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6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1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29C67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C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5B96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0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C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开展未成年人保护法律法规宣传工作，支持和指导居民委员会做好未成年人保护工作，加强未成年人思想道德建设</w:t>
            </w:r>
          </w:p>
        </w:tc>
      </w:tr>
      <w:tr w14:paraId="27AEBF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F6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4EB5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C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落实法治建设责任，推进法治政府建设，开展法治宣传教育工作，加强法治文化阵地建设，指导社区做好普法宣传工作</w:t>
            </w:r>
          </w:p>
        </w:tc>
      </w:tr>
      <w:tr w14:paraId="5A888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6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F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推进基层治理网格化建设，指导社区科学划分网格，建立网格员队伍，开展业务指导、能力建设和日常管理工作</w:t>
            </w:r>
          </w:p>
        </w:tc>
      </w:tr>
      <w:tr w14:paraId="0B179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C57B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B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F1404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85D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14:paraId="23C0F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9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D1F7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E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负责核实生态环保的信访举报、视频曝光等问题线索，做好涉及街道、社区层面生态环境保护问题的整改工作</w:t>
            </w:r>
          </w:p>
        </w:tc>
      </w:tr>
      <w:tr w14:paraId="476E4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C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组织开展居民小区环境综合整治工作，开展垃圾治理和分类的宣传引导工作，对乱倒（排）污水、垃圾、废弃物、畜禽尸体、粪便等行为进行排查、制止并上报</w:t>
            </w:r>
          </w:p>
        </w:tc>
      </w:tr>
      <w:tr w14:paraId="07AAFA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E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1AFAC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A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E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4BEAD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61601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0E161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D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7D755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C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负责市容市貌、环境卫生管理工作，根据管理权限开展监督检查，负责无物业区域环境卫生维护、人居环境整治及卫生费收缴工作，处理环境卫生相关投诉问题</w:t>
            </w:r>
          </w:p>
        </w:tc>
      </w:tr>
      <w:tr w14:paraId="6D657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负责辖区内绿化管护工作，对日常巡查发现的占绿毁绿行为进行劝阻，开展植树节宣传活动</w:t>
            </w:r>
          </w:p>
        </w:tc>
      </w:tr>
      <w:tr w14:paraId="0C3A4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负责无物业小区、背街小巷等街道本级管理的环卫设施的保养维护及保洁人员配备管理、垃圾点位设置工作</w:t>
            </w:r>
          </w:p>
        </w:tc>
      </w:tr>
      <w:tr w14:paraId="4A847F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150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243D6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2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制定文体旅产业发展规划，推动文体旅深度融合，负责辖区内文化旅游资源保护、开发和利用工作，挖掘百年矿区文化，打造矿区文化品牌</w:t>
            </w:r>
          </w:p>
        </w:tc>
      </w:tr>
      <w:tr w14:paraId="7074C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8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5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02C64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8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5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3C9BAC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BC8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7FDA0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8584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指导、支持、帮助居民委员会开展群众性消防工作</w:t>
            </w:r>
          </w:p>
        </w:tc>
      </w:tr>
      <w:tr w14:paraId="57480B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0E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35B13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31AA7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374D3A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D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47FD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1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w:t>
            </w:r>
          </w:p>
        </w:tc>
      </w:tr>
      <w:tr w14:paraId="5A1B2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F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D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5B650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DA50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落实社区组织运转经费的“社财街管”制度，负责社区干部待遇保障工作</w:t>
            </w:r>
          </w:p>
        </w:tc>
      </w:tr>
      <w:tr w14:paraId="09D64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E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16FF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B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7AE63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B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贯彻执行档案法律法规，建立健全档案管理制度，推进档案室规范化建设，负责档案收集、整理、归档、保管、移交进馆、销毁等工作，做好档案查询工作，指导监督社区做好档案工作</w:t>
            </w:r>
          </w:p>
        </w:tc>
      </w:tr>
    </w:tbl>
    <w:p w14:paraId="7AEE3FD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8595"/>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82AA5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037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882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426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A59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46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B4482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05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5296F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1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F7FE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F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2.做好社区党组织书记日常管理工作。</w:t>
            </w:r>
          </w:p>
        </w:tc>
      </w:tr>
      <w:tr w14:paraId="0B113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1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81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11B1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B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F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D64C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7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5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7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2.引导居民到社区书屋开展读书学习活动；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3.更新维护社区书屋书籍等出版物。</w:t>
            </w:r>
          </w:p>
        </w:tc>
      </w:tr>
      <w:tr w14:paraId="63077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B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7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做好工会组织发展及站点建设工作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1.指导乡镇（街道）开展工会职工法律服务、就业政策宣传工作，组织各类职业技能培训；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2.指导基层做好工会组织建立工作；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3.负责企业工会组织建立、撤销的审批工作；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4.指导各级工会组织做好工会会员系统管理工作；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5.负责工会驿站和职工之家建设工作。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2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1.做好工会职工法律服务、就业政策宣传工作，动员群众参加各类职业技能培训，协助开展各类工会活动；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2.指导企业做好工会组织建立、撤销申请工作；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3.做好工会会员系统管理工作；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4.协助寻找用于建设工会驿站和职工之家的场地，配合做好服务站点的日常维护和管理工作。</w:t>
            </w:r>
          </w:p>
        </w:tc>
      </w:tr>
      <w:tr w14:paraId="6879FF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38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C5DD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3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0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4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4053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E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7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DFCF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A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2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50853F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C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F0FD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9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E7F8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2.推介适合电商销售的特色产品。</w:t>
            </w:r>
          </w:p>
        </w:tc>
      </w:tr>
      <w:tr w14:paraId="54B525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717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737A3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0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2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E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F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6.初审创建充分就业社区、建立舒心就业创业指导服务站相关材料；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7.宣传失业保险政策。</w:t>
            </w:r>
          </w:p>
        </w:tc>
      </w:tr>
      <w:tr w14:paraId="6EB26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7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AE82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6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1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B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9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02AC0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A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A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1.配合勘定和联检本行政区域界线，配合开展界线界桩巡查管护工作，负责域内行政区划变更调整和街道办事处驻地迁移的申报工作，参与调查和调处县乡两级行政区域边界争议工作；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5451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A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E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2.协调、指导各社区支持驻站人员开展为民服务工作。</w:t>
            </w:r>
          </w:p>
        </w:tc>
      </w:tr>
      <w:tr w14:paraId="4C520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D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1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B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48AFE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4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C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6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5DC06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C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3B55D3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E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245D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46EBA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B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3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3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FE18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E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7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9D9D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E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4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A1D6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4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B82C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5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2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8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3.汇总并上报社区待遇领取人员认证信息。</w:t>
            </w:r>
          </w:p>
        </w:tc>
      </w:tr>
      <w:tr w14:paraId="7A3EA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8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C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1A575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3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47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DE712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7CF7D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6623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B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p>
        </w:tc>
      </w:tr>
      <w:tr w14:paraId="220BB0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D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7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3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2450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7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089CED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B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9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541E06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68D736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15B6D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5A2CD7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21B11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7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9ABB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1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D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384D1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1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E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8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A9C5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E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4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1327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125FD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6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1559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B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F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2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A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6878E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8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9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1A030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9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53F49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8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7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60AF62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C5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9318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7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C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787D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1.市公安局查处犬只伤人、犬吠扰民等违法行为，对走失犬只、流浪犬只、送交收容犬只、违法养殖的大型犬、烈性犬或者养犬人拒绝注射疫病疫苗的犬只的收容；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2.市农业农村局采购并配发狂犬疫苗，给注射过狂犬疫苗的宠物犬发放免疫证。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9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2.及时报送流浪犬、不文明养犬等线索；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3.负责辖区内宠物犬登记工作；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4.领取并发放狂犬疫苗；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5.协助给注射过狂犬疫苗的宠物犬发放免疫证。</w:t>
            </w:r>
          </w:p>
        </w:tc>
      </w:tr>
      <w:tr w14:paraId="5CD78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0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5ECC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bookmarkStart w:id="12" w:name="_GoBack"/>
            <w:bookmarkEnd w:id="12"/>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2.协助相关部门做好校园周边安全治理，负责中高考期间考点周边保障护航工作；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3.组织社区对所管辖考点周边存在的各种隐患进行排查上报。</w:t>
            </w:r>
          </w:p>
        </w:tc>
      </w:tr>
      <w:tr w14:paraId="69D05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6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B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1A5C12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0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C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6D3C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8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8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1.建立公共法律服务工作站，指导社区建立公共法律服务工作室；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5E4CD0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9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2.组织社区动态管理。</w:t>
            </w:r>
          </w:p>
        </w:tc>
      </w:tr>
      <w:tr w14:paraId="5B613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0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A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1EDAD2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DE4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五、自然资源（3项）</w:t>
            </w:r>
          </w:p>
        </w:tc>
      </w:tr>
      <w:tr w14:paraId="48E10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5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4F26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2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DC14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B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5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B8D5F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0CF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六、生态环保（6项）</w:t>
            </w:r>
          </w:p>
        </w:tc>
      </w:tr>
      <w:tr w14:paraId="4AB82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4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B5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10A7DF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582035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5C41A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3D5099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C5E0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B443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D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03DE7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9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4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041C0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E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259D3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0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2.收集、处理并溯源在城市公共场所发现的死亡畜禽。</w:t>
            </w:r>
          </w:p>
        </w:tc>
      </w:tr>
      <w:tr w14:paraId="50168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5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0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D106D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832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七、城乡建设（17项）</w:t>
            </w:r>
          </w:p>
        </w:tc>
      </w:tr>
      <w:tr w14:paraId="4908B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2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开展城市危旧房、自建房排查整治工作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9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1.统筹做好城市危旧房、自建房排查整治的监督指导工作；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2.协调、指导开展城市危旧房、自建房整治改造、安全鉴定等工作；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3.做好项目资金申请工作，监督项目资金使用及工程进度。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1.开展政策和安全知识宣传工作；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2.开展房屋检查和隐患排查工作，发现安全隐患及时上报，对危旧房用户进行劝导；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3.配合第三方做好危旧房等级鉴定工作；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4.协助做好城市危险房屋管理工作，对危险区域群众进行转移避险；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5.开展城市房屋（自建房）摸排、数据汇总、台账建立工作。</w:t>
            </w:r>
          </w:p>
        </w:tc>
      </w:tr>
      <w:tr w14:paraId="14B31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B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1.负责老旧小区改造项目前期报批工作；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2.开展项目招投标工作，组织设计单位、街道、社区实地勘查现场，负责图纸设计阶段的组织协调工作；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3.组织编制改造计划，制定改造方案并申报，争取国家政策和资金支持；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4.统计上报项目资金额度，制定项目资金分配计划；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5.负责项目计划开展和施工过程的管理工作；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6.负责项目施工安全、质量监管、竣工验收，结算资料复审工作；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7.协调执法部门对老旧小区违建进行拆除。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1.负责政策宣传和入户调查核实工作；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2.对老旧小区改造有关事项进行摸排、数据收集整理及上报；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3.协调解决施工中出现的问题；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4.协助做好违建拆除、施工安全、质量监管、工程验收工作；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5.配合督促施工单位推进改造进度；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6.做好老旧小区改造满意度调查工作。</w:t>
            </w:r>
          </w:p>
        </w:tc>
      </w:tr>
      <w:tr w14:paraId="67628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4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1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F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3.配合开展对历史文化街区、历史建筑等历史文化资源的普查、申报等工作，提供历史沿革、地方特色等材料。</w:t>
            </w:r>
          </w:p>
        </w:tc>
      </w:tr>
      <w:tr w14:paraId="41327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8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09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765C05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DC2B3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25AB78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1E110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31B1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2.组织各社区和物业公司配合燃气经营企业安全检查，发现问题及时上报；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F3B5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8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D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3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21EE7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A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D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协调执法部门（单位）对小区内私搭乱建、乱堆乱放、私自圈占等违规违法行为进行整改整治，并依法拆除。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1.督促网格员对无物业小区开展日常巡查，并进行日常管理工作；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2.对于拒不改正的私搭乱建、乱堆乱放、私自圈占等违规违法行为协调相关执法部门进行整改整治。</w:t>
            </w:r>
          </w:p>
        </w:tc>
      </w:tr>
      <w:tr w14:paraId="59D51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5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开展违法建设（含临时建筑物、构筑物）的查处工作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1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对在城市规划区国有土地上的违法建设行为责令限期整改，对拒不整改的依法依规进行查处。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1.加强日常巡查，对巡查发现或群众举报的线索进行核查，及时制止并劝说整改；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2.对拒不整改或情节严重的及时上报；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3.配合开展查处工作，核查报送违法建设相关信息。</w:t>
            </w:r>
          </w:p>
        </w:tc>
      </w:tr>
      <w:tr w14:paraId="60587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7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4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1.查处建设单位擅自改变、处置物业共用部位和设施设备行为；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2.对不按规定出租车位、车库行为责令改正。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6B508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2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E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2.指导社区组织业主、业主委员会对物业管理和物业项目服务质量进行综合评价。</w:t>
            </w:r>
          </w:p>
        </w:tc>
      </w:tr>
      <w:tr w14:paraId="491472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F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做好超长期国债项目中的老旧电梯更新改造工作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1.统计汇总辖区内老旧电梯数量并上报；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2.组织实施老旧电梯更新改造项目的建设工作。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1.统计上报老旧电梯情况；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3.参与改造项目监督、验收工作。</w:t>
            </w:r>
          </w:p>
        </w:tc>
      </w:tr>
      <w:tr w14:paraId="0F46E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A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开展城市更新（城市体检）工作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1.联动第三方专业机构，统筹做好城区内城市体检工作；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2.指导相关部门、街道报送体检数据；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3.督促相关部门、街道制定整治措施，推进解决辖区内的城市体检问题；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4.对街道、社区工作人员进行日常培训和指导；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5.协助做好燃气、电力等专业工作；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6.对城市体检工作开展情况进行跟踪督导；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7.开展政策解读工作。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2.做好城市体检基础数据统计、居民问卷调查及意见反馈工作；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3.建立城市体检问题整改措施清单。</w:t>
            </w:r>
          </w:p>
        </w:tc>
      </w:tr>
      <w:tr w14:paraId="75A11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1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A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1.通过日常巡查、群众举报等排查辖区“僵尸车”，掌握数量、停放位置、车辆信息等情况；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2.对能确认车主的“僵尸车”，以电话、短信或贴单形式告知车主，要求限时驶离；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3.对拒不配合或无法联系车主的“僵尸车”，依法拖移至指定停车场存放并登记。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1.组织社区人员排查小区“僵尸车”，收集相关信息反馈至市公安局；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2.协助劝导车主自行清理车辆；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4.组织开展宣传活动，引导居民规范停车。</w:t>
            </w:r>
          </w:p>
        </w:tc>
      </w:tr>
      <w:tr w14:paraId="63FE2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1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缓解辖区“停车难”问题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B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1.负责辖区公共区域停车泊位规划设计与建设工作；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2.牵头负责收费停车场备案工作；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3.负责道路停车秩序管理工作。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排查并上报“停车难”具体情况。</w:t>
            </w:r>
          </w:p>
        </w:tc>
      </w:tr>
      <w:tr w14:paraId="32E288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4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E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9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1FD4A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D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开展“办证难”“停缓建、保交楼”专项工作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4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493F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1.市自然资源局负责“办证难”台账房屋大照首次登记办理工作，协调调度“办证难”台账小照统计汇总工作情况；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2.市住房城乡建设局负责协调推进“停缓建、保交楼”工作，汇总上报工作情况。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1.开展“办证难”台账房屋小照转移排查登记工作；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2.做好“办证难”“停缓建、保交楼”相关群众诉求工作。</w:t>
            </w:r>
          </w:p>
        </w:tc>
      </w:tr>
      <w:tr w14:paraId="426340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F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落实“门前五包”（包卫生、包秩序、包绿化、包美化、包亮化）责任制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F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0E72F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50BF60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4683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3.市公安局依法对违反“门前五包”管理规定的行为实施处罚；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4.市交通运输局依法对违反“门前五包”管理规定的行为实施处罚。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1.与临街单位签订“门前五包”责任书，明确管理内容和范围并监督实施；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2.负责临街单位落实“门前五包”责任制的日常巡查工作；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3.对未落实“门前五包”的商户督促整改，对拒不整改的向相关部门报告。</w:t>
            </w:r>
          </w:p>
        </w:tc>
      </w:tr>
      <w:tr w14:paraId="4CF4B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5610C3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87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0FF80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F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C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3.保障街道文化场所免费开放；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5EE91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B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2DAE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2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B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7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B128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8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B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00CDE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6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46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3AAA68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34D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3.劝说非法安装、使用卫星电视广播接收设施的居民拆除非法设施。</w:t>
            </w:r>
          </w:p>
        </w:tc>
      </w:tr>
      <w:tr w14:paraId="14EC2C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694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九、卫生健康（3项）</w:t>
            </w:r>
          </w:p>
        </w:tc>
      </w:tr>
      <w:tr w14:paraId="52D92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E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0C81E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B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1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F08A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3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D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1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2.组织居民参加慢性病义诊活动。</w:t>
            </w:r>
          </w:p>
        </w:tc>
      </w:tr>
      <w:tr w14:paraId="6274C5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64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09404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4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4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0AFD6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575BD4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5F5E07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8D7BD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397A9C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49F98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A5A00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5F5AE3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4D722F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613A53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15B4E5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479946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1DC9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6211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A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9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F51F4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6B6E73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3F4AF8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C1404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7505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F3CC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0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2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3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770BC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6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1A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53207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00CE8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B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4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18B3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C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8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4.根据消防安全专项整治方案要求，对涉及本街道内容开展工作；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94D31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8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D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02ED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B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A2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5F9975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D78D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55997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1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A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2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D80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4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1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197C81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6D0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十一、市场监管（4项）</w:t>
            </w:r>
          </w:p>
        </w:tc>
      </w:tr>
      <w:tr w14:paraId="2CF68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F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3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1DF9D1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6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1.组织街道、社区包保干部做好食品安全督导工作；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C70E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C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AD0C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F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1.协商电梯的所有权人确定使用单位，无法确定使用单位的电梯由街道承担使用单位责任；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bl>
    <w:p w14:paraId="535D126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3481"/>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6599C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293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5F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A4B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C101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C73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25EE4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02DD84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FB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44F0A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E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4ACC6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937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10A1C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A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E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A7FA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F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4D088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7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C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07ACA1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8A3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2B28B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3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F963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47CF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8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1A9C2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8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开具经营场所房屋所有权证明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0EA931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F1B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62CD2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3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278DC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0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5A10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A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2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746B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2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C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8E9B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7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6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2F4D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8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开具重病患者在家用药的证明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42456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2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开具无房产证明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76F4E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2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开具同音不同字姓名同属一人证明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6E33F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开具某人先于某人去世证明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4AF95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4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开具居民有精神类或智力类疾病的证明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0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2BF80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0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开具居民就业状况证明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0E51A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F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开具非婚生子女证明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6F54B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F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2F12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A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E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2B498C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4E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6DAFF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3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25F480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6CF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七、城乡建设（2项）</w:t>
            </w:r>
          </w:p>
        </w:tc>
      </w:tr>
      <w:tr w14:paraId="3F839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开具唯一住房证明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落实党中央为基层减负有关要求，街道不再开展此项工作。</w:t>
            </w:r>
          </w:p>
        </w:tc>
      </w:tr>
      <w:tr w14:paraId="5A133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0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排查溯源存在历史遗留问题的建筑项目的物业或开发单位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2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1.收集存在历史遗留问题的建筑项目文件；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2.联系街道、社区查找相关档案材料；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3.开展实地调查与核实工作；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4.汇总分析相关信息，确定物业或开发单位。</w:t>
            </w:r>
          </w:p>
        </w:tc>
      </w:tr>
      <w:tr w14:paraId="4C026C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88D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14:paraId="7CC22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6F720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F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5EED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C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7A05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1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5A7F2C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19A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九、应急管理及消防（7项）</w:t>
            </w:r>
          </w:p>
        </w:tc>
      </w:tr>
      <w:tr w14:paraId="51A55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8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85D3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F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1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D3C4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9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DC2A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E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9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A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3262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F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F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1A09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9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A51B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B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5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4862339D">
      <w:pPr>
        <w:pStyle w:val="3"/>
        <w:spacing w:before="0" w:after="0" w:line="240" w:lineRule="auto"/>
        <w:jc w:val="center"/>
        <w:rPr>
          <w:rFonts w:ascii="Times New Roman" w:hAnsi="Times New Roman" w:eastAsia="方正小标宋_GBK" w:cs="Times New Roman"/>
          <w:color w:val="auto"/>
          <w:spacing w:val="7"/>
          <w:lang w:eastAsia="zh-CN"/>
        </w:rPr>
      </w:pPr>
    </w:p>
    <w:p w14:paraId="6030C72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25B59C-AF24-467C-976D-6CF1F2F067B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80B44CA-ADCD-491E-8925-3CF2CFE14537}"/>
  </w:font>
  <w:font w:name="方正公文仿宋">
    <w:panose1 w:val="02000500000000000000"/>
    <w:charset w:val="86"/>
    <w:family w:val="auto"/>
    <w:pitch w:val="default"/>
    <w:sig w:usb0="A00002BF" w:usb1="38CF7CFA" w:usb2="00000016" w:usb3="00000000" w:csb0="00040001" w:csb1="00000000"/>
    <w:embedRegular r:id="rId3" w:fontKey="{1E04B2F1-9473-4942-BC25-FF50B4682A85}"/>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3FF0D343-B849-45B6-BBC4-3E62304EFBE7}"/>
  </w:font>
  <w:font w:name="方正小标宋_GBK">
    <w:panose1 w:val="03000509000000000000"/>
    <w:charset w:val="86"/>
    <w:family w:val="script"/>
    <w:pitch w:val="default"/>
    <w:sig w:usb0="00000001" w:usb1="080E0000" w:usb2="00000000" w:usb3="00000000" w:csb0="00040000" w:csb1="00000000"/>
    <w:embedRegular r:id="rId5" w:fontKey="{D86865C7-A7B0-4BDA-9A1A-CA2D37AAD2C4}"/>
  </w:font>
  <w:font w:name="方正公文黑体">
    <w:panose1 w:val="02000500000000000000"/>
    <w:charset w:val="86"/>
    <w:family w:val="auto"/>
    <w:pitch w:val="default"/>
    <w:sig w:usb0="A00002BF" w:usb1="38CF7CFA" w:usb2="00000016" w:usb3="00000000" w:csb0="00040001" w:csb1="00000000"/>
    <w:embedRegular r:id="rId6" w:fontKey="{048E5D98-EB89-4916-A736-4E205D47A20D}"/>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AFF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DABB67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DABB67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3A8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A6E3460"/>
    <w:rsid w:val="26E73FFD"/>
    <w:rsid w:val="3BBA7555"/>
    <w:rsid w:val="45F5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79</Words>
  <Characters>85</Characters>
  <Lines>1</Lines>
  <Paragraphs>1</Paragraphs>
  <TotalTime>0</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2025-07-08T06:30:32Z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eyJoZGlkIjoiNzI4NjFjMzI5YWMzODQxNzY0Yzc1MTc0NjJmNWVhZmQiLCJ1c2VySWQiOiI2OTkxNTM5MDgifQ==</vt:lpwstr>
  </property>
  <property fmtid="{D5CDD505-2E9C-101B-9397-08002B2CF9AE}" pid="3" name="KSOProductBuildVer">
    <vt:lpwstr>2052-12.1.0.21541</vt:lpwstr>
  </property>
  <property fmtid="{D5CDD505-2E9C-101B-9397-08002B2CF9AE}" pid="4" name="ICV">
    <vt:lpwstr>290DD48187534BD5AC344812B16F66CC_12</vt:lpwstr>
  </property>
</Properties>
</file>